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E38D" w14:textId="6E837415" w:rsidR="00C95753" w:rsidRPr="00C17031" w:rsidRDefault="006E5C0A" w:rsidP="00E16D12">
      <w:pPr>
        <w:rPr>
          <w:rFonts w:ascii="Cambria" w:hAnsi="Cambria"/>
          <w:b/>
          <w:bCs/>
          <w:i/>
          <w:iCs/>
          <w:sz w:val="28"/>
          <w:szCs w:val="28"/>
        </w:rPr>
      </w:pPr>
      <w:r>
        <w:rPr>
          <w:noProof/>
        </w:rPr>
        <w:drawing>
          <wp:anchor distT="0" distB="0" distL="114300" distR="114300" simplePos="0" relativeHeight="251670016" behindDoc="1" locked="0" layoutInCell="1" allowOverlap="1" wp14:anchorId="420225B7" wp14:editId="00A360EF">
            <wp:simplePos x="0" y="0"/>
            <wp:positionH relativeFrom="margin">
              <wp:posOffset>1555115</wp:posOffset>
            </wp:positionH>
            <wp:positionV relativeFrom="paragraph">
              <wp:posOffset>-657225</wp:posOffset>
            </wp:positionV>
            <wp:extent cx="1839347" cy="518160"/>
            <wp:effectExtent l="0" t="0" r="889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9347" cy="5181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B7B283A" wp14:editId="16CA637B">
            <wp:simplePos x="0" y="0"/>
            <wp:positionH relativeFrom="column">
              <wp:posOffset>-433705</wp:posOffset>
            </wp:positionH>
            <wp:positionV relativeFrom="paragraph">
              <wp:posOffset>-894715</wp:posOffset>
            </wp:positionV>
            <wp:extent cx="1779270" cy="994410"/>
            <wp:effectExtent l="0" t="0" r="0" b="0"/>
            <wp:wrapNone/>
            <wp:docPr id="16"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9270" cy="99441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4A180F8" w14:textId="05FB83ED" w:rsidR="00E16D12" w:rsidRDefault="00E16D12" w:rsidP="00E16D12"/>
    <w:p w14:paraId="22DDA7E7" w14:textId="6ECC0C4B" w:rsidR="00E16D12" w:rsidRPr="005006E0" w:rsidRDefault="00E16D12" w:rsidP="00E16D12"/>
    <w:p w14:paraId="2C7EFB6C" w14:textId="15A1F8D9" w:rsidR="00EC75DF" w:rsidRDefault="00EC75DF" w:rsidP="00F31608"/>
    <w:p w14:paraId="1E80220C" w14:textId="0112943C" w:rsidR="00EC75DF" w:rsidRDefault="00EC75DF" w:rsidP="00F31608"/>
    <w:p w14:paraId="0235FEF1" w14:textId="1805FA21" w:rsidR="00EC75DF" w:rsidRDefault="00EC75DF" w:rsidP="00F31608">
      <w:pPr>
        <w:rPr>
          <w:b/>
          <w:bCs/>
          <w:color w:val="FF0000"/>
        </w:rPr>
      </w:pPr>
    </w:p>
    <w:p w14:paraId="3859930A" w14:textId="77777777" w:rsidR="003A213B" w:rsidRDefault="003A213B" w:rsidP="00F31608"/>
    <w:p w14:paraId="6C82105B" w14:textId="6DB865D2" w:rsidR="00EC75DF" w:rsidRDefault="009626CB" w:rsidP="00F31608">
      <w:r>
        <w:rPr>
          <w:noProof/>
        </w:rPr>
        <mc:AlternateContent>
          <mc:Choice Requires="wps">
            <w:drawing>
              <wp:anchor distT="0" distB="0" distL="114300" distR="114300" simplePos="0" relativeHeight="251659776" behindDoc="0" locked="0" layoutInCell="1" allowOverlap="1" wp14:anchorId="6EC31B39" wp14:editId="4D322123">
                <wp:simplePos x="0" y="0"/>
                <wp:positionH relativeFrom="margin">
                  <wp:posOffset>2334094</wp:posOffset>
                </wp:positionH>
                <wp:positionV relativeFrom="paragraph">
                  <wp:posOffset>110904</wp:posOffset>
                </wp:positionV>
                <wp:extent cx="3971925" cy="1200150"/>
                <wp:effectExtent l="0" t="0" r="9525" b="0"/>
                <wp:wrapNone/>
                <wp:docPr id="15"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200150"/>
                        </a:xfrm>
                        <a:prstGeom prst="roundRect">
                          <a:avLst>
                            <a:gd name="adj" fmla="val 16667"/>
                          </a:avLst>
                        </a:prstGeom>
                        <a:solidFill>
                          <a:srgbClr val="C00000"/>
                        </a:solidFill>
                        <a:ln>
                          <a:noFill/>
                        </a:ln>
                      </wps:spPr>
                      <wps:txbx>
                        <w:txbxContent>
                          <w:p w14:paraId="4F7C55B8" w14:textId="2AB7BF6B" w:rsidR="00FB17B8" w:rsidRPr="00DC792B" w:rsidRDefault="00FB17B8" w:rsidP="00E07A86">
                            <w:pPr>
                              <w:rPr>
                                <w:rFonts w:ascii="Cambria" w:hAnsi="Cambria"/>
                                <w:b/>
                                <w:bCs/>
                                <w:sz w:val="32"/>
                                <w:szCs w:val="36"/>
                                <w:lang w:val="en-GB"/>
                              </w:rPr>
                            </w:pPr>
                            <w:r w:rsidRPr="00DC792B">
                              <w:rPr>
                                <w:rFonts w:ascii="Cambria" w:hAnsi="Cambria"/>
                                <w:b/>
                                <w:sz w:val="32"/>
                                <w:lang w:val="en-GB"/>
                              </w:rPr>
                              <w:t>Take Off S.p.A. &amp; Over S.p.A.</w:t>
                            </w:r>
                          </w:p>
                          <w:p w14:paraId="6FF1655C" w14:textId="77777777" w:rsidR="00FB17B8" w:rsidRPr="00DC792B" w:rsidRDefault="00FB17B8" w:rsidP="00E07A86">
                            <w:pPr>
                              <w:rPr>
                                <w:rFonts w:ascii="Cambria" w:hAnsi="Cambria"/>
                                <w:b/>
                                <w:bCs/>
                                <w:sz w:val="32"/>
                                <w:szCs w:val="36"/>
                                <w:lang w:val="en-GB"/>
                              </w:rPr>
                            </w:pPr>
                          </w:p>
                          <w:p w14:paraId="1ACA5B62" w14:textId="21803DCE" w:rsidR="00FB17B8" w:rsidRPr="00167A43" w:rsidRDefault="00FB17B8" w:rsidP="00E07A86">
                            <w:pPr>
                              <w:rPr>
                                <w:rFonts w:ascii="Cambria" w:hAnsi="Cambria"/>
                                <w:b/>
                                <w:bCs/>
                                <w:sz w:val="28"/>
                                <w:szCs w:val="32"/>
                              </w:rPr>
                            </w:pPr>
                            <w:r>
                              <w:rPr>
                                <w:rFonts w:ascii="Cambria" w:hAnsi="Cambria"/>
                                <w:b/>
                                <w:sz w:val="28"/>
                              </w:rPr>
                              <w:t>États financiers intermédiaires consolidés de synthèse au 30 juin 2021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C31B39" id="Rectangle: Rounded Corners 1" o:spid="_x0000_s1026" style="position:absolute;margin-left:183.8pt;margin-top:8.75pt;width:312.75pt;height:9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" fillcolor="#c00000" stroked="f">
                <v:textbox>
                  <w:txbxContent>
                    <w:p w14:paraId="4F7C55B8" w14:textId="2AB7BF6B" w:rsidR="00FB17B8" w:rsidRPr="00DC792B" w:rsidRDefault="00FB17B8" w:rsidP="00E07A86">
                      <w:pPr>
                        <w:rPr>
                          <w:rFonts w:ascii="Cambria" w:hAnsi="Cambria"/>
                          <w:b/>
                          <w:bCs/>
                          <w:sz w:val="32"/>
                          <w:szCs w:val="36"/>
                          <w:lang w:val="en-GB"/>
                        </w:rPr>
                      </w:pPr>
                      <w:r w:rsidRPr="00DC792B">
                        <w:rPr>
                          <w:rFonts w:ascii="Cambria" w:hAnsi="Cambria"/>
                          <w:b/>
                          <w:sz w:val="32"/>
                          <w:lang w:val="en-GB"/>
                        </w:rPr>
                        <w:t>Take Off S.p.A. &amp; Over S.p.A.</w:t>
                      </w:r>
                    </w:p>
                    <w:p w14:paraId="6FF1655C" w14:textId="77777777" w:rsidR="00FB17B8" w:rsidRPr="00DC792B" w:rsidRDefault="00FB17B8" w:rsidP="00E07A86">
                      <w:pPr>
                        <w:rPr>
                          <w:rFonts w:ascii="Cambria" w:hAnsi="Cambria"/>
                          <w:b/>
                          <w:bCs/>
                          <w:sz w:val="32"/>
                          <w:szCs w:val="36"/>
                          <w:lang w:val="en-GB"/>
                        </w:rPr>
                      </w:pPr>
                    </w:p>
                    <w:p w14:paraId="1ACA5B62" w14:textId="21803DCE" w:rsidR="00FB17B8" w:rsidRPr="00167A43" w:rsidRDefault="00FB17B8" w:rsidP="00E07A86">
                      <w:pPr>
                        <w:rPr>
                          <w:rFonts w:ascii="Cambria" w:hAnsi="Cambria"/>
                          <w:b/>
                          <w:bCs/>
                          <w:sz w:val="28"/>
                          <w:szCs w:val="32"/>
                        </w:rPr>
                      </w:pPr>
                      <w:r>
                        <w:rPr>
                          <w:rFonts w:ascii="Cambria" w:hAnsi="Cambria"/>
                          <w:b/>
                          <w:sz w:val="28"/>
                        </w:rPr>
                        <w:t>États financiers intermédiaires consolidés de synthèse au 30 juin 2021</w:t>
                      </w:r>
                    </w:p>
                  </w:txbxContent>
                </v:textbox>
                <w10:wrap anchorx="margin"/>
              </v:roundrect>
            </w:pict>
          </mc:Fallback>
        </mc:AlternateContent>
      </w:r>
    </w:p>
    <w:p w14:paraId="0AB30902" w14:textId="40D378DE" w:rsidR="00E16D12" w:rsidRDefault="00E16D12" w:rsidP="005C0C27">
      <w:pPr>
        <w:pStyle w:val="Titolo2"/>
        <w:ind w:left="1701"/>
      </w:pPr>
      <w:r>
        <w:br w:type="page"/>
      </w:r>
    </w:p>
    <w:p w14:paraId="116D5610" w14:textId="1AD80620" w:rsidR="00E16D12" w:rsidRDefault="006E5C0A" w:rsidP="0061181E">
      <w:r>
        <w:rPr>
          <w:noProof/>
        </w:rPr>
        <w:lastRenderedPageBreak/>
        <w:drawing>
          <wp:anchor distT="0" distB="0" distL="114300" distR="114300" simplePos="0" relativeHeight="251672064" behindDoc="1" locked="0" layoutInCell="1" allowOverlap="1" wp14:anchorId="4BB9F375" wp14:editId="7CF004D8">
            <wp:simplePos x="0" y="0"/>
            <wp:positionH relativeFrom="margin">
              <wp:posOffset>1508760</wp:posOffset>
            </wp:positionH>
            <wp:positionV relativeFrom="paragraph">
              <wp:posOffset>-836930</wp:posOffset>
            </wp:positionV>
            <wp:extent cx="1839347" cy="518160"/>
            <wp:effectExtent l="0" t="0" r="889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9347" cy="5181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4DF8581C" wp14:editId="1EF6C7BC">
            <wp:simplePos x="0" y="0"/>
            <wp:positionH relativeFrom="column">
              <wp:posOffset>-518160</wp:posOffset>
            </wp:positionH>
            <wp:positionV relativeFrom="paragraph">
              <wp:posOffset>-1075055</wp:posOffset>
            </wp:positionV>
            <wp:extent cx="1779270" cy="994410"/>
            <wp:effectExtent l="0" t="0" r="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994410"/>
                    </a:xfrm>
                    <a:prstGeom prst="rect">
                      <a:avLst/>
                    </a:prstGeom>
                    <a:noFill/>
                  </pic:spPr>
                </pic:pic>
              </a:graphicData>
            </a:graphic>
            <wp14:sizeRelH relativeFrom="page">
              <wp14:pctWidth>0</wp14:pctWidth>
            </wp14:sizeRelH>
            <wp14:sizeRelV relativeFrom="page">
              <wp14:pctHeight>0</wp14:pctHeight>
            </wp14:sizeRelV>
          </wp:anchor>
        </w:drawing>
      </w:r>
    </w:p>
    <w:p w14:paraId="2A8B7077" w14:textId="77777777" w:rsidR="001B6D59" w:rsidRDefault="001B6D59" w:rsidP="001B6D59"/>
    <w:p w14:paraId="4266581A" w14:textId="77777777" w:rsidR="001B6D59" w:rsidRDefault="001B6D59" w:rsidP="001B6D59"/>
    <w:p w14:paraId="6B4EB33C" w14:textId="77777777" w:rsidR="001B6D59" w:rsidRDefault="001B6D59" w:rsidP="001B6D59"/>
    <w:p w14:paraId="5AE122A3" w14:textId="77777777" w:rsidR="001B6D59" w:rsidRDefault="001B6D59" w:rsidP="001B6D59"/>
    <w:p w14:paraId="09FAB60A" w14:textId="77777777" w:rsidR="001B6D59" w:rsidRDefault="001B6D59" w:rsidP="001B6D59"/>
    <w:p w14:paraId="7226438B" w14:textId="77777777" w:rsidR="001B6D59" w:rsidRDefault="001B6D59" w:rsidP="001B6D59"/>
    <w:p w14:paraId="40FA2841" w14:textId="77777777" w:rsidR="001B6D59" w:rsidRDefault="001B6D59" w:rsidP="001B6D59"/>
    <w:p w14:paraId="57E709B9" w14:textId="77777777" w:rsidR="001B6D59" w:rsidRDefault="001B6D59" w:rsidP="001B6D59"/>
    <w:p w14:paraId="556CDC51" w14:textId="77777777" w:rsidR="001B6D59" w:rsidRDefault="001B6D59" w:rsidP="001B6D59"/>
    <w:p w14:paraId="4C4CEEA9" w14:textId="77777777" w:rsidR="001B6D59" w:rsidRDefault="001B6D59" w:rsidP="001B6D59"/>
    <w:p w14:paraId="3E6C9E10" w14:textId="77777777" w:rsidR="001B6D59" w:rsidRDefault="001B6D59" w:rsidP="001B6D59"/>
    <w:p w14:paraId="67F8AF64" w14:textId="77777777" w:rsidR="001B6D59" w:rsidRDefault="001B6D59" w:rsidP="001B6D59"/>
    <w:p w14:paraId="4A6D7887" w14:textId="77777777" w:rsidR="001B6D59" w:rsidRDefault="001B6D59" w:rsidP="001B6D59"/>
    <w:p w14:paraId="64B5ADC7" w14:textId="48E6C2CE" w:rsidR="001B6D59" w:rsidRDefault="00167A43" w:rsidP="001B6D59">
      <w:pPr>
        <w:sectPr w:rsidR="001B6D59" w:rsidSect="005C0C27">
          <w:headerReference w:type="default" r:id="rId11"/>
          <w:pgSz w:w="11906" w:h="16838" w:code="9"/>
          <w:pgMar w:top="816" w:right="851" w:bottom="1134" w:left="1247" w:header="851" w:footer="709" w:gutter="1134"/>
          <w:pgNumType w:start="0"/>
          <w:cols w:space="708"/>
          <w:titlePg/>
          <w:docGrid w:linePitch="360"/>
        </w:sectPr>
      </w:pPr>
      <w:r>
        <w:rPr>
          <w:noProof/>
        </w:rPr>
        <mc:AlternateContent>
          <mc:Choice Requires="wps">
            <w:drawing>
              <wp:anchor distT="0" distB="0" distL="114300" distR="114300" simplePos="0" relativeHeight="251668992" behindDoc="0" locked="0" layoutInCell="1" allowOverlap="1" wp14:anchorId="2F1D5EA9" wp14:editId="7CE2E48D">
                <wp:simplePos x="0" y="0"/>
                <wp:positionH relativeFrom="margin">
                  <wp:align>center</wp:align>
                </wp:positionH>
                <wp:positionV relativeFrom="paragraph">
                  <wp:posOffset>4778099</wp:posOffset>
                </wp:positionV>
                <wp:extent cx="5400040" cy="1069340"/>
                <wp:effectExtent l="0" t="0" r="0" b="127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69340"/>
                        </a:xfrm>
                        <a:prstGeom prst="rect">
                          <a:avLst/>
                        </a:prstGeom>
                        <a:solidFill>
                          <a:srgbClr val="FFFFFF"/>
                        </a:solidFill>
                        <a:ln w="9525">
                          <a:noFill/>
                          <a:miter lim="800000"/>
                          <a:headEnd/>
                          <a:tailEnd/>
                        </a:ln>
                      </wps:spPr>
                      <wps:txbx>
                        <w:txbxContent>
                          <w:p w14:paraId="7717A9B5" w14:textId="5BDAD2DA" w:rsidR="00FB17B8" w:rsidRPr="00167A43" w:rsidRDefault="00FB17B8" w:rsidP="00D9390F">
                            <w:pPr>
                              <w:jc w:val="center"/>
                              <w:rPr>
                                <w:rFonts w:ascii="Cambria" w:hAnsi="Cambria"/>
                                <w:b/>
                                <w:i/>
                              </w:rPr>
                            </w:pPr>
                            <w:r>
                              <w:rPr>
                                <w:rFonts w:ascii="Cambria" w:hAnsi="Cambria"/>
                                <w:b/>
                                <w:i/>
                              </w:rPr>
                              <w:t>Over S.p.A.</w:t>
                            </w:r>
                          </w:p>
                          <w:p w14:paraId="61D66FAD" w14:textId="5381D201" w:rsidR="00FB17B8" w:rsidRPr="00C17031" w:rsidRDefault="00FB17B8" w:rsidP="00D9390F">
                            <w:pPr>
                              <w:jc w:val="center"/>
                              <w:rPr>
                                <w:rFonts w:ascii="Cambria" w:hAnsi="Cambria"/>
                                <w:i/>
                              </w:rPr>
                            </w:pPr>
                            <w:r>
                              <w:rPr>
                                <w:rFonts w:ascii="Cambria" w:hAnsi="Cambria"/>
                                <w:i/>
                              </w:rPr>
                              <w:t>Capital social 1.000.000 euros entièrement libéré</w:t>
                            </w:r>
                          </w:p>
                          <w:p w14:paraId="7A87217A" w14:textId="50564DAD" w:rsidR="00FB17B8" w:rsidRPr="00DC792B" w:rsidRDefault="00FB17B8" w:rsidP="00D9390F">
                            <w:pPr>
                              <w:jc w:val="center"/>
                              <w:rPr>
                                <w:rFonts w:ascii="Cambria" w:hAnsi="Cambria"/>
                                <w:i/>
                                <w:lang w:val="it-IT"/>
                              </w:rPr>
                            </w:pPr>
                            <w:proofErr w:type="spellStart"/>
                            <w:r w:rsidRPr="00DC792B">
                              <w:rPr>
                                <w:rFonts w:ascii="Cambria" w:hAnsi="Cambria"/>
                                <w:i/>
                                <w:lang w:val="it-IT"/>
                              </w:rPr>
                              <w:t>Siège</w:t>
                            </w:r>
                            <w:proofErr w:type="spellEnd"/>
                            <w:r w:rsidRPr="00DC792B">
                              <w:rPr>
                                <w:rFonts w:ascii="Cambria" w:hAnsi="Cambria"/>
                                <w:i/>
                                <w:lang w:val="it-IT"/>
                              </w:rPr>
                              <w:t xml:space="preserve"> social Via Turi snc.</w:t>
                            </w:r>
                          </w:p>
                          <w:p w14:paraId="2D1C3929" w14:textId="70F84D0F" w:rsidR="00FB17B8" w:rsidRPr="00C17031" w:rsidRDefault="00FB17B8" w:rsidP="00D9390F">
                            <w:pPr>
                              <w:jc w:val="center"/>
                              <w:rPr>
                                <w:rFonts w:ascii="Cambria" w:hAnsi="Cambria"/>
                                <w:i/>
                              </w:rPr>
                            </w:pPr>
                            <w:r>
                              <w:rPr>
                                <w:rFonts w:ascii="Cambria" w:hAnsi="Cambria"/>
                                <w:i/>
                              </w:rPr>
                              <w:t>70013 Castellana Grotte (Italie)</w:t>
                            </w:r>
                          </w:p>
                          <w:p w14:paraId="2EC9ACD7" w14:textId="063D1A8C" w:rsidR="00FB17B8" w:rsidRPr="00C17031" w:rsidRDefault="00FB17B8" w:rsidP="00D9390F">
                            <w:pPr>
                              <w:jc w:val="center"/>
                              <w:rPr>
                                <w:rFonts w:ascii="Cambria" w:hAnsi="Cambria"/>
                                <w:i/>
                              </w:rPr>
                            </w:pPr>
                            <w:r>
                              <w:rPr>
                                <w:rFonts w:ascii="Cambria" w:hAnsi="Cambria"/>
                                <w:i/>
                              </w:rPr>
                              <w:t>Registre du commerce de Bari et code fiscal 05470340729</w:t>
                            </w:r>
                          </w:p>
                          <w:p w14:paraId="09F890DF" w14:textId="7F2B78BC" w:rsidR="00FB17B8" w:rsidRPr="00C17031" w:rsidRDefault="00FB17B8" w:rsidP="00D9390F">
                            <w:pPr>
                              <w:jc w:val="center"/>
                              <w:rPr>
                                <w:rFonts w:ascii="Cambria" w:hAnsi="Cambria"/>
                                <w:i/>
                              </w:rPr>
                            </w:pPr>
                            <w:r>
                              <w:rPr>
                                <w:rFonts w:ascii="Cambria" w:hAnsi="Cambria"/>
                                <w:i/>
                              </w:rPr>
                              <w:t xml:space="preserve"> Numéro de TVA 005470340729</w:t>
                            </w:r>
                          </w:p>
                          <w:p w14:paraId="1FDA698B" w14:textId="6F7F6349" w:rsidR="00FB17B8" w:rsidRPr="00C17031" w:rsidRDefault="00FB17B8" w:rsidP="00D9390F">
                            <w:pPr>
                              <w:jc w:val="center"/>
                              <w:rPr>
                                <w:rFonts w:ascii="Cambria" w:hAnsi="Cambria"/>
                                <w:i/>
                              </w:rPr>
                            </w:pPr>
                            <w:r>
                              <w:rPr>
                                <w:rFonts w:ascii="Cambria" w:hAnsi="Cambria"/>
                                <w:i/>
                              </w:rPr>
                              <w:t>R.E.A. (registre économique et administratif) BA 448233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D5EA9" id="_x0000_t202" coordsize="21600,21600" o:spt="202" path="m,l,21600r21600,l21600,xe">
                <v:stroke joinstyle="miter"/>
                <v:path gradientshapeok="t" o:connecttype="rect"/>
              </v:shapetype>
              <v:shape id="Text Box 2" o:spid="_x0000_s1027" type="#_x0000_t202" style="position:absolute;margin-left:0;margin-top:376.25pt;width:425.2pt;height:84.2pt;z-index:25166899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" stroked="f">
                <v:textbox style="mso-fit-shape-to-text:t">
                  <w:txbxContent>
                    <w:p w14:paraId="7717A9B5" w14:textId="5BDAD2DA" w:rsidR="00FB17B8" w:rsidRPr="00167A43" w:rsidRDefault="00FB17B8" w:rsidP="00D9390F">
                      <w:pPr>
                        <w:jc w:val="center"/>
                        <w:rPr>
                          <w:rFonts w:ascii="Cambria" w:hAnsi="Cambria"/>
                          <w:b/>
                          <w:i/>
                        </w:rPr>
                      </w:pPr>
                      <w:r>
                        <w:rPr>
                          <w:rFonts w:ascii="Cambria" w:hAnsi="Cambria"/>
                          <w:b/>
                          <w:i/>
                        </w:rPr>
                        <w:t>Over S.p.A.</w:t>
                      </w:r>
                    </w:p>
                    <w:p w14:paraId="61D66FAD" w14:textId="5381D201" w:rsidR="00FB17B8" w:rsidRPr="00C17031" w:rsidRDefault="00FB17B8" w:rsidP="00D9390F">
                      <w:pPr>
                        <w:jc w:val="center"/>
                        <w:rPr>
                          <w:rFonts w:ascii="Cambria" w:hAnsi="Cambria"/>
                          <w:i/>
                        </w:rPr>
                      </w:pPr>
                      <w:r>
                        <w:rPr>
                          <w:rFonts w:ascii="Cambria" w:hAnsi="Cambria"/>
                          <w:i/>
                        </w:rPr>
                        <w:t>Capital social 1.000.000 euros entièrement libéré</w:t>
                      </w:r>
                    </w:p>
                    <w:p w14:paraId="7A87217A" w14:textId="50564DAD" w:rsidR="00FB17B8" w:rsidRPr="00DC792B" w:rsidRDefault="00FB17B8" w:rsidP="00D9390F">
                      <w:pPr>
                        <w:jc w:val="center"/>
                        <w:rPr>
                          <w:rFonts w:ascii="Cambria" w:hAnsi="Cambria"/>
                          <w:i/>
                          <w:lang w:val="it-IT"/>
                        </w:rPr>
                      </w:pPr>
                      <w:proofErr w:type="spellStart"/>
                      <w:r w:rsidRPr="00DC792B">
                        <w:rPr>
                          <w:rFonts w:ascii="Cambria" w:hAnsi="Cambria"/>
                          <w:i/>
                          <w:lang w:val="it-IT"/>
                        </w:rPr>
                        <w:t>Siège</w:t>
                      </w:r>
                      <w:proofErr w:type="spellEnd"/>
                      <w:r w:rsidRPr="00DC792B">
                        <w:rPr>
                          <w:rFonts w:ascii="Cambria" w:hAnsi="Cambria"/>
                          <w:i/>
                          <w:lang w:val="it-IT"/>
                        </w:rPr>
                        <w:t xml:space="preserve"> social Via Turi snc.</w:t>
                      </w:r>
                    </w:p>
                    <w:p w14:paraId="2D1C3929" w14:textId="70F84D0F" w:rsidR="00FB17B8" w:rsidRPr="00C17031" w:rsidRDefault="00FB17B8" w:rsidP="00D9390F">
                      <w:pPr>
                        <w:jc w:val="center"/>
                        <w:rPr>
                          <w:rFonts w:ascii="Cambria" w:hAnsi="Cambria"/>
                          <w:i/>
                        </w:rPr>
                      </w:pPr>
                      <w:r>
                        <w:rPr>
                          <w:rFonts w:ascii="Cambria" w:hAnsi="Cambria"/>
                          <w:i/>
                        </w:rPr>
                        <w:t>70013 Castellana Grotte (Italie)</w:t>
                      </w:r>
                    </w:p>
                    <w:p w14:paraId="2EC9ACD7" w14:textId="063D1A8C" w:rsidR="00FB17B8" w:rsidRPr="00C17031" w:rsidRDefault="00FB17B8" w:rsidP="00D9390F">
                      <w:pPr>
                        <w:jc w:val="center"/>
                        <w:rPr>
                          <w:rFonts w:ascii="Cambria" w:hAnsi="Cambria"/>
                          <w:i/>
                        </w:rPr>
                      </w:pPr>
                      <w:r>
                        <w:rPr>
                          <w:rFonts w:ascii="Cambria" w:hAnsi="Cambria"/>
                          <w:i/>
                        </w:rPr>
                        <w:t>Registre du commerce de Bari et code fiscal 05470340729</w:t>
                      </w:r>
                    </w:p>
                    <w:p w14:paraId="09F890DF" w14:textId="7F2B78BC" w:rsidR="00FB17B8" w:rsidRPr="00C17031" w:rsidRDefault="00FB17B8" w:rsidP="00D9390F">
                      <w:pPr>
                        <w:jc w:val="center"/>
                        <w:rPr>
                          <w:rFonts w:ascii="Cambria" w:hAnsi="Cambria"/>
                          <w:i/>
                        </w:rPr>
                      </w:pPr>
                      <w:r>
                        <w:rPr>
                          <w:rFonts w:ascii="Cambria" w:hAnsi="Cambria"/>
                          <w:i/>
                        </w:rPr>
                        <w:t xml:space="preserve"> Numéro de TVA 005470340729</w:t>
                      </w:r>
                    </w:p>
                    <w:p w14:paraId="1FDA698B" w14:textId="6F7F6349" w:rsidR="00FB17B8" w:rsidRPr="00C17031" w:rsidRDefault="00FB17B8" w:rsidP="00D9390F">
                      <w:pPr>
                        <w:jc w:val="center"/>
                        <w:rPr>
                          <w:rFonts w:ascii="Cambria" w:hAnsi="Cambria"/>
                          <w:i/>
                        </w:rPr>
                      </w:pPr>
                      <w:r>
                        <w:rPr>
                          <w:rFonts w:ascii="Cambria" w:hAnsi="Cambria"/>
                          <w:i/>
                        </w:rPr>
                        <w:t>R.E.A. (registre économique et administratif) BA 448233</w:t>
                      </w:r>
                    </w:p>
                  </w:txbxContent>
                </v:textbox>
                <w10:wrap anchorx="margin"/>
              </v:shape>
            </w:pict>
          </mc:Fallback>
        </mc:AlternateContent>
      </w:r>
      <w:r>
        <w:rPr>
          <w:noProof/>
        </w:rPr>
        <mc:AlternateContent>
          <mc:Choice Requires="wps">
            <w:drawing>
              <wp:anchor distT="0" distB="0" distL="114300" distR="114300" simplePos="0" relativeHeight="251660800" behindDoc="0" locked="0" layoutInCell="1" allowOverlap="1" wp14:anchorId="4B59147F" wp14:editId="57CC2BB5">
                <wp:simplePos x="0" y="0"/>
                <wp:positionH relativeFrom="margin">
                  <wp:align>center</wp:align>
                </wp:positionH>
                <wp:positionV relativeFrom="paragraph">
                  <wp:posOffset>3196590</wp:posOffset>
                </wp:positionV>
                <wp:extent cx="5400040" cy="1069340"/>
                <wp:effectExtent l="0" t="0" r="0" b="127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69340"/>
                        </a:xfrm>
                        <a:prstGeom prst="rect">
                          <a:avLst/>
                        </a:prstGeom>
                        <a:solidFill>
                          <a:srgbClr val="FFFFFF"/>
                        </a:solidFill>
                        <a:ln w="9525">
                          <a:noFill/>
                          <a:miter lim="800000"/>
                          <a:headEnd/>
                          <a:tailEnd/>
                        </a:ln>
                      </wps:spPr>
                      <wps:txbx>
                        <w:txbxContent>
                          <w:p w14:paraId="580A37D5" w14:textId="77777777" w:rsidR="00FB17B8" w:rsidRPr="00DC792B" w:rsidRDefault="00FB17B8" w:rsidP="00783352">
                            <w:pPr>
                              <w:jc w:val="center"/>
                              <w:rPr>
                                <w:rFonts w:ascii="Cambria" w:hAnsi="Cambria"/>
                                <w:b/>
                                <w:i/>
                                <w:lang w:val="en-GB"/>
                              </w:rPr>
                            </w:pPr>
                            <w:r w:rsidRPr="00DC792B">
                              <w:rPr>
                                <w:rFonts w:ascii="Cambria" w:hAnsi="Cambria"/>
                                <w:b/>
                                <w:i/>
                                <w:lang w:val="en-GB"/>
                              </w:rPr>
                              <w:t>Take Off S.p.A.</w:t>
                            </w:r>
                          </w:p>
                          <w:p w14:paraId="1B0CCFF5" w14:textId="739AA83E" w:rsidR="00FB17B8" w:rsidRPr="00C17031" w:rsidRDefault="00FB17B8" w:rsidP="00783352">
                            <w:pPr>
                              <w:jc w:val="center"/>
                              <w:rPr>
                                <w:rFonts w:ascii="Cambria" w:hAnsi="Cambria"/>
                                <w:i/>
                              </w:rPr>
                            </w:pPr>
                            <w:r>
                              <w:rPr>
                                <w:rFonts w:ascii="Cambria" w:hAnsi="Cambria"/>
                                <w:i/>
                              </w:rPr>
                              <w:t>Capital social 1.000.000 euros entièrement libéré</w:t>
                            </w:r>
                          </w:p>
                          <w:p w14:paraId="55929ADB" w14:textId="77777777" w:rsidR="00FB17B8" w:rsidRPr="00577DD1" w:rsidRDefault="00FB17B8" w:rsidP="00783352">
                            <w:pPr>
                              <w:jc w:val="center"/>
                              <w:rPr>
                                <w:rFonts w:ascii="Cambria" w:hAnsi="Cambria"/>
                                <w:i/>
                              </w:rPr>
                            </w:pPr>
                            <w:r>
                              <w:rPr>
                                <w:rFonts w:ascii="Cambria" w:hAnsi="Cambria"/>
                                <w:i/>
                              </w:rPr>
                              <w:t>Siège social Via di Novella 22</w:t>
                            </w:r>
                          </w:p>
                          <w:p w14:paraId="744BADE1" w14:textId="4E4BAC83" w:rsidR="00FB17B8" w:rsidRPr="00C17031" w:rsidRDefault="00FB17B8" w:rsidP="00783352">
                            <w:pPr>
                              <w:jc w:val="center"/>
                              <w:rPr>
                                <w:rFonts w:ascii="Cambria" w:hAnsi="Cambria"/>
                                <w:i/>
                              </w:rPr>
                            </w:pPr>
                            <w:r>
                              <w:rPr>
                                <w:rFonts w:ascii="Cambria" w:hAnsi="Cambria"/>
                                <w:i/>
                              </w:rPr>
                              <w:t>00199 Rome (Italie)</w:t>
                            </w:r>
                          </w:p>
                          <w:p w14:paraId="165A8747" w14:textId="2E042791" w:rsidR="00FB17B8" w:rsidRPr="00C17031" w:rsidRDefault="00FB17B8" w:rsidP="00783352">
                            <w:pPr>
                              <w:jc w:val="center"/>
                              <w:rPr>
                                <w:rFonts w:ascii="Cambria" w:hAnsi="Cambria"/>
                                <w:i/>
                              </w:rPr>
                            </w:pPr>
                            <w:r>
                              <w:rPr>
                                <w:rFonts w:ascii="Cambria" w:hAnsi="Cambria"/>
                                <w:i/>
                              </w:rPr>
                              <w:t>Registre du commerce de Rome et code fiscal 04509190759</w:t>
                            </w:r>
                          </w:p>
                          <w:p w14:paraId="2A04700F" w14:textId="77777777" w:rsidR="00FB17B8" w:rsidRPr="00C17031" w:rsidRDefault="00FB17B8" w:rsidP="00783352">
                            <w:pPr>
                              <w:jc w:val="center"/>
                              <w:rPr>
                                <w:rFonts w:ascii="Cambria" w:hAnsi="Cambria"/>
                                <w:i/>
                              </w:rPr>
                            </w:pPr>
                            <w:r>
                              <w:rPr>
                                <w:rFonts w:ascii="Cambria" w:hAnsi="Cambria"/>
                                <w:i/>
                              </w:rPr>
                              <w:t xml:space="preserve"> Numéro de TVA 04509190759</w:t>
                            </w:r>
                          </w:p>
                          <w:p w14:paraId="074BAAF2" w14:textId="77777777" w:rsidR="00FB17B8" w:rsidRPr="00C17031" w:rsidRDefault="00FB17B8" w:rsidP="00783352">
                            <w:pPr>
                              <w:jc w:val="center"/>
                              <w:rPr>
                                <w:rFonts w:ascii="Cambria" w:hAnsi="Cambria"/>
                                <w:i/>
                              </w:rPr>
                            </w:pPr>
                            <w:r>
                              <w:rPr>
                                <w:rFonts w:ascii="Cambria" w:hAnsi="Cambria"/>
                                <w:i/>
                              </w:rPr>
                              <w:t>REA (registre économique et administratif) RM 1529098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9147F" id="_x0000_s1028" type="#_x0000_t202" style="position:absolute;margin-left:0;margin-top:251.7pt;width:425.2pt;height:84.2pt;z-index:25166080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" stroked="f">
                <v:textbox style="mso-fit-shape-to-text:t">
                  <w:txbxContent>
                    <w:p w14:paraId="580A37D5" w14:textId="77777777" w:rsidR="00FB17B8" w:rsidRPr="00DC792B" w:rsidRDefault="00FB17B8" w:rsidP="00783352">
                      <w:pPr>
                        <w:jc w:val="center"/>
                        <w:rPr>
                          <w:rFonts w:ascii="Cambria" w:hAnsi="Cambria"/>
                          <w:b/>
                          <w:i/>
                          <w:lang w:val="en-GB"/>
                        </w:rPr>
                      </w:pPr>
                      <w:r w:rsidRPr="00DC792B">
                        <w:rPr>
                          <w:rFonts w:ascii="Cambria" w:hAnsi="Cambria"/>
                          <w:b/>
                          <w:i/>
                          <w:lang w:val="en-GB"/>
                        </w:rPr>
                        <w:t>Take Off S.p.A.</w:t>
                      </w:r>
                    </w:p>
                    <w:p w14:paraId="1B0CCFF5" w14:textId="739AA83E" w:rsidR="00FB17B8" w:rsidRPr="00C17031" w:rsidRDefault="00FB17B8" w:rsidP="00783352">
                      <w:pPr>
                        <w:jc w:val="center"/>
                        <w:rPr>
                          <w:rFonts w:ascii="Cambria" w:hAnsi="Cambria"/>
                          <w:i/>
                        </w:rPr>
                      </w:pPr>
                      <w:r>
                        <w:rPr>
                          <w:rFonts w:ascii="Cambria" w:hAnsi="Cambria"/>
                          <w:i/>
                        </w:rPr>
                        <w:t>Capital social 1.000.000 euros entièrement libéré</w:t>
                      </w:r>
                    </w:p>
                    <w:p w14:paraId="55929ADB" w14:textId="77777777" w:rsidR="00FB17B8" w:rsidRPr="00577DD1" w:rsidRDefault="00FB17B8" w:rsidP="00783352">
                      <w:pPr>
                        <w:jc w:val="center"/>
                        <w:rPr>
                          <w:rFonts w:ascii="Cambria" w:hAnsi="Cambria"/>
                          <w:i/>
                        </w:rPr>
                      </w:pPr>
                      <w:r>
                        <w:rPr>
                          <w:rFonts w:ascii="Cambria" w:hAnsi="Cambria"/>
                          <w:i/>
                        </w:rPr>
                        <w:t>Siège social Via di Novella 22</w:t>
                      </w:r>
                    </w:p>
                    <w:p w14:paraId="744BADE1" w14:textId="4E4BAC83" w:rsidR="00FB17B8" w:rsidRPr="00C17031" w:rsidRDefault="00FB17B8" w:rsidP="00783352">
                      <w:pPr>
                        <w:jc w:val="center"/>
                        <w:rPr>
                          <w:rFonts w:ascii="Cambria" w:hAnsi="Cambria"/>
                          <w:i/>
                        </w:rPr>
                      </w:pPr>
                      <w:r>
                        <w:rPr>
                          <w:rFonts w:ascii="Cambria" w:hAnsi="Cambria"/>
                          <w:i/>
                        </w:rPr>
                        <w:t>00199 Rome (Italie)</w:t>
                      </w:r>
                    </w:p>
                    <w:p w14:paraId="165A8747" w14:textId="2E042791" w:rsidR="00FB17B8" w:rsidRPr="00C17031" w:rsidRDefault="00FB17B8" w:rsidP="00783352">
                      <w:pPr>
                        <w:jc w:val="center"/>
                        <w:rPr>
                          <w:rFonts w:ascii="Cambria" w:hAnsi="Cambria"/>
                          <w:i/>
                        </w:rPr>
                      </w:pPr>
                      <w:r>
                        <w:rPr>
                          <w:rFonts w:ascii="Cambria" w:hAnsi="Cambria"/>
                          <w:i/>
                        </w:rPr>
                        <w:t>Registre du commerce de Rome et code fiscal 04509190759</w:t>
                      </w:r>
                    </w:p>
                    <w:p w14:paraId="2A04700F" w14:textId="77777777" w:rsidR="00FB17B8" w:rsidRPr="00C17031" w:rsidRDefault="00FB17B8" w:rsidP="00783352">
                      <w:pPr>
                        <w:jc w:val="center"/>
                        <w:rPr>
                          <w:rFonts w:ascii="Cambria" w:hAnsi="Cambria"/>
                          <w:i/>
                        </w:rPr>
                      </w:pPr>
                      <w:r>
                        <w:rPr>
                          <w:rFonts w:ascii="Cambria" w:hAnsi="Cambria"/>
                          <w:i/>
                        </w:rPr>
                        <w:t xml:space="preserve"> Numéro de TVA 04509190759</w:t>
                      </w:r>
                    </w:p>
                    <w:p w14:paraId="074BAAF2" w14:textId="77777777" w:rsidR="00FB17B8" w:rsidRPr="00C17031" w:rsidRDefault="00FB17B8" w:rsidP="00783352">
                      <w:pPr>
                        <w:jc w:val="center"/>
                        <w:rPr>
                          <w:rFonts w:ascii="Cambria" w:hAnsi="Cambria"/>
                          <w:i/>
                        </w:rPr>
                      </w:pPr>
                      <w:r>
                        <w:rPr>
                          <w:rFonts w:ascii="Cambria" w:hAnsi="Cambria"/>
                          <w:i/>
                        </w:rPr>
                        <w:t>REA (registre économique et administratif) RM 1529098</w:t>
                      </w:r>
                    </w:p>
                  </w:txbxContent>
                </v:textbox>
                <w10:wrap anchorx="margin"/>
              </v:shape>
            </w:pict>
          </mc:Fallback>
        </mc:AlternateContent>
      </w:r>
    </w:p>
    <w:p w14:paraId="28D8AA39" w14:textId="376BF92F" w:rsidR="00E16D12" w:rsidRPr="0061181E" w:rsidRDefault="00E16D12" w:rsidP="00E16D12">
      <w:pPr>
        <w:pStyle w:val="Titolosommario"/>
        <w:rPr>
          <w:color w:val="auto"/>
        </w:rPr>
      </w:pPr>
      <w:r>
        <w:rPr>
          <w:color w:val="auto"/>
        </w:rPr>
        <w:lastRenderedPageBreak/>
        <w:t>SOMMAIRE</w:t>
      </w:r>
    </w:p>
    <w:p w14:paraId="44433E91" w14:textId="62C406E2" w:rsidR="009B741A" w:rsidRDefault="009B741A" w:rsidP="009B741A"/>
    <w:p w14:paraId="1548ED83" w14:textId="77777777" w:rsidR="009B741A" w:rsidRPr="0061181E" w:rsidRDefault="009B741A" w:rsidP="0061181E"/>
    <w:p w14:paraId="37C859D1" w14:textId="482C0D42" w:rsidR="00DC792B" w:rsidRDefault="00EA173D">
      <w:pPr>
        <w:pStyle w:val="Sommario1"/>
        <w:rPr>
          <w:rFonts w:asciiTheme="minorHAnsi" w:eastAsiaTheme="minorEastAsia" w:hAnsiTheme="minorHAnsi" w:cstheme="minorBidi"/>
          <w:b w:val="0"/>
          <w:sz w:val="22"/>
          <w:szCs w:val="22"/>
          <w:lang w:val="it-IT" w:eastAsia="it-IT"/>
        </w:rPr>
      </w:pPr>
      <w:r w:rsidRPr="00091BEF">
        <w:rPr>
          <w:rFonts w:ascii="Cambria" w:hAnsi="Cambria"/>
          <w:b w:val="0"/>
          <w:szCs w:val="18"/>
        </w:rPr>
        <w:fldChar w:fldCharType="begin"/>
      </w:r>
      <w:r w:rsidR="00E16D12" w:rsidRPr="00091BEF">
        <w:rPr>
          <w:rFonts w:ascii="Cambria" w:hAnsi="Cambria"/>
          <w:szCs w:val="18"/>
        </w:rPr>
        <w:instrText xml:space="preserve"> TOC \o "1-3" \h \z \u </w:instrText>
      </w:r>
      <w:r w:rsidRPr="00091BEF">
        <w:rPr>
          <w:rFonts w:ascii="Cambria" w:hAnsi="Cambria"/>
          <w:b w:val="0"/>
          <w:szCs w:val="18"/>
        </w:rPr>
        <w:fldChar w:fldCharType="separate"/>
      </w:r>
      <w:hyperlink w:anchor="_Toc112768586" w:history="1">
        <w:r w:rsidR="00DC792B" w:rsidRPr="007E0031">
          <w:rPr>
            <w:rStyle w:val="Collegamentoipertestuale"/>
          </w:rPr>
          <w:t>Rapport de gestion</w:t>
        </w:r>
        <w:r w:rsidR="00DC792B">
          <w:rPr>
            <w:webHidden/>
          </w:rPr>
          <w:tab/>
        </w:r>
        <w:r w:rsidR="00DC792B">
          <w:rPr>
            <w:webHidden/>
          </w:rPr>
          <w:fldChar w:fldCharType="begin"/>
        </w:r>
        <w:r w:rsidR="00DC792B">
          <w:rPr>
            <w:webHidden/>
          </w:rPr>
          <w:instrText xml:space="preserve"> PAGEREF _Toc112768586 \h </w:instrText>
        </w:r>
        <w:r w:rsidR="00DC792B">
          <w:rPr>
            <w:webHidden/>
          </w:rPr>
        </w:r>
        <w:r w:rsidR="00DC792B">
          <w:rPr>
            <w:webHidden/>
          </w:rPr>
          <w:fldChar w:fldCharType="separate"/>
        </w:r>
        <w:r w:rsidR="009E5F95">
          <w:rPr>
            <w:webHidden/>
          </w:rPr>
          <w:t>2</w:t>
        </w:r>
        <w:r w:rsidR="00DC792B">
          <w:rPr>
            <w:webHidden/>
          </w:rPr>
          <w:fldChar w:fldCharType="end"/>
        </w:r>
      </w:hyperlink>
    </w:p>
    <w:p w14:paraId="1C2A8543" w14:textId="642B196A" w:rsidR="00DC792B" w:rsidRDefault="00000000">
      <w:pPr>
        <w:pStyle w:val="Sommario2"/>
        <w:rPr>
          <w:rFonts w:asciiTheme="minorHAnsi" w:eastAsiaTheme="minorEastAsia" w:hAnsiTheme="minorHAnsi" w:cstheme="minorBidi"/>
          <w:noProof/>
          <w:sz w:val="22"/>
          <w:szCs w:val="22"/>
          <w:lang w:val="it-IT" w:eastAsia="it-IT"/>
        </w:rPr>
      </w:pPr>
      <w:hyperlink w:anchor="_Toc112768587" w:history="1">
        <w:r w:rsidR="00DC792B" w:rsidRPr="007E0031">
          <w:rPr>
            <w:rStyle w:val="Collegamentoipertestuale"/>
            <w:noProof/>
          </w:rPr>
          <w:t>Introduction</w:t>
        </w:r>
        <w:r w:rsidR="00DC792B">
          <w:rPr>
            <w:noProof/>
            <w:webHidden/>
          </w:rPr>
          <w:tab/>
        </w:r>
        <w:r w:rsidR="00DC792B">
          <w:rPr>
            <w:noProof/>
            <w:webHidden/>
          </w:rPr>
          <w:fldChar w:fldCharType="begin"/>
        </w:r>
        <w:r w:rsidR="00DC792B">
          <w:rPr>
            <w:noProof/>
            <w:webHidden/>
          </w:rPr>
          <w:instrText xml:space="preserve"> PAGEREF _Toc112768587 \h </w:instrText>
        </w:r>
        <w:r w:rsidR="00DC792B">
          <w:rPr>
            <w:noProof/>
            <w:webHidden/>
          </w:rPr>
        </w:r>
        <w:r w:rsidR="00DC792B">
          <w:rPr>
            <w:noProof/>
            <w:webHidden/>
          </w:rPr>
          <w:fldChar w:fldCharType="separate"/>
        </w:r>
        <w:r w:rsidR="009E5F95">
          <w:rPr>
            <w:noProof/>
            <w:webHidden/>
          </w:rPr>
          <w:t>2</w:t>
        </w:r>
        <w:r w:rsidR="00DC792B">
          <w:rPr>
            <w:noProof/>
            <w:webHidden/>
          </w:rPr>
          <w:fldChar w:fldCharType="end"/>
        </w:r>
      </w:hyperlink>
    </w:p>
    <w:p w14:paraId="2647291E" w14:textId="5A056F3D" w:rsidR="00DC792B" w:rsidRDefault="00000000">
      <w:pPr>
        <w:pStyle w:val="Sommario2"/>
        <w:rPr>
          <w:rFonts w:asciiTheme="minorHAnsi" w:eastAsiaTheme="minorEastAsia" w:hAnsiTheme="minorHAnsi" w:cstheme="minorBidi"/>
          <w:noProof/>
          <w:sz w:val="22"/>
          <w:szCs w:val="22"/>
          <w:lang w:val="it-IT" w:eastAsia="it-IT"/>
        </w:rPr>
      </w:pPr>
      <w:hyperlink w:anchor="_Toc112768588" w:history="1">
        <w:r w:rsidR="00DC792B" w:rsidRPr="007E0031">
          <w:rPr>
            <w:rStyle w:val="Collegamentoipertestuale"/>
            <w:noProof/>
          </w:rPr>
          <w:t>Conditions d'exploitation et évolution des affaires</w:t>
        </w:r>
        <w:r w:rsidR="00DC792B">
          <w:rPr>
            <w:noProof/>
            <w:webHidden/>
          </w:rPr>
          <w:tab/>
        </w:r>
        <w:r w:rsidR="00DC792B">
          <w:rPr>
            <w:noProof/>
            <w:webHidden/>
          </w:rPr>
          <w:fldChar w:fldCharType="begin"/>
        </w:r>
        <w:r w:rsidR="00DC792B">
          <w:rPr>
            <w:noProof/>
            <w:webHidden/>
          </w:rPr>
          <w:instrText xml:space="preserve"> PAGEREF _Toc112768588 \h </w:instrText>
        </w:r>
        <w:r w:rsidR="00DC792B">
          <w:rPr>
            <w:noProof/>
            <w:webHidden/>
          </w:rPr>
        </w:r>
        <w:r w:rsidR="00DC792B">
          <w:rPr>
            <w:noProof/>
            <w:webHidden/>
          </w:rPr>
          <w:fldChar w:fldCharType="separate"/>
        </w:r>
        <w:r w:rsidR="009E5F95">
          <w:rPr>
            <w:noProof/>
            <w:webHidden/>
          </w:rPr>
          <w:t>2</w:t>
        </w:r>
        <w:r w:rsidR="00DC792B">
          <w:rPr>
            <w:noProof/>
            <w:webHidden/>
          </w:rPr>
          <w:fldChar w:fldCharType="end"/>
        </w:r>
      </w:hyperlink>
    </w:p>
    <w:p w14:paraId="13012C35" w14:textId="3B87558C" w:rsidR="00DC792B" w:rsidRDefault="00000000">
      <w:pPr>
        <w:pStyle w:val="Sommario2"/>
        <w:rPr>
          <w:rFonts w:asciiTheme="minorHAnsi" w:eastAsiaTheme="minorEastAsia" w:hAnsiTheme="minorHAnsi" w:cstheme="minorBidi"/>
          <w:noProof/>
          <w:sz w:val="22"/>
          <w:szCs w:val="22"/>
          <w:lang w:val="it-IT" w:eastAsia="it-IT"/>
        </w:rPr>
      </w:pPr>
      <w:hyperlink w:anchor="_Toc112768589" w:history="1">
        <w:r w:rsidR="00DC792B" w:rsidRPr="007E0031">
          <w:rPr>
            <w:rStyle w:val="Collegamentoipertestuale"/>
            <w:noProof/>
          </w:rPr>
          <w:t>Indicateurs de performance alternatifs</w:t>
        </w:r>
        <w:r w:rsidR="00DC792B">
          <w:rPr>
            <w:noProof/>
            <w:webHidden/>
          </w:rPr>
          <w:tab/>
        </w:r>
        <w:r w:rsidR="00DC792B">
          <w:rPr>
            <w:noProof/>
            <w:webHidden/>
          </w:rPr>
          <w:fldChar w:fldCharType="begin"/>
        </w:r>
        <w:r w:rsidR="00DC792B">
          <w:rPr>
            <w:noProof/>
            <w:webHidden/>
          </w:rPr>
          <w:instrText xml:space="preserve"> PAGEREF _Toc112768589 \h </w:instrText>
        </w:r>
        <w:r w:rsidR="00DC792B">
          <w:rPr>
            <w:noProof/>
            <w:webHidden/>
          </w:rPr>
        </w:r>
        <w:r w:rsidR="00DC792B">
          <w:rPr>
            <w:noProof/>
            <w:webHidden/>
          </w:rPr>
          <w:fldChar w:fldCharType="separate"/>
        </w:r>
        <w:r w:rsidR="009E5F95">
          <w:rPr>
            <w:noProof/>
            <w:webHidden/>
          </w:rPr>
          <w:t>2</w:t>
        </w:r>
        <w:r w:rsidR="00DC792B">
          <w:rPr>
            <w:noProof/>
            <w:webHidden/>
          </w:rPr>
          <w:fldChar w:fldCharType="end"/>
        </w:r>
      </w:hyperlink>
    </w:p>
    <w:p w14:paraId="2F09AB98" w14:textId="0CEF7115" w:rsidR="00DC792B" w:rsidRDefault="00000000">
      <w:pPr>
        <w:pStyle w:val="Sommario2"/>
        <w:rPr>
          <w:rFonts w:asciiTheme="minorHAnsi" w:eastAsiaTheme="minorEastAsia" w:hAnsiTheme="minorHAnsi" w:cstheme="minorBidi"/>
          <w:noProof/>
          <w:sz w:val="22"/>
          <w:szCs w:val="22"/>
          <w:lang w:val="it-IT" w:eastAsia="it-IT"/>
        </w:rPr>
      </w:pPr>
      <w:hyperlink w:anchor="_Toc112768590" w:history="1">
        <w:r w:rsidR="00DC792B" w:rsidRPr="007E0031">
          <w:rPr>
            <w:rStyle w:val="Collegamentoipertestuale"/>
            <w:noProof/>
          </w:rPr>
          <w:t>Performance de management en 2021</w:t>
        </w:r>
        <w:r w:rsidR="00DC792B">
          <w:rPr>
            <w:noProof/>
            <w:webHidden/>
          </w:rPr>
          <w:tab/>
        </w:r>
        <w:r w:rsidR="00DC792B">
          <w:rPr>
            <w:noProof/>
            <w:webHidden/>
          </w:rPr>
          <w:fldChar w:fldCharType="begin"/>
        </w:r>
        <w:r w:rsidR="00DC792B">
          <w:rPr>
            <w:noProof/>
            <w:webHidden/>
          </w:rPr>
          <w:instrText xml:space="preserve"> PAGEREF _Toc112768590 \h </w:instrText>
        </w:r>
        <w:r w:rsidR="00DC792B">
          <w:rPr>
            <w:noProof/>
            <w:webHidden/>
          </w:rPr>
        </w:r>
        <w:r w:rsidR="00DC792B">
          <w:rPr>
            <w:noProof/>
            <w:webHidden/>
          </w:rPr>
          <w:fldChar w:fldCharType="separate"/>
        </w:r>
        <w:r w:rsidR="009E5F95">
          <w:rPr>
            <w:noProof/>
            <w:webHidden/>
          </w:rPr>
          <w:t>3</w:t>
        </w:r>
        <w:r w:rsidR="00DC792B">
          <w:rPr>
            <w:noProof/>
            <w:webHidden/>
          </w:rPr>
          <w:fldChar w:fldCharType="end"/>
        </w:r>
      </w:hyperlink>
    </w:p>
    <w:p w14:paraId="7557CAB6" w14:textId="09FF0E42" w:rsidR="00DC792B" w:rsidRPr="0053795D" w:rsidRDefault="00000000" w:rsidP="0053795D">
      <w:pPr>
        <w:pStyle w:val="Sommario2"/>
        <w:rPr>
          <w:rFonts w:asciiTheme="minorHAnsi" w:eastAsiaTheme="minorEastAsia" w:hAnsiTheme="minorHAnsi" w:cstheme="minorBidi"/>
          <w:noProof/>
          <w:sz w:val="22"/>
          <w:szCs w:val="22"/>
          <w:lang w:val="it-IT" w:eastAsia="it-IT"/>
        </w:rPr>
      </w:pPr>
      <w:hyperlink w:anchor="_Toc112768591" w:history="1">
        <w:r w:rsidR="00DC792B" w:rsidRPr="007E0031">
          <w:rPr>
            <w:rStyle w:val="Collegamentoipertestuale"/>
            <w:noProof/>
          </w:rPr>
          <w:t>Principales données du compte de résultat</w:t>
        </w:r>
        <w:r w:rsidR="00DC792B">
          <w:rPr>
            <w:noProof/>
            <w:webHidden/>
          </w:rPr>
          <w:tab/>
        </w:r>
        <w:r w:rsidR="00DC792B">
          <w:rPr>
            <w:noProof/>
            <w:webHidden/>
          </w:rPr>
          <w:fldChar w:fldCharType="begin"/>
        </w:r>
        <w:r w:rsidR="00DC792B">
          <w:rPr>
            <w:noProof/>
            <w:webHidden/>
          </w:rPr>
          <w:instrText xml:space="preserve"> PAGEREF _Toc112768591 \h </w:instrText>
        </w:r>
        <w:r w:rsidR="00DC792B">
          <w:rPr>
            <w:noProof/>
            <w:webHidden/>
          </w:rPr>
        </w:r>
        <w:r w:rsidR="00DC792B">
          <w:rPr>
            <w:noProof/>
            <w:webHidden/>
          </w:rPr>
          <w:fldChar w:fldCharType="separate"/>
        </w:r>
        <w:r w:rsidR="009E5F95">
          <w:rPr>
            <w:noProof/>
            <w:webHidden/>
          </w:rPr>
          <w:t>4</w:t>
        </w:r>
        <w:r w:rsidR="00DC792B">
          <w:rPr>
            <w:noProof/>
            <w:webHidden/>
          </w:rPr>
          <w:fldChar w:fldCharType="end"/>
        </w:r>
      </w:hyperlink>
    </w:p>
    <w:p w14:paraId="5A421342" w14:textId="63AB9FF3" w:rsidR="00DC792B" w:rsidRPr="0053795D" w:rsidRDefault="00000000" w:rsidP="0053795D">
      <w:pPr>
        <w:pStyle w:val="Sommario2"/>
        <w:rPr>
          <w:rFonts w:asciiTheme="minorHAnsi" w:eastAsiaTheme="minorEastAsia" w:hAnsiTheme="minorHAnsi" w:cstheme="minorBidi"/>
          <w:noProof/>
          <w:sz w:val="22"/>
          <w:szCs w:val="22"/>
          <w:lang w:val="it-IT" w:eastAsia="it-IT"/>
        </w:rPr>
      </w:pPr>
      <w:hyperlink w:anchor="_Toc112768599" w:history="1">
        <w:r w:rsidR="00DC792B" w:rsidRPr="007E0031">
          <w:rPr>
            <w:rStyle w:val="Collegamentoipertestuale"/>
            <w:noProof/>
          </w:rPr>
          <w:t>Principales données de l'état de la situation financière</w:t>
        </w:r>
        <w:r w:rsidR="00DC792B">
          <w:rPr>
            <w:noProof/>
            <w:webHidden/>
          </w:rPr>
          <w:tab/>
        </w:r>
        <w:r w:rsidR="00DC792B">
          <w:rPr>
            <w:noProof/>
            <w:webHidden/>
          </w:rPr>
          <w:fldChar w:fldCharType="begin"/>
        </w:r>
        <w:r w:rsidR="00DC792B">
          <w:rPr>
            <w:noProof/>
            <w:webHidden/>
          </w:rPr>
          <w:instrText xml:space="preserve"> PAGEREF _Toc112768599 \h </w:instrText>
        </w:r>
        <w:r w:rsidR="00DC792B">
          <w:rPr>
            <w:noProof/>
            <w:webHidden/>
          </w:rPr>
        </w:r>
        <w:r w:rsidR="00DC792B">
          <w:rPr>
            <w:noProof/>
            <w:webHidden/>
          </w:rPr>
          <w:fldChar w:fldCharType="separate"/>
        </w:r>
        <w:r w:rsidR="009E5F95">
          <w:rPr>
            <w:noProof/>
            <w:webHidden/>
          </w:rPr>
          <w:t>5</w:t>
        </w:r>
        <w:r w:rsidR="00DC792B">
          <w:rPr>
            <w:noProof/>
            <w:webHidden/>
          </w:rPr>
          <w:fldChar w:fldCharType="end"/>
        </w:r>
      </w:hyperlink>
    </w:p>
    <w:p w14:paraId="33E9A0D8" w14:textId="684AE0DB" w:rsidR="00DC792B" w:rsidRDefault="00000000">
      <w:pPr>
        <w:pStyle w:val="Sommario2"/>
        <w:rPr>
          <w:rFonts w:asciiTheme="minorHAnsi" w:eastAsiaTheme="minorEastAsia" w:hAnsiTheme="minorHAnsi" w:cstheme="minorBidi"/>
          <w:noProof/>
          <w:sz w:val="22"/>
          <w:szCs w:val="22"/>
          <w:lang w:val="it-IT" w:eastAsia="it-IT"/>
        </w:rPr>
      </w:pPr>
      <w:hyperlink w:anchor="_Toc112768603" w:history="1">
        <w:r w:rsidR="00DC792B" w:rsidRPr="007E0031">
          <w:rPr>
            <w:rStyle w:val="Collegamentoipertestuale"/>
            <w:noProof/>
          </w:rPr>
          <w:t>Principales données de l'état des flux de trésorerie</w:t>
        </w:r>
        <w:r w:rsidR="00DC792B">
          <w:rPr>
            <w:noProof/>
            <w:webHidden/>
          </w:rPr>
          <w:tab/>
        </w:r>
        <w:r w:rsidR="00DC792B">
          <w:rPr>
            <w:noProof/>
            <w:webHidden/>
          </w:rPr>
          <w:fldChar w:fldCharType="begin"/>
        </w:r>
        <w:r w:rsidR="00DC792B">
          <w:rPr>
            <w:noProof/>
            <w:webHidden/>
          </w:rPr>
          <w:instrText xml:space="preserve"> PAGEREF _Toc112768603 \h </w:instrText>
        </w:r>
        <w:r w:rsidR="00DC792B">
          <w:rPr>
            <w:noProof/>
            <w:webHidden/>
          </w:rPr>
        </w:r>
        <w:r w:rsidR="00DC792B">
          <w:rPr>
            <w:noProof/>
            <w:webHidden/>
          </w:rPr>
          <w:fldChar w:fldCharType="separate"/>
        </w:r>
        <w:r w:rsidR="009E5F95">
          <w:rPr>
            <w:noProof/>
            <w:webHidden/>
          </w:rPr>
          <w:t>6</w:t>
        </w:r>
        <w:r w:rsidR="00DC792B">
          <w:rPr>
            <w:noProof/>
            <w:webHidden/>
          </w:rPr>
          <w:fldChar w:fldCharType="end"/>
        </w:r>
      </w:hyperlink>
    </w:p>
    <w:p w14:paraId="57F720EF" w14:textId="0D810B3F" w:rsidR="00DC792B" w:rsidRPr="0053795D" w:rsidRDefault="00000000" w:rsidP="0053795D">
      <w:pPr>
        <w:pStyle w:val="Sommario2"/>
        <w:rPr>
          <w:rFonts w:asciiTheme="minorHAnsi" w:eastAsiaTheme="minorEastAsia" w:hAnsiTheme="minorHAnsi" w:cstheme="minorBidi"/>
          <w:noProof/>
          <w:sz w:val="22"/>
          <w:szCs w:val="22"/>
          <w:lang w:val="it-IT" w:eastAsia="it-IT"/>
        </w:rPr>
      </w:pPr>
      <w:hyperlink w:anchor="_Toc112768604" w:history="1">
        <w:r w:rsidR="00DC792B" w:rsidRPr="007E0031">
          <w:rPr>
            <w:rStyle w:val="Collegamentoipertestuale"/>
            <w:noProof/>
          </w:rPr>
          <w:t>Indicateurs économiques et d'efficacité</w:t>
        </w:r>
        <w:r w:rsidR="00DC792B">
          <w:rPr>
            <w:noProof/>
            <w:webHidden/>
          </w:rPr>
          <w:tab/>
        </w:r>
        <w:r w:rsidR="00DC792B">
          <w:rPr>
            <w:noProof/>
            <w:webHidden/>
          </w:rPr>
          <w:fldChar w:fldCharType="begin"/>
        </w:r>
        <w:r w:rsidR="00DC792B">
          <w:rPr>
            <w:noProof/>
            <w:webHidden/>
          </w:rPr>
          <w:instrText xml:space="preserve"> PAGEREF _Toc112768604 \h </w:instrText>
        </w:r>
        <w:r w:rsidR="00DC792B">
          <w:rPr>
            <w:noProof/>
            <w:webHidden/>
          </w:rPr>
        </w:r>
        <w:r w:rsidR="00DC792B">
          <w:rPr>
            <w:noProof/>
            <w:webHidden/>
          </w:rPr>
          <w:fldChar w:fldCharType="separate"/>
        </w:r>
        <w:r w:rsidR="009E5F95">
          <w:rPr>
            <w:noProof/>
            <w:webHidden/>
          </w:rPr>
          <w:t>6</w:t>
        </w:r>
        <w:r w:rsidR="00DC792B">
          <w:rPr>
            <w:noProof/>
            <w:webHidden/>
          </w:rPr>
          <w:fldChar w:fldCharType="end"/>
        </w:r>
      </w:hyperlink>
    </w:p>
    <w:p w14:paraId="3EB75DC5" w14:textId="4FAF3B4D" w:rsidR="00DC792B" w:rsidRDefault="00000000">
      <w:pPr>
        <w:pStyle w:val="Sommario2"/>
        <w:rPr>
          <w:rFonts w:asciiTheme="minorHAnsi" w:eastAsiaTheme="minorEastAsia" w:hAnsiTheme="minorHAnsi" w:cstheme="minorBidi"/>
          <w:noProof/>
          <w:sz w:val="22"/>
          <w:szCs w:val="22"/>
          <w:lang w:val="it-IT" w:eastAsia="it-IT"/>
        </w:rPr>
      </w:pPr>
      <w:hyperlink w:anchor="_Toc112768607" w:history="1">
        <w:r w:rsidR="00DC792B" w:rsidRPr="007E0031">
          <w:rPr>
            <w:rStyle w:val="Collegamentoipertestuale"/>
            <w:noProof/>
          </w:rPr>
          <w:t>Informations relatives à l'environnement et au personnel</w:t>
        </w:r>
        <w:r w:rsidR="00DC792B">
          <w:rPr>
            <w:noProof/>
            <w:webHidden/>
          </w:rPr>
          <w:tab/>
        </w:r>
        <w:r w:rsidR="00DC792B">
          <w:rPr>
            <w:noProof/>
            <w:webHidden/>
          </w:rPr>
          <w:fldChar w:fldCharType="begin"/>
        </w:r>
        <w:r w:rsidR="00DC792B">
          <w:rPr>
            <w:noProof/>
            <w:webHidden/>
          </w:rPr>
          <w:instrText xml:space="preserve"> PAGEREF _Toc112768607 \h </w:instrText>
        </w:r>
        <w:r w:rsidR="00DC792B">
          <w:rPr>
            <w:noProof/>
            <w:webHidden/>
          </w:rPr>
        </w:r>
        <w:r w:rsidR="00DC792B">
          <w:rPr>
            <w:noProof/>
            <w:webHidden/>
          </w:rPr>
          <w:fldChar w:fldCharType="separate"/>
        </w:r>
        <w:r w:rsidR="009E5F95">
          <w:rPr>
            <w:noProof/>
            <w:webHidden/>
          </w:rPr>
          <w:t>7</w:t>
        </w:r>
        <w:r w:rsidR="00DC792B">
          <w:rPr>
            <w:noProof/>
            <w:webHidden/>
          </w:rPr>
          <w:fldChar w:fldCharType="end"/>
        </w:r>
      </w:hyperlink>
    </w:p>
    <w:p w14:paraId="1B952C74" w14:textId="07E3AFF6" w:rsidR="00DC792B" w:rsidRDefault="00000000">
      <w:pPr>
        <w:pStyle w:val="Sommario2"/>
        <w:rPr>
          <w:rFonts w:asciiTheme="minorHAnsi" w:eastAsiaTheme="minorEastAsia" w:hAnsiTheme="minorHAnsi" w:cstheme="minorBidi"/>
          <w:noProof/>
          <w:sz w:val="22"/>
          <w:szCs w:val="22"/>
          <w:lang w:val="it-IT" w:eastAsia="it-IT"/>
        </w:rPr>
      </w:pPr>
      <w:hyperlink w:anchor="_Toc112768608" w:history="1">
        <w:r w:rsidR="00DC792B" w:rsidRPr="007E0031">
          <w:rPr>
            <w:rStyle w:val="Collegamentoipertestuale"/>
            <w:noProof/>
          </w:rPr>
          <w:t>Investissements</w:t>
        </w:r>
        <w:r w:rsidR="00DC792B">
          <w:rPr>
            <w:noProof/>
            <w:webHidden/>
          </w:rPr>
          <w:tab/>
        </w:r>
        <w:r w:rsidR="00DC792B">
          <w:rPr>
            <w:noProof/>
            <w:webHidden/>
          </w:rPr>
          <w:fldChar w:fldCharType="begin"/>
        </w:r>
        <w:r w:rsidR="00DC792B">
          <w:rPr>
            <w:noProof/>
            <w:webHidden/>
          </w:rPr>
          <w:instrText xml:space="preserve"> PAGEREF _Toc112768608 \h </w:instrText>
        </w:r>
        <w:r w:rsidR="00DC792B">
          <w:rPr>
            <w:noProof/>
            <w:webHidden/>
          </w:rPr>
        </w:r>
        <w:r w:rsidR="00DC792B">
          <w:rPr>
            <w:noProof/>
            <w:webHidden/>
          </w:rPr>
          <w:fldChar w:fldCharType="separate"/>
        </w:r>
        <w:r w:rsidR="009E5F95">
          <w:rPr>
            <w:noProof/>
            <w:webHidden/>
          </w:rPr>
          <w:t>8</w:t>
        </w:r>
        <w:r w:rsidR="00DC792B">
          <w:rPr>
            <w:noProof/>
            <w:webHidden/>
          </w:rPr>
          <w:fldChar w:fldCharType="end"/>
        </w:r>
      </w:hyperlink>
    </w:p>
    <w:p w14:paraId="44D72878" w14:textId="30863E29" w:rsidR="00DC792B" w:rsidRDefault="00000000">
      <w:pPr>
        <w:pStyle w:val="Sommario2"/>
        <w:rPr>
          <w:rFonts w:asciiTheme="minorHAnsi" w:eastAsiaTheme="minorEastAsia" w:hAnsiTheme="minorHAnsi" w:cstheme="minorBidi"/>
          <w:noProof/>
          <w:sz w:val="22"/>
          <w:szCs w:val="22"/>
          <w:lang w:val="it-IT" w:eastAsia="it-IT"/>
        </w:rPr>
      </w:pPr>
      <w:hyperlink w:anchor="_Toc112768609" w:history="1">
        <w:r w:rsidR="00DC792B" w:rsidRPr="007E0031">
          <w:rPr>
            <w:rStyle w:val="Collegamentoipertestuale"/>
            <w:noProof/>
          </w:rPr>
          <w:t>Activités de recherche et de développement</w:t>
        </w:r>
        <w:r w:rsidR="00DC792B">
          <w:rPr>
            <w:noProof/>
            <w:webHidden/>
          </w:rPr>
          <w:tab/>
        </w:r>
        <w:r w:rsidR="00DC792B">
          <w:rPr>
            <w:noProof/>
            <w:webHidden/>
          </w:rPr>
          <w:fldChar w:fldCharType="begin"/>
        </w:r>
        <w:r w:rsidR="00DC792B">
          <w:rPr>
            <w:noProof/>
            <w:webHidden/>
          </w:rPr>
          <w:instrText xml:space="preserve"> PAGEREF _Toc112768609 \h </w:instrText>
        </w:r>
        <w:r w:rsidR="00DC792B">
          <w:rPr>
            <w:noProof/>
            <w:webHidden/>
          </w:rPr>
        </w:r>
        <w:r w:rsidR="00DC792B">
          <w:rPr>
            <w:noProof/>
            <w:webHidden/>
          </w:rPr>
          <w:fldChar w:fldCharType="separate"/>
        </w:r>
        <w:r w:rsidR="009E5F95">
          <w:rPr>
            <w:noProof/>
            <w:webHidden/>
          </w:rPr>
          <w:t>8</w:t>
        </w:r>
        <w:r w:rsidR="00DC792B">
          <w:rPr>
            <w:noProof/>
            <w:webHidden/>
          </w:rPr>
          <w:fldChar w:fldCharType="end"/>
        </w:r>
      </w:hyperlink>
    </w:p>
    <w:p w14:paraId="0D3864A1" w14:textId="3A90EABA" w:rsidR="00DC792B" w:rsidRDefault="00000000">
      <w:pPr>
        <w:pStyle w:val="Sommario2"/>
        <w:rPr>
          <w:rFonts w:asciiTheme="minorHAnsi" w:eastAsiaTheme="minorEastAsia" w:hAnsiTheme="minorHAnsi" w:cstheme="minorBidi"/>
          <w:noProof/>
          <w:sz w:val="22"/>
          <w:szCs w:val="22"/>
          <w:lang w:val="it-IT" w:eastAsia="it-IT"/>
        </w:rPr>
      </w:pPr>
      <w:hyperlink w:anchor="_Toc112768610" w:history="1">
        <w:r w:rsidR="00DC792B" w:rsidRPr="007E0031">
          <w:rPr>
            <w:rStyle w:val="Collegamentoipertestuale"/>
            <w:noProof/>
          </w:rPr>
          <w:t>Relations avec les parties liées</w:t>
        </w:r>
        <w:r w:rsidR="00DC792B">
          <w:rPr>
            <w:noProof/>
            <w:webHidden/>
          </w:rPr>
          <w:tab/>
        </w:r>
        <w:r w:rsidR="00DC792B">
          <w:rPr>
            <w:noProof/>
            <w:webHidden/>
          </w:rPr>
          <w:fldChar w:fldCharType="begin"/>
        </w:r>
        <w:r w:rsidR="00DC792B">
          <w:rPr>
            <w:noProof/>
            <w:webHidden/>
          </w:rPr>
          <w:instrText xml:space="preserve"> PAGEREF _Toc112768610 \h </w:instrText>
        </w:r>
        <w:r w:rsidR="00DC792B">
          <w:rPr>
            <w:noProof/>
            <w:webHidden/>
          </w:rPr>
        </w:r>
        <w:r w:rsidR="00DC792B">
          <w:rPr>
            <w:noProof/>
            <w:webHidden/>
          </w:rPr>
          <w:fldChar w:fldCharType="separate"/>
        </w:r>
        <w:r w:rsidR="009E5F95">
          <w:rPr>
            <w:noProof/>
            <w:webHidden/>
          </w:rPr>
          <w:t>8</w:t>
        </w:r>
        <w:r w:rsidR="00DC792B">
          <w:rPr>
            <w:noProof/>
            <w:webHidden/>
          </w:rPr>
          <w:fldChar w:fldCharType="end"/>
        </w:r>
      </w:hyperlink>
    </w:p>
    <w:p w14:paraId="47793095" w14:textId="12BF3EA1" w:rsidR="00DC792B" w:rsidRDefault="00000000">
      <w:pPr>
        <w:pStyle w:val="Sommario2"/>
        <w:rPr>
          <w:rFonts w:asciiTheme="minorHAnsi" w:eastAsiaTheme="minorEastAsia" w:hAnsiTheme="minorHAnsi" w:cstheme="minorBidi"/>
          <w:noProof/>
          <w:sz w:val="22"/>
          <w:szCs w:val="22"/>
          <w:lang w:val="it-IT" w:eastAsia="it-IT"/>
        </w:rPr>
      </w:pPr>
      <w:hyperlink w:anchor="_Toc112768611" w:history="1">
        <w:r w:rsidR="00DC792B" w:rsidRPr="007E0031">
          <w:rPr>
            <w:rStyle w:val="Collegamentoipertestuale"/>
            <w:noProof/>
          </w:rPr>
          <w:t>Actions propres et actions/quotas des sociétés mères</w:t>
        </w:r>
        <w:r w:rsidR="00DC792B">
          <w:rPr>
            <w:noProof/>
            <w:webHidden/>
          </w:rPr>
          <w:tab/>
        </w:r>
        <w:r w:rsidR="00DC792B">
          <w:rPr>
            <w:noProof/>
            <w:webHidden/>
          </w:rPr>
          <w:fldChar w:fldCharType="begin"/>
        </w:r>
        <w:r w:rsidR="00DC792B">
          <w:rPr>
            <w:noProof/>
            <w:webHidden/>
          </w:rPr>
          <w:instrText xml:space="preserve"> PAGEREF _Toc112768611 \h </w:instrText>
        </w:r>
        <w:r w:rsidR="00DC792B">
          <w:rPr>
            <w:noProof/>
            <w:webHidden/>
          </w:rPr>
        </w:r>
        <w:r w:rsidR="00DC792B">
          <w:rPr>
            <w:noProof/>
            <w:webHidden/>
          </w:rPr>
          <w:fldChar w:fldCharType="separate"/>
        </w:r>
        <w:r w:rsidR="009E5F95">
          <w:rPr>
            <w:noProof/>
            <w:webHidden/>
          </w:rPr>
          <w:t>9</w:t>
        </w:r>
        <w:r w:rsidR="00DC792B">
          <w:rPr>
            <w:noProof/>
            <w:webHidden/>
          </w:rPr>
          <w:fldChar w:fldCharType="end"/>
        </w:r>
      </w:hyperlink>
    </w:p>
    <w:p w14:paraId="0F499188" w14:textId="1CA689D1" w:rsidR="00DC792B" w:rsidRDefault="00000000">
      <w:pPr>
        <w:pStyle w:val="Sommario2"/>
        <w:rPr>
          <w:rFonts w:asciiTheme="minorHAnsi" w:eastAsiaTheme="minorEastAsia" w:hAnsiTheme="minorHAnsi" w:cstheme="minorBidi"/>
          <w:noProof/>
          <w:sz w:val="22"/>
          <w:szCs w:val="22"/>
          <w:lang w:val="it-IT" w:eastAsia="it-IT"/>
        </w:rPr>
      </w:pPr>
      <w:hyperlink w:anchor="_Toc112768612" w:history="1">
        <w:r w:rsidR="00DC792B" w:rsidRPr="007E0031">
          <w:rPr>
            <w:rStyle w:val="Collegamentoipertestuale"/>
            <w:noProof/>
          </w:rPr>
          <w:t>Principaux risques et incertitudes</w:t>
        </w:r>
        <w:r w:rsidR="00DC792B">
          <w:rPr>
            <w:noProof/>
            <w:webHidden/>
          </w:rPr>
          <w:tab/>
        </w:r>
        <w:r w:rsidR="00DC792B">
          <w:rPr>
            <w:noProof/>
            <w:webHidden/>
          </w:rPr>
          <w:fldChar w:fldCharType="begin"/>
        </w:r>
        <w:r w:rsidR="00DC792B">
          <w:rPr>
            <w:noProof/>
            <w:webHidden/>
          </w:rPr>
          <w:instrText xml:space="preserve"> PAGEREF _Toc112768612 \h </w:instrText>
        </w:r>
        <w:r w:rsidR="00DC792B">
          <w:rPr>
            <w:noProof/>
            <w:webHidden/>
          </w:rPr>
        </w:r>
        <w:r w:rsidR="00DC792B">
          <w:rPr>
            <w:noProof/>
            <w:webHidden/>
          </w:rPr>
          <w:fldChar w:fldCharType="separate"/>
        </w:r>
        <w:r w:rsidR="009E5F95">
          <w:rPr>
            <w:noProof/>
            <w:webHidden/>
          </w:rPr>
          <w:t>9</w:t>
        </w:r>
        <w:r w:rsidR="00DC792B">
          <w:rPr>
            <w:noProof/>
            <w:webHidden/>
          </w:rPr>
          <w:fldChar w:fldCharType="end"/>
        </w:r>
      </w:hyperlink>
    </w:p>
    <w:p w14:paraId="1460DA3D" w14:textId="2B45E886" w:rsidR="00DC792B" w:rsidRDefault="00000000">
      <w:pPr>
        <w:pStyle w:val="Sommario2"/>
        <w:rPr>
          <w:rFonts w:asciiTheme="minorHAnsi" w:eastAsiaTheme="minorEastAsia" w:hAnsiTheme="minorHAnsi" w:cstheme="minorBidi"/>
          <w:noProof/>
          <w:sz w:val="22"/>
          <w:szCs w:val="22"/>
          <w:lang w:val="it-IT" w:eastAsia="it-IT"/>
        </w:rPr>
      </w:pPr>
      <w:hyperlink w:anchor="_Toc112768613" w:history="1">
        <w:r w:rsidR="00DC792B" w:rsidRPr="007E0031">
          <w:rPr>
            <w:rStyle w:val="Collegamentoipertestuale"/>
            <w:noProof/>
          </w:rPr>
          <w:t>Situation économique</w:t>
        </w:r>
        <w:r w:rsidR="00DC792B">
          <w:rPr>
            <w:noProof/>
            <w:webHidden/>
          </w:rPr>
          <w:tab/>
        </w:r>
        <w:r w:rsidR="00DC792B">
          <w:rPr>
            <w:noProof/>
            <w:webHidden/>
          </w:rPr>
          <w:fldChar w:fldCharType="begin"/>
        </w:r>
        <w:r w:rsidR="00DC792B">
          <w:rPr>
            <w:noProof/>
            <w:webHidden/>
          </w:rPr>
          <w:instrText xml:space="preserve"> PAGEREF _Toc112768613 \h </w:instrText>
        </w:r>
        <w:r w:rsidR="00DC792B">
          <w:rPr>
            <w:noProof/>
            <w:webHidden/>
          </w:rPr>
        </w:r>
        <w:r w:rsidR="00DC792B">
          <w:rPr>
            <w:noProof/>
            <w:webHidden/>
          </w:rPr>
          <w:fldChar w:fldCharType="separate"/>
        </w:r>
        <w:r w:rsidR="009E5F95">
          <w:rPr>
            <w:noProof/>
            <w:webHidden/>
          </w:rPr>
          <w:t>9</w:t>
        </w:r>
        <w:r w:rsidR="00DC792B">
          <w:rPr>
            <w:noProof/>
            <w:webHidden/>
          </w:rPr>
          <w:fldChar w:fldCharType="end"/>
        </w:r>
      </w:hyperlink>
    </w:p>
    <w:p w14:paraId="62A102BE" w14:textId="04B67F1A" w:rsidR="00DC792B" w:rsidRDefault="00000000">
      <w:pPr>
        <w:pStyle w:val="Sommario1"/>
        <w:rPr>
          <w:rFonts w:asciiTheme="minorHAnsi" w:eastAsiaTheme="minorEastAsia" w:hAnsiTheme="minorHAnsi" w:cstheme="minorBidi"/>
          <w:b w:val="0"/>
          <w:sz w:val="22"/>
          <w:szCs w:val="22"/>
          <w:lang w:val="it-IT" w:eastAsia="it-IT"/>
        </w:rPr>
      </w:pPr>
      <w:hyperlink w:anchor="_Toc112768614" w:history="1">
        <w:r w:rsidR="00DC792B" w:rsidRPr="007E0031">
          <w:rPr>
            <w:rStyle w:val="Collegamentoipertestuale"/>
          </w:rPr>
          <w:t>État de la situation financière</w:t>
        </w:r>
        <w:r w:rsidR="00DC792B">
          <w:rPr>
            <w:webHidden/>
          </w:rPr>
          <w:tab/>
        </w:r>
        <w:r w:rsidR="00DC792B">
          <w:rPr>
            <w:webHidden/>
          </w:rPr>
          <w:fldChar w:fldCharType="begin"/>
        </w:r>
        <w:r w:rsidR="00DC792B">
          <w:rPr>
            <w:webHidden/>
          </w:rPr>
          <w:instrText xml:space="preserve"> PAGEREF _Toc112768614 \h </w:instrText>
        </w:r>
        <w:r w:rsidR="00DC792B">
          <w:rPr>
            <w:webHidden/>
          </w:rPr>
        </w:r>
        <w:r w:rsidR="00DC792B">
          <w:rPr>
            <w:webHidden/>
          </w:rPr>
          <w:fldChar w:fldCharType="separate"/>
        </w:r>
        <w:r w:rsidR="009E5F95">
          <w:rPr>
            <w:webHidden/>
          </w:rPr>
          <w:t>10</w:t>
        </w:r>
        <w:r w:rsidR="00DC792B">
          <w:rPr>
            <w:webHidden/>
          </w:rPr>
          <w:fldChar w:fldCharType="end"/>
        </w:r>
      </w:hyperlink>
    </w:p>
    <w:p w14:paraId="55F30FC9" w14:textId="13E3004B" w:rsidR="00DC792B" w:rsidRDefault="00000000">
      <w:pPr>
        <w:pStyle w:val="Sommario1"/>
        <w:rPr>
          <w:rFonts w:asciiTheme="minorHAnsi" w:eastAsiaTheme="minorEastAsia" w:hAnsiTheme="minorHAnsi" w:cstheme="minorBidi"/>
          <w:b w:val="0"/>
          <w:sz w:val="22"/>
          <w:szCs w:val="22"/>
          <w:lang w:val="it-IT" w:eastAsia="it-IT"/>
        </w:rPr>
      </w:pPr>
      <w:hyperlink w:anchor="_Toc112768615" w:history="1">
        <w:r w:rsidR="00DC792B" w:rsidRPr="007E0031">
          <w:rPr>
            <w:rStyle w:val="Collegamentoipertestuale"/>
          </w:rPr>
          <w:t>Compte de résultat</w:t>
        </w:r>
        <w:r w:rsidR="00DC792B">
          <w:rPr>
            <w:webHidden/>
          </w:rPr>
          <w:tab/>
        </w:r>
        <w:r w:rsidR="00DC792B">
          <w:rPr>
            <w:webHidden/>
          </w:rPr>
          <w:fldChar w:fldCharType="begin"/>
        </w:r>
        <w:r w:rsidR="00DC792B">
          <w:rPr>
            <w:webHidden/>
          </w:rPr>
          <w:instrText xml:space="preserve"> PAGEREF _Toc112768615 \h </w:instrText>
        </w:r>
        <w:r w:rsidR="00DC792B">
          <w:rPr>
            <w:webHidden/>
          </w:rPr>
        </w:r>
        <w:r w:rsidR="00DC792B">
          <w:rPr>
            <w:webHidden/>
          </w:rPr>
          <w:fldChar w:fldCharType="separate"/>
        </w:r>
        <w:r w:rsidR="009E5F95">
          <w:rPr>
            <w:webHidden/>
          </w:rPr>
          <w:t>11</w:t>
        </w:r>
        <w:r w:rsidR="00DC792B">
          <w:rPr>
            <w:webHidden/>
          </w:rPr>
          <w:fldChar w:fldCharType="end"/>
        </w:r>
      </w:hyperlink>
    </w:p>
    <w:p w14:paraId="68B166E9" w14:textId="35793216" w:rsidR="00DC792B" w:rsidRDefault="00000000">
      <w:pPr>
        <w:pStyle w:val="Sommario1"/>
        <w:rPr>
          <w:rFonts w:asciiTheme="minorHAnsi" w:eastAsiaTheme="minorEastAsia" w:hAnsiTheme="minorHAnsi" w:cstheme="minorBidi"/>
          <w:b w:val="0"/>
          <w:sz w:val="22"/>
          <w:szCs w:val="22"/>
          <w:lang w:val="it-IT" w:eastAsia="it-IT"/>
        </w:rPr>
      </w:pPr>
      <w:hyperlink w:anchor="_Toc112768616" w:history="1">
        <w:r w:rsidR="00DC792B" w:rsidRPr="007E0031">
          <w:rPr>
            <w:rStyle w:val="Collegamentoipertestuale"/>
          </w:rPr>
          <w:t>Compte de résultat global</w:t>
        </w:r>
        <w:r w:rsidR="00DC792B">
          <w:rPr>
            <w:webHidden/>
          </w:rPr>
          <w:tab/>
        </w:r>
        <w:r w:rsidR="00DC792B">
          <w:rPr>
            <w:webHidden/>
          </w:rPr>
          <w:fldChar w:fldCharType="begin"/>
        </w:r>
        <w:r w:rsidR="00DC792B">
          <w:rPr>
            <w:webHidden/>
          </w:rPr>
          <w:instrText xml:space="preserve"> PAGEREF _Toc112768616 \h </w:instrText>
        </w:r>
        <w:r w:rsidR="00DC792B">
          <w:rPr>
            <w:webHidden/>
          </w:rPr>
        </w:r>
        <w:r w:rsidR="00DC792B">
          <w:rPr>
            <w:webHidden/>
          </w:rPr>
          <w:fldChar w:fldCharType="separate"/>
        </w:r>
        <w:r w:rsidR="009E5F95">
          <w:rPr>
            <w:webHidden/>
          </w:rPr>
          <w:t>12</w:t>
        </w:r>
        <w:r w:rsidR="00DC792B">
          <w:rPr>
            <w:webHidden/>
          </w:rPr>
          <w:fldChar w:fldCharType="end"/>
        </w:r>
      </w:hyperlink>
    </w:p>
    <w:p w14:paraId="78C5F120" w14:textId="17C8C501" w:rsidR="00DC792B" w:rsidRDefault="00000000">
      <w:pPr>
        <w:pStyle w:val="Sommario1"/>
        <w:rPr>
          <w:rFonts w:asciiTheme="minorHAnsi" w:eastAsiaTheme="minorEastAsia" w:hAnsiTheme="minorHAnsi" w:cstheme="minorBidi"/>
          <w:b w:val="0"/>
          <w:sz w:val="22"/>
          <w:szCs w:val="22"/>
          <w:lang w:val="it-IT" w:eastAsia="it-IT"/>
        </w:rPr>
      </w:pPr>
      <w:hyperlink w:anchor="_Toc112768617" w:history="1">
        <w:r w:rsidR="00DC792B" w:rsidRPr="007E0031">
          <w:rPr>
            <w:rStyle w:val="Collegamentoipertestuale"/>
          </w:rPr>
          <w:t>État des variations des capitaux propres</w:t>
        </w:r>
        <w:r w:rsidR="00DC792B">
          <w:rPr>
            <w:webHidden/>
          </w:rPr>
          <w:tab/>
        </w:r>
        <w:r w:rsidR="00DC792B">
          <w:rPr>
            <w:webHidden/>
          </w:rPr>
          <w:fldChar w:fldCharType="begin"/>
        </w:r>
        <w:r w:rsidR="00DC792B">
          <w:rPr>
            <w:webHidden/>
          </w:rPr>
          <w:instrText xml:space="preserve"> PAGEREF _Toc112768617 \h </w:instrText>
        </w:r>
        <w:r w:rsidR="00DC792B">
          <w:rPr>
            <w:webHidden/>
          </w:rPr>
        </w:r>
        <w:r w:rsidR="00DC792B">
          <w:rPr>
            <w:webHidden/>
          </w:rPr>
          <w:fldChar w:fldCharType="separate"/>
        </w:r>
        <w:r w:rsidR="009E5F95">
          <w:rPr>
            <w:webHidden/>
          </w:rPr>
          <w:t>13</w:t>
        </w:r>
        <w:r w:rsidR="00DC792B">
          <w:rPr>
            <w:webHidden/>
          </w:rPr>
          <w:fldChar w:fldCharType="end"/>
        </w:r>
      </w:hyperlink>
    </w:p>
    <w:p w14:paraId="2E0816BD" w14:textId="3A6071EA" w:rsidR="00DC792B" w:rsidRDefault="00000000">
      <w:pPr>
        <w:pStyle w:val="Sommario1"/>
        <w:rPr>
          <w:rFonts w:asciiTheme="minorHAnsi" w:eastAsiaTheme="minorEastAsia" w:hAnsiTheme="minorHAnsi" w:cstheme="minorBidi"/>
          <w:b w:val="0"/>
          <w:sz w:val="22"/>
          <w:szCs w:val="22"/>
          <w:lang w:val="it-IT" w:eastAsia="it-IT"/>
        </w:rPr>
      </w:pPr>
      <w:hyperlink w:anchor="_Toc112768618" w:history="1">
        <w:r w:rsidR="00DC792B" w:rsidRPr="007E0031">
          <w:rPr>
            <w:rStyle w:val="Collegamentoipertestuale"/>
          </w:rPr>
          <w:t>État des flux de trésorerie</w:t>
        </w:r>
        <w:r w:rsidR="00DC792B">
          <w:rPr>
            <w:webHidden/>
          </w:rPr>
          <w:tab/>
        </w:r>
        <w:r w:rsidR="00DC792B">
          <w:rPr>
            <w:webHidden/>
          </w:rPr>
          <w:fldChar w:fldCharType="begin"/>
        </w:r>
        <w:r w:rsidR="00DC792B">
          <w:rPr>
            <w:webHidden/>
          </w:rPr>
          <w:instrText xml:space="preserve"> PAGEREF _Toc112768618 \h </w:instrText>
        </w:r>
        <w:r w:rsidR="00DC792B">
          <w:rPr>
            <w:webHidden/>
          </w:rPr>
        </w:r>
        <w:r w:rsidR="00DC792B">
          <w:rPr>
            <w:webHidden/>
          </w:rPr>
          <w:fldChar w:fldCharType="separate"/>
        </w:r>
        <w:r w:rsidR="009E5F95">
          <w:rPr>
            <w:webHidden/>
          </w:rPr>
          <w:t>14</w:t>
        </w:r>
        <w:r w:rsidR="00DC792B">
          <w:rPr>
            <w:webHidden/>
          </w:rPr>
          <w:fldChar w:fldCharType="end"/>
        </w:r>
      </w:hyperlink>
    </w:p>
    <w:p w14:paraId="075D2CE7" w14:textId="6D9CF25A" w:rsidR="00DC792B" w:rsidRDefault="00000000">
      <w:pPr>
        <w:pStyle w:val="Sommario1"/>
        <w:rPr>
          <w:rFonts w:asciiTheme="minorHAnsi" w:eastAsiaTheme="minorEastAsia" w:hAnsiTheme="minorHAnsi" w:cstheme="minorBidi"/>
          <w:b w:val="0"/>
          <w:sz w:val="22"/>
          <w:szCs w:val="22"/>
          <w:lang w:val="it-IT" w:eastAsia="it-IT"/>
        </w:rPr>
      </w:pPr>
      <w:hyperlink w:anchor="_Toc112768623" w:history="1">
        <w:r w:rsidR="00DC792B" w:rsidRPr="007E0031">
          <w:rPr>
            <w:rStyle w:val="Collegamentoipertestuale"/>
          </w:rPr>
          <w:t>Notes explicatives sur les états financiers agrégés intermédiaires condensés au 30 juin 2021.</w:t>
        </w:r>
        <w:r w:rsidR="00DC792B">
          <w:rPr>
            <w:webHidden/>
          </w:rPr>
          <w:tab/>
        </w:r>
        <w:r w:rsidR="00DC792B">
          <w:rPr>
            <w:webHidden/>
          </w:rPr>
          <w:fldChar w:fldCharType="begin"/>
        </w:r>
        <w:r w:rsidR="00DC792B">
          <w:rPr>
            <w:webHidden/>
          </w:rPr>
          <w:instrText xml:space="preserve"> PAGEREF _Toc112768623 \h </w:instrText>
        </w:r>
        <w:r w:rsidR="00DC792B">
          <w:rPr>
            <w:webHidden/>
          </w:rPr>
        </w:r>
        <w:r w:rsidR="00DC792B">
          <w:rPr>
            <w:webHidden/>
          </w:rPr>
          <w:fldChar w:fldCharType="separate"/>
        </w:r>
        <w:r w:rsidR="009E5F95">
          <w:rPr>
            <w:webHidden/>
          </w:rPr>
          <w:t>16</w:t>
        </w:r>
        <w:r w:rsidR="00DC792B">
          <w:rPr>
            <w:webHidden/>
          </w:rPr>
          <w:fldChar w:fldCharType="end"/>
        </w:r>
      </w:hyperlink>
    </w:p>
    <w:p w14:paraId="1C903E09" w14:textId="5AED0769" w:rsidR="00DC792B" w:rsidRDefault="00000000">
      <w:pPr>
        <w:pStyle w:val="Sommario2"/>
        <w:rPr>
          <w:rFonts w:asciiTheme="minorHAnsi" w:eastAsiaTheme="minorEastAsia" w:hAnsiTheme="minorHAnsi" w:cstheme="minorBidi"/>
          <w:noProof/>
          <w:sz w:val="22"/>
          <w:szCs w:val="22"/>
          <w:lang w:val="it-IT" w:eastAsia="it-IT"/>
        </w:rPr>
      </w:pPr>
      <w:hyperlink w:anchor="_Toc112768624" w:history="1">
        <w:r w:rsidR="00DC792B" w:rsidRPr="007E0031">
          <w:rPr>
            <w:rStyle w:val="Collegamentoipertestuale"/>
            <w:noProof/>
          </w:rPr>
          <w:t>1.</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Informations sur la société et structure des états financiers agrégés</w:t>
        </w:r>
        <w:r w:rsidR="00DC792B">
          <w:rPr>
            <w:noProof/>
            <w:webHidden/>
          </w:rPr>
          <w:tab/>
        </w:r>
        <w:r w:rsidR="00DC792B">
          <w:rPr>
            <w:noProof/>
            <w:webHidden/>
          </w:rPr>
          <w:fldChar w:fldCharType="begin"/>
        </w:r>
        <w:r w:rsidR="00DC792B">
          <w:rPr>
            <w:noProof/>
            <w:webHidden/>
          </w:rPr>
          <w:instrText xml:space="preserve"> PAGEREF _Toc112768624 \h </w:instrText>
        </w:r>
        <w:r w:rsidR="00DC792B">
          <w:rPr>
            <w:noProof/>
            <w:webHidden/>
          </w:rPr>
        </w:r>
        <w:r w:rsidR="00DC792B">
          <w:rPr>
            <w:noProof/>
            <w:webHidden/>
          </w:rPr>
          <w:fldChar w:fldCharType="separate"/>
        </w:r>
        <w:r w:rsidR="009E5F95">
          <w:rPr>
            <w:noProof/>
            <w:webHidden/>
          </w:rPr>
          <w:t>16</w:t>
        </w:r>
        <w:r w:rsidR="00DC792B">
          <w:rPr>
            <w:noProof/>
            <w:webHidden/>
          </w:rPr>
          <w:fldChar w:fldCharType="end"/>
        </w:r>
      </w:hyperlink>
    </w:p>
    <w:p w14:paraId="64A8A7E0" w14:textId="4EB8CC8E" w:rsidR="00DC792B" w:rsidRDefault="00000000">
      <w:pPr>
        <w:pStyle w:val="Sommario2"/>
        <w:rPr>
          <w:rFonts w:asciiTheme="minorHAnsi" w:eastAsiaTheme="minorEastAsia" w:hAnsiTheme="minorHAnsi" w:cstheme="minorBidi"/>
          <w:noProof/>
          <w:sz w:val="22"/>
          <w:szCs w:val="22"/>
          <w:lang w:val="it-IT" w:eastAsia="it-IT"/>
        </w:rPr>
      </w:pPr>
      <w:hyperlink w:anchor="_Toc112768625" w:history="1">
        <w:r w:rsidR="00DC792B" w:rsidRPr="007E0031">
          <w:rPr>
            <w:rStyle w:val="Collegamentoipertestuale"/>
            <w:noProof/>
          </w:rPr>
          <w:t>2.</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Normes comptables et critères d'évaluation adoptés</w:t>
        </w:r>
        <w:r w:rsidR="00DC792B">
          <w:rPr>
            <w:noProof/>
            <w:webHidden/>
          </w:rPr>
          <w:tab/>
        </w:r>
        <w:r w:rsidR="00DC792B">
          <w:rPr>
            <w:noProof/>
            <w:webHidden/>
          </w:rPr>
          <w:fldChar w:fldCharType="begin"/>
        </w:r>
        <w:r w:rsidR="00DC792B">
          <w:rPr>
            <w:noProof/>
            <w:webHidden/>
          </w:rPr>
          <w:instrText xml:space="preserve"> PAGEREF _Toc112768625 \h </w:instrText>
        </w:r>
        <w:r w:rsidR="00DC792B">
          <w:rPr>
            <w:noProof/>
            <w:webHidden/>
          </w:rPr>
        </w:r>
        <w:r w:rsidR="00DC792B">
          <w:rPr>
            <w:noProof/>
            <w:webHidden/>
          </w:rPr>
          <w:fldChar w:fldCharType="separate"/>
        </w:r>
        <w:r w:rsidR="009E5F95">
          <w:rPr>
            <w:noProof/>
            <w:webHidden/>
          </w:rPr>
          <w:t>18</w:t>
        </w:r>
        <w:r w:rsidR="00DC792B">
          <w:rPr>
            <w:noProof/>
            <w:webHidden/>
          </w:rPr>
          <w:fldChar w:fldCharType="end"/>
        </w:r>
      </w:hyperlink>
    </w:p>
    <w:p w14:paraId="353D1697" w14:textId="77E9BE1B" w:rsidR="00DC792B" w:rsidRDefault="00000000">
      <w:pPr>
        <w:pStyle w:val="Sommario2"/>
        <w:rPr>
          <w:rFonts w:asciiTheme="minorHAnsi" w:eastAsiaTheme="minorEastAsia" w:hAnsiTheme="minorHAnsi" w:cstheme="minorBidi"/>
          <w:noProof/>
          <w:sz w:val="22"/>
          <w:szCs w:val="22"/>
          <w:lang w:val="it-IT" w:eastAsia="it-IT"/>
        </w:rPr>
      </w:pPr>
      <w:hyperlink w:anchor="_Toc112768626" w:history="1">
        <w:r w:rsidR="00DC792B" w:rsidRPr="007E0031">
          <w:rPr>
            <w:rStyle w:val="Collegamentoipertestuale"/>
            <w:noProof/>
          </w:rPr>
          <w:t>3.</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Nouvelles normes et interprétations comptables en vigueur à partir du 1er janvier 2021 et normes et interprétations comptables publiées mais non encore entrées en vigueur.</w:t>
        </w:r>
        <w:r w:rsidR="00DC792B">
          <w:rPr>
            <w:noProof/>
            <w:webHidden/>
          </w:rPr>
          <w:tab/>
        </w:r>
        <w:r w:rsidR="00DC792B">
          <w:rPr>
            <w:noProof/>
            <w:webHidden/>
          </w:rPr>
          <w:fldChar w:fldCharType="begin"/>
        </w:r>
        <w:r w:rsidR="00DC792B">
          <w:rPr>
            <w:noProof/>
            <w:webHidden/>
          </w:rPr>
          <w:instrText xml:space="preserve"> PAGEREF _Toc112768626 \h </w:instrText>
        </w:r>
        <w:r w:rsidR="00DC792B">
          <w:rPr>
            <w:noProof/>
            <w:webHidden/>
          </w:rPr>
        </w:r>
        <w:r w:rsidR="00DC792B">
          <w:rPr>
            <w:noProof/>
            <w:webHidden/>
          </w:rPr>
          <w:fldChar w:fldCharType="separate"/>
        </w:r>
        <w:r w:rsidR="009E5F95">
          <w:rPr>
            <w:noProof/>
            <w:webHidden/>
          </w:rPr>
          <w:t>23</w:t>
        </w:r>
        <w:r w:rsidR="00DC792B">
          <w:rPr>
            <w:noProof/>
            <w:webHidden/>
          </w:rPr>
          <w:fldChar w:fldCharType="end"/>
        </w:r>
      </w:hyperlink>
    </w:p>
    <w:p w14:paraId="03986D02" w14:textId="6ED9112E" w:rsidR="00DC792B" w:rsidRDefault="00000000">
      <w:pPr>
        <w:pStyle w:val="Sommario2"/>
        <w:rPr>
          <w:rFonts w:asciiTheme="minorHAnsi" w:eastAsiaTheme="minorEastAsia" w:hAnsiTheme="minorHAnsi" w:cstheme="minorBidi"/>
          <w:noProof/>
          <w:sz w:val="22"/>
          <w:szCs w:val="22"/>
          <w:lang w:val="it-IT" w:eastAsia="it-IT"/>
        </w:rPr>
      </w:pPr>
      <w:hyperlink w:anchor="_Toc112768627" w:history="1">
        <w:r w:rsidR="00DC792B" w:rsidRPr="007E0031">
          <w:rPr>
            <w:rStyle w:val="Collegamentoipertestuale"/>
            <w:noProof/>
          </w:rPr>
          <w:t>4.</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Impacts de l'urgence Covid-19</w:t>
        </w:r>
        <w:r w:rsidR="00DC792B">
          <w:rPr>
            <w:noProof/>
            <w:webHidden/>
          </w:rPr>
          <w:tab/>
        </w:r>
        <w:r w:rsidR="00DC792B">
          <w:rPr>
            <w:noProof/>
            <w:webHidden/>
          </w:rPr>
          <w:fldChar w:fldCharType="begin"/>
        </w:r>
        <w:r w:rsidR="00DC792B">
          <w:rPr>
            <w:noProof/>
            <w:webHidden/>
          </w:rPr>
          <w:instrText xml:space="preserve"> PAGEREF _Toc112768627 \h </w:instrText>
        </w:r>
        <w:r w:rsidR="00DC792B">
          <w:rPr>
            <w:noProof/>
            <w:webHidden/>
          </w:rPr>
        </w:r>
        <w:r w:rsidR="00DC792B">
          <w:rPr>
            <w:noProof/>
            <w:webHidden/>
          </w:rPr>
          <w:fldChar w:fldCharType="separate"/>
        </w:r>
        <w:r w:rsidR="009E5F95">
          <w:rPr>
            <w:noProof/>
            <w:webHidden/>
          </w:rPr>
          <w:t>23</w:t>
        </w:r>
        <w:r w:rsidR="00DC792B">
          <w:rPr>
            <w:noProof/>
            <w:webHidden/>
          </w:rPr>
          <w:fldChar w:fldCharType="end"/>
        </w:r>
      </w:hyperlink>
    </w:p>
    <w:p w14:paraId="099AAA84" w14:textId="5D31BBDB" w:rsidR="00DC792B" w:rsidRDefault="00000000">
      <w:pPr>
        <w:pStyle w:val="Sommario2"/>
        <w:rPr>
          <w:rFonts w:asciiTheme="minorHAnsi" w:eastAsiaTheme="minorEastAsia" w:hAnsiTheme="minorHAnsi" w:cstheme="minorBidi"/>
          <w:noProof/>
          <w:sz w:val="22"/>
          <w:szCs w:val="22"/>
          <w:lang w:val="it-IT" w:eastAsia="it-IT"/>
        </w:rPr>
      </w:pPr>
      <w:hyperlink w:anchor="_Toc112768628" w:history="1">
        <w:r w:rsidR="00DC792B" w:rsidRPr="007E0031">
          <w:rPr>
            <w:rStyle w:val="Collegamentoipertestuale"/>
            <w:noProof/>
          </w:rPr>
          <w:t>5.</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Saisonnalité ou cyclicité des opérations intermédiaires</w:t>
        </w:r>
        <w:r w:rsidR="00DC792B">
          <w:rPr>
            <w:noProof/>
            <w:webHidden/>
          </w:rPr>
          <w:tab/>
        </w:r>
        <w:r w:rsidR="00DC792B">
          <w:rPr>
            <w:noProof/>
            <w:webHidden/>
          </w:rPr>
          <w:fldChar w:fldCharType="begin"/>
        </w:r>
        <w:r w:rsidR="00DC792B">
          <w:rPr>
            <w:noProof/>
            <w:webHidden/>
          </w:rPr>
          <w:instrText xml:space="preserve"> PAGEREF _Toc112768628 \h </w:instrText>
        </w:r>
        <w:r w:rsidR="00DC792B">
          <w:rPr>
            <w:noProof/>
            <w:webHidden/>
          </w:rPr>
        </w:r>
        <w:r w:rsidR="00DC792B">
          <w:rPr>
            <w:noProof/>
            <w:webHidden/>
          </w:rPr>
          <w:fldChar w:fldCharType="separate"/>
        </w:r>
        <w:r w:rsidR="009E5F95">
          <w:rPr>
            <w:noProof/>
            <w:webHidden/>
          </w:rPr>
          <w:t>24</w:t>
        </w:r>
        <w:r w:rsidR="00DC792B">
          <w:rPr>
            <w:noProof/>
            <w:webHidden/>
          </w:rPr>
          <w:fldChar w:fldCharType="end"/>
        </w:r>
      </w:hyperlink>
    </w:p>
    <w:p w14:paraId="0D8C33B1" w14:textId="2C271619" w:rsidR="00DC792B" w:rsidRDefault="00000000">
      <w:pPr>
        <w:pStyle w:val="Sommario2"/>
        <w:rPr>
          <w:rFonts w:asciiTheme="minorHAnsi" w:eastAsiaTheme="minorEastAsia" w:hAnsiTheme="minorHAnsi" w:cstheme="minorBidi"/>
          <w:noProof/>
          <w:sz w:val="22"/>
          <w:szCs w:val="22"/>
          <w:lang w:val="it-IT" w:eastAsia="it-IT"/>
        </w:rPr>
      </w:pPr>
      <w:hyperlink w:anchor="_Toc112768629" w:history="1">
        <w:r w:rsidR="00DC792B" w:rsidRPr="007E0031">
          <w:rPr>
            <w:rStyle w:val="Collegamentoipertestuale"/>
            <w:noProof/>
          </w:rPr>
          <w:t>6.</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Transactions "sous contrôle commun »</w:t>
        </w:r>
        <w:r w:rsidR="00DC792B">
          <w:rPr>
            <w:noProof/>
            <w:webHidden/>
          </w:rPr>
          <w:tab/>
        </w:r>
        <w:r w:rsidR="00DC792B">
          <w:rPr>
            <w:noProof/>
            <w:webHidden/>
          </w:rPr>
          <w:fldChar w:fldCharType="begin"/>
        </w:r>
        <w:r w:rsidR="00DC792B">
          <w:rPr>
            <w:noProof/>
            <w:webHidden/>
          </w:rPr>
          <w:instrText xml:space="preserve"> PAGEREF _Toc112768629 \h </w:instrText>
        </w:r>
        <w:r w:rsidR="00DC792B">
          <w:rPr>
            <w:noProof/>
            <w:webHidden/>
          </w:rPr>
        </w:r>
        <w:r w:rsidR="00DC792B">
          <w:rPr>
            <w:noProof/>
            <w:webHidden/>
          </w:rPr>
          <w:fldChar w:fldCharType="separate"/>
        </w:r>
        <w:r w:rsidR="009E5F95">
          <w:rPr>
            <w:noProof/>
            <w:webHidden/>
          </w:rPr>
          <w:t>24</w:t>
        </w:r>
        <w:r w:rsidR="00DC792B">
          <w:rPr>
            <w:noProof/>
            <w:webHidden/>
          </w:rPr>
          <w:fldChar w:fldCharType="end"/>
        </w:r>
      </w:hyperlink>
    </w:p>
    <w:p w14:paraId="56A7C772" w14:textId="520CC313" w:rsidR="00DC792B" w:rsidRDefault="00000000">
      <w:pPr>
        <w:pStyle w:val="Sommario2"/>
        <w:rPr>
          <w:rFonts w:asciiTheme="minorHAnsi" w:eastAsiaTheme="minorEastAsia" w:hAnsiTheme="minorHAnsi" w:cstheme="minorBidi"/>
          <w:noProof/>
          <w:sz w:val="22"/>
          <w:szCs w:val="22"/>
          <w:lang w:val="it-IT" w:eastAsia="it-IT"/>
        </w:rPr>
      </w:pPr>
      <w:hyperlink w:anchor="_Toc112768630" w:history="1">
        <w:r w:rsidR="00DC792B" w:rsidRPr="007E0031">
          <w:rPr>
            <w:rStyle w:val="Collegamentoipertestuale"/>
            <w:noProof/>
          </w:rPr>
          <w:t>7.</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Immobilisations corporelles</w:t>
        </w:r>
        <w:r w:rsidR="00DC792B">
          <w:rPr>
            <w:noProof/>
            <w:webHidden/>
          </w:rPr>
          <w:tab/>
        </w:r>
        <w:r w:rsidR="00DC792B">
          <w:rPr>
            <w:noProof/>
            <w:webHidden/>
          </w:rPr>
          <w:fldChar w:fldCharType="begin"/>
        </w:r>
        <w:r w:rsidR="00DC792B">
          <w:rPr>
            <w:noProof/>
            <w:webHidden/>
          </w:rPr>
          <w:instrText xml:space="preserve"> PAGEREF _Toc112768630 \h </w:instrText>
        </w:r>
        <w:r w:rsidR="00DC792B">
          <w:rPr>
            <w:noProof/>
            <w:webHidden/>
          </w:rPr>
        </w:r>
        <w:r w:rsidR="00DC792B">
          <w:rPr>
            <w:noProof/>
            <w:webHidden/>
          </w:rPr>
          <w:fldChar w:fldCharType="separate"/>
        </w:r>
        <w:r w:rsidR="009E5F95">
          <w:rPr>
            <w:noProof/>
            <w:webHidden/>
          </w:rPr>
          <w:t>25</w:t>
        </w:r>
        <w:r w:rsidR="00DC792B">
          <w:rPr>
            <w:noProof/>
            <w:webHidden/>
          </w:rPr>
          <w:fldChar w:fldCharType="end"/>
        </w:r>
      </w:hyperlink>
    </w:p>
    <w:p w14:paraId="7D9B3874" w14:textId="1C8C69EF" w:rsidR="00DC792B" w:rsidRDefault="00000000">
      <w:pPr>
        <w:pStyle w:val="Sommario2"/>
        <w:rPr>
          <w:rFonts w:asciiTheme="minorHAnsi" w:eastAsiaTheme="minorEastAsia" w:hAnsiTheme="minorHAnsi" w:cstheme="minorBidi"/>
          <w:noProof/>
          <w:sz w:val="22"/>
          <w:szCs w:val="22"/>
          <w:lang w:val="it-IT" w:eastAsia="it-IT"/>
        </w:rPr>
      </w:pPr>
      <w:hyperlink w:anchor="_Toc112768631" w:history="1">
        <w:r w:rsidR="00DC792B" w:rsidRPr="007E0031">
          <w:rPr>
            <w:rStyle w:val="Collegamentoipertestuale"/>
            <w:noProof/>
          </w:rPr>
          <w:t>8.</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Immobilisations incorporelles</w:t>
        </w:r>
        <w:r w:rsidR="00DC792B">
          <w:rPr>
            <w:noProof/>
            <w:webHidden/>
          </w:rPr>
          <w:tab/>
        </w:r>
        <w:r w:rsidR="00DC792B">
          <w:rPr>
            <w:noProof/>
            <w:webHidden/>
          </w:rPr>
          <w:fldChar w:fldCharType="begin"/>
        </w:r>
        <w:r w:rsidR="00DC792B">
          <w:rPr>
            <w:noProof/>
            <w:webHidden/>
          </w:rPr>
          <w:instrText xml:space="preserve"> PAGEREF _Toc112768631 \h </w:instrText>
        </w:r>
        <w:r w:rsidR="00DC792B">
          <w:rPr>
            <w:noProof/>
            <w:webHidden/>
          </w:rPr>
        </w:r>
        <w:r w:rsidR="00DC792B">
          <w:rPr>
            <w:noProof/>
            <w:webHidden/>
          </w:rPr>
          <w:fldChar w:fldCharType="separate"/>
        </w:r>
        <w:r w:rsidR="009E5F95">
          <w:rPr>
            <w:noProof/>
            <w:webHidden/>
          </w:rPr>
          <w:t>26</w:t>
        </w:r>
        <w:r w:rsidR="00DC792B">
          <w:rPr>
            <w:noProof/>
            <w:webHidden/>
          </w:rPr>
          <w:fldChar w:fldCharType="end"/>
        </w:r>
      </w:hyperlink>
    </w:p>
    <w:p w14:paraId="19C0F251" w14:textId="1DA5D785" w:rsidR="00DC792B" w:rsidRPr="0053795D" w:rsidRDefault="00000000" w:rsidP="0053795D">
      <w:pPr>
        <w:pStyle w:val="Sommario2"/>
        <w:rPr>
          <w:rFonts w:asciiTheme="minorHAnsi" w:eastAsiaTheme="minorEastAsia" w:hAnsiTheme="minorHAnsi" w:cstheme="minorBidi"/>
          <w:noProof/>
          <w:sz w:val="22"/>
          <w:szCs w:val="22"/>
          <w:lang w:val="it-IT" w:eastAsia="it-IT"/>
        </w:rPr>
      </w:pPr>
      <w:hyperlink w:anchor="_Toc112768632" w:history="1">
        <w:r w:rsidR="00DC792B" w:rsidRPr="007E0031">
          <w:rPr>
            <w:rStyle w:val="Collegamentoipertestuale"/>
            <w:noProof/>
          </w:rPr>
          <w:t>9.</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Immobilisations corporelles pour droits d'utilisation</w:t>
        </w:r>
        <w:r w:rsidR="00DC792B">
          <w:rPr>
            <w:noProof/>
            <w:webHidden/>
          </w:rPr>
          <w:tab/>
        </w:r>
        <w:r w:rsidR="00DC792B">
          <w:rPr>
            <w:noProof/>
            <w:webHidden/>
          </w:rPr>
          <w:fldChar w:fldCharType="begin"/>
        </w:r>
        <w:r w:rsidR="00DC792B">
          <w:rPr>
            <w:noProof/>
            <w:webHidden/>
          </w:rPr>
          <w:instrText xml:space="preserve"> PAGEREF _Toc112768632 \h </w:instrText>
        </w:r>
        <w:r w:rsidR="00DC792B">
          <w:rPr>
            <w:noProof/>
            <w:webHidden/>
          </w:rPr>
        </w:r>
        <w:r w:rsidR="00DC792B">
          <w:rPr>
            <w:noProof/>
            <w:webHidden/>
          </w:rPr>
          <w:fldChar w:fldCharType="separate"/>
        </w:r>
        <w:r w:rsidR="009E5F95">
          <w:rPr>
            <w:noProof/>
            <w:webHidden/>
          </w:rPr>
          <w:t>26</w:t>
        </w:r>
        <w:r w:rsidR="00DC792B">
          <w:rPr>
            <w:noProof/>
            <w:webHidden/>
          </w:rPr>
          <w:fldChar w:fldCharType="end"/>
        </w:r>
      </w:hyperlink>
    </w:p>
    <w:p w14:paraId="1A1CC254" w14:textId="729F5295" w:rsidR="00DC792B" w:rsidRDefault="00000000">
      <w:pPr>
        <w:pStyle w:val="Sommario2"/>
        <w:rPr>
          <w:rFonts w:asciiTheme="minorHAnsi" w:eastAsiaTheme="minorEastAsia" w:hAnsiTheme="minorHAnsi" w:cstheme="minorBidi"/>
          <w:noProof/>
          <w:sz w:val="22"/>
          <w:szCs w:val="22"/>
          <w:lang w:val="it-IT" w:eastAsia="it-IT"/>
        </w:rPr>
      </w:pPr>
      <w:hyperlink w:anchor="_Toc112768667" w:history="1">
        <w:r w:rsidR="00DC792B" w:rsidRPr="007E0031">
          <w:rPr>
            <w:rStyle w:val="Collegamentoipertestuale"/>
            <w:noProof/>
          </w:rPr>
          <w:t>10.</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Autres créances à long terme</w:t>
        </w:r>
        <w:r w:rsidR="00DC792B">
          <w:rPr>
            <w:noProof/>
            <w:webHidden/>
          </w:rPr>
          <w:tab/>
        </w:r>
        <w:r w:rsidR="00DC792B">
          <w:rPr>
            <w:noProof/>
            <w:webHidden/>
          </w:rPr>
          <w:fldChar w:fldCharType="begin"/>
        </w:r>
        <w:r w:rsidR="00DC792B">
          <w:rPr>
            <w:noProof/>
            <w:webHidden/>
          </w:rPr>
          <w:instrText xml:space="preserve"> PAGEREF _Toc112768667 \h </w:instrText>
        </w:r>
        <w:r w:rsidR="00DC792B">
          <w:rPr>
            <w:noProof/>
            <w:webHidden/>
          </w:rPr>
        </w:r>
        <w:r w:rsidR="00DC792B">
          <w:rPr>
            <w:noProof/>
            <w:webHidden/>
          </w:rPr>
          <w:fldChar w:fldCharType="separate"/>
        </w:r>
        <w:r w:rsidR="009E5F95">
          <w:rPr>
            <w:noProof/>
            <w:webHidden/>
          </w:rPr>
          <w:t>27</w:t>
        </w:r>
        <w:r w:rsidR="00DC792B">
          <w:rPr>
            <w:noProof/>
            <w:webHidden/>
          </w:rPr>
          <w:fldChar w:fldCharType="end"/>
        </w:r>
      </w:hyperlink>
    </w:p>
    <w:p w14:paraId="5C57CD22" w14:textId="7ED8195A" w:rsidR="00DC792B" w:rsidRDefault="00000000">
      <w:pPr>
        <w:pStyle w:val="Sommario2"/>
        <w:rPr>
          <w:rFonts w:asciiTheme="minorHAnsi" w:eastAsiaTheme="minorEastAsia" w:hAnsiTheme="minorHAnsi" w:cstheme="minorBidi"/>
          <w:noProof/>
          <w:sz w:val="22"/>
          <w:szCs w:val="22"/>
          <w:lang w:val="it-IT" w:eastAsia="it-IT"/>
        </w:rPr>
      </w:pPr>
      <w:hyperlink w:anchor="_Toc112768668" w:history="1">
        <w:r w:rsidR="00DC792B" w:rsidRPr="007E0031">
          <w:rPr>
            <w:rStyle w:val="Collegamentoipertestuale"/>
            <w:noProof/>
          </w:rPr>
          <w:t>11.</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Actif d’impôt différé</w:t>
        </w:r>
        <w:r w:rsidR="00DC792B">
          <w:rPr>
            <w:noProof/>
            <w:webHidden/>
          </w:rPr>
          <w:tab/>
        </w:r>
        <w:r w:rsidR="00DC792B">
          <w:rPr>
            <w:noProof/>
            <w:webHidden/>
          </w:rPr>
          <w:fldChar w:fldCharType="begin"/>
        </w:r>
        <w:r w:rsidR="00DC792B">
          <w:rPr>
            <w:noProof/>
            <w:webHidden/>
          </w:rPr>
          <w:instrText xml:space="preserve"> PAGEREF _Toc112768668 \h </w:instrText>
        </w:r>
        <w:r w:rsidR="00DC792B">
          <w:rPr>
            <w:noProof/>
            <w:webHidden/>
          </w:rPr>
        </w:r>
        <w:r w:rsidR="00DC792B">
          <w:rPr>
            <w:noProof/>
            <w:webHidden/>
          </w:rPr>
          <w:fldChar w:fldCharType="separate"/>
        </w:r>
        <w:r w:rsidR="009E5F95">
          <w:rPr>
            <w:noProof/>
            <w:webHidden/>
          </w:rPr>
          <w:t>28</w:t>
        </w:r>
        <w:r w:rsidR="00DC792B">
          <w:rPr>
            <w:noProof/>
            <w:webHidden/>
          </w:rPr>
          <w:fldChar w:fldCharType="end"/>
        </w:r>
      </w:hyperlink>
    </w:p>
    <w:p w14:paraId="2F65692B" w14:textId="297CABB8" w:rsidR="00DC792B" w:rsidRDefault="00000000">
      <w:pPr>
        <w:pStyle w:val="Sommario2"/>
        <w:rPr>
          <w:rFonts w:asciiTheme="minorHAnsi" w:eastAsiaTheme="minorEastAsia" w:hAnsiTheme="minorHAnsi" w:cstheme="minorBidi"/>
          <w:noProof/>
          <w:sz w:val="22"/>
          <w:szCs w:val="22"/>
          <w:lang w:val="it-IT" w:eastAsia="it-IT"/>
        </w:rPr>
      </w:pPr>
      <w:hyperlink w:anchor="_Toc112768669" w:history="1">
        <w:r w:rsidR="00DC792B" w:rsidRPr="007E0031">
          <w:rPr>
            <w:rStyle w:val="Collegamentoipertestuale"/>
            <w:noProof/>
          </w:rPr>
          <w:t>12.</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Stocks</w:t>
        </w:r>
        <w:r w:rsidR="00DC792B">
          <w:rPr>
            <w:noProof/>
            <w:webHidden/>
          </w:rPr>
          <w:tab/>
        </w:r>
        <w:r w:rsidR="00DC792B">
          <w:rPr>
            <w:noProof/>
            <w:webHidden/>
          </w:rPr>
          <w:fldChar w:fldCharType="begin"/>
        </w:r>
        <w:r w:rsidR="00DC792B">
          <w:rPr>
            <w:noProof/>
            <w:webHidden/>
          </w:rPr>
          <w:instrText xml:space="preserve"> PAGEREF _Toc112768669 \h </w:instrText>
        </w:r>
        <w:r w:rsidR="00DC792B">
          <w:rPr>
            <w:noProof/>
            <w:webHidden/>
          </w:rPr>
        </w:r>
        <w:r w:rsidR="00DC792B">
          <w:rPr>
            <w:noProof/>
            <w:webHidden/>
          </w:rPr>
          <w:fldChar w:fldCharType="separate"/>
        </w:r>
        <w:r w:rsidR="009E5F95">
          <w:rPr>
            <w:noProof/>
            <w:webHidden/>
          </w:rPr>
          <w:t>28</w:t>
        </w:r>
        <w:r w:rsidR="00DC792B">
          <w:rPr>
            <w:noProof/>
            <w:webHidden/>
          </w:rPr>
          <w:fldChar w:fldCharType="end"/>
        </w:r>
      </w:hyperlink>
    </w:p>
    <w:p w14:paraId="60806BF6" w14:textId="25AFE76B" w:rsidR="00DC792B" w:rsidRDefault="00000000">
      <w:pPr>
        <w:pStyle w:val="Sommario2"/>
        <w:rPr>
          <w:rFonts w:asciiTheme="minorHAnsi" w:eastAsiaTheme="minorEastAsia" w:hAnsiTheme="minorHAnsi" w:cstheme="minorBidi"/>
          <w:noProof/>
          <w:sz w:val="22"/>
          <w:szCs w:val="22"/>
          <w:lang w:val="it-IT" w:eastAsia="it-IT"/>
        </w:rPr>
      </w:pPr>
      <w:hyperlink w:anchor="_Toc112768670" w:history="1">
        <w:r w:rsidR="00DC792B" w:rsidRPr="007E0031">
          <w:rPr>
            <w:rStyle w:val="Collegamentoipertestuale"/>
            <w:noProof/>
          </w:rPr>
          <w:t>13.</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Créances commerciales</w:t>
        </w:r>
        <w:r w:rsidR="00DC792B">
          <w:rPr>
            <w:noProof/>
            <w:webHidden/>
          </w:rPr>
          <w:tab/>
        </w:r>
        <w:r w:rsidR="00DC792B">
          <w:rPr>
            <w:noProof/>
            <w:webHidden/>
          </w:rPr>
          <w:fldChar w:fldCharType="begin"/>
        </w:r>
        <w:r w:rsidR="00DC792B">
          <w:rPr>
            <w:noProof/>
            <w:webHidden/>
          </w:rPr>
          <w:instrText xml:space="preserve"> PAGEREF _Toc112768670 \h </w:instrText>
        </w:r>
        <w:r w:rsidR="00DC792B">
          <w:rPr>
            <w:noProof/>
            <w:webHidden/>
          </w:rPr>
        </w:r>
        <w:r w:rsidR="00DC792B">
          <w:rPr>
            <w:noProof/>
            <w:webHidden/>
          </w:rPr>
          <w:fldChar w:fldCharType="separate"/>
        </w:r>
        <w:r w:rsidR="009E5F95">
          <w:rPr>
            <w:noProof/>
            <w:webHidden/>
          </w:rPr>
          <w:t>28</w:t>
        </w:r>
        <w:r w:rsidR="00DC792B">
          <w:rPr>
            <w:noProof/>
            <w:webHidden/>
          </w:rPr>
          <w:fldChar w:fldCharType="end"/>
        </w:r>
      </w:hyperlink>
    </w:p>
    <w:p w14:paraId="39BAB84D" w14:textId="0AB17E1D" w:rsidR="00DC792B" w:rsidRDefault="00000000">
      <w:pPr>
        <w:pStyle w:val="Sommario2"/>
        <w:rPr>
          <w:rFonts w:asciiTheme="minorHAnsi" w:eastAsiaTheme="minorEastAsia" w:hAnsiTheme="minorHAnsi" w:cstheme="minorBidi"/>
          <w:noProof/>
          <w:sz w:val="22"/>
          <w:szCs w:val="22"/>
          <w:lang w:val="it-IT" w:eastAsia="it-IT"/>
        </w:rPr>
      </w:pPr>
      <w:hyperlink w:anchor="_Toc112768671" w:history="1">
        <w:r w:rsidR="00DC792B" w:rsidRPr="007E0031">
          <w:rPr>
            <w:rStyle w:val="Collegamentoipertestuale"/>
            <w:noProof/>
          </w:rPr>
          <w:t>14.</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Autres créances à court terme</w:t>
        </w:r>
        <w:r w:rsidR="00DC792B">
          <w:rPr>
            <w:noProof/>
            <w:webHidden/>
          </w:rPr>
          <w:tab/>
        </w:r>
        <w:r w:rsidR="00DC792B">
          <w:rPr>
            <w:noProof/>
            <w:webHidden/>
          </w:rPr>
          <w:fldChar w:fldCharType="begin"/>
        </w:r>
        <w:r w:rsidR="00DC792B">
          <w:rPr>
            <w:noProof/>
            <w:webHidden/>
          </w:rPr>
          <w:instrText xml:space="preserve"> PAGEREF _Toc112768671 \h </w:instrText>
        </w:r>
        <w:r w:rsidR="00DC792B">
          <w:rPr>
            <w:noProof/>
            <w:webHidden/>
          </w:rPr>
        </w:r>
        <w:r w:rsidR="00DC792B">
          <w:rPr>
            <w:noProof/>
            <w:webHidden/>
          </w:rPr>
          <w:fldChar w:fldCharType="separate"/>
        </w:r>
        <w:r w:rsidR="009E5F95">
          <w:rPr>
            <w:noProof/>
            <w:webHidden/>
          </w:rPr>
          <w:t>29</w:t>
        </w:r>
        <w:r w:rsidR="00DC792B">
          <w:rPr>
            <w:noProof/>
            <w:webHidden/>
          </w:rPr>
          <w:fldChar w:fldCharType="end"/>
        </w:r>
      </w:hyperlink>
    </w:p>
    <w:p w14:paraId="4B3D2615" w14:textId="69B62B45" w:rsidR="00DC792B" w:rsidRDefault="00000000">
      <w:pPr>
        <w:pStyle w:val="Sommario2"/>
        <w:rPr>
          <w:rFonts w:asciiTheme="minorHAnsi" w:eastAsiaTheme="minorEastAsia" w:hAnsiTheme="minorHAnsi" w:cstheme="minorBidi"/>
          <w:noProof/>
          <w:sz w:val="22"/>
          <w:szCs w:val="22"/>
          <w:lang w:val="it-IT" w:eastAsia="it-IT"/>
        </w:rPr>
      </w:pPr>
      <w:hyperlink w:anchor="_Toc112768672" w:history="1">
        <w:r w:rsidR="00DC792B" w:rsidRPr="007E0031">
          <w:rPr>
            <w:rStyle w:val="Collegamentoipertestuale"/>
            <w:noProof/>
          </w:rPr>
          <w:t>15.</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Créances fiscales</w:t>
        </w:r>
        <w:r w:rsidR="00DC792B">
          <w:rPr>
            <w:noProof/>
            <w:webHidden/>
          </w:rPr>
          <w:tab/>
        </w:r>
        <w:r w:rsidR="00DC792B">
          <w:rPr>
            <w:noProof/>
            <w:webHidden/>
          </w:rPr>
          <w:fldChar w:fldCharType="begin"/>
        </w:r>
        <w:r w:rsidR="00DC792B">
          <w:rPr>
            <w:noProof/>
            <w:webHidden/>
          </w:rPr>
          <w:instrText xml:space="preserve"> PAGEREF _Toc112768672 \h </w:instrText>
        </w:r>
        <w:r w:rsidR="00DC792B">
          <w:rPr>
            <w:noProof/>
            <w:webHidden/>
          </w:rPr>
        </w:r>
        <w:r w:rsidR="00DC792B">
          <w:rPr>
            <w:noProof/>
            <w:webHidden/>
          </w:rPr>
          <w:fldChar w:fldCharType="separate"/>
        </w:r>
        <w:r w:rsidR="009E5F95">
          <w:rPr>
            <w:noProof/>
            <w:webHidden/>
          </w:rPr>
          <w:t>29</w:t>
        </w:r>
        <w:r w:rsidR="00DC792B">
          <w:rPr>
            <w:noProof/>
            <w:webHidden/>
          </w:rPr>
          <w:fldChar w:fldCharType="end"/>
        </w:r>
      </w:hyperlink>
    </w:p>
    <w:p w14:paraId="03EAD1BE" w14:textId="77042321" w:rsidR="00DC792B" w:rsidRDefault="00000000">
      <w:pPr>
        <w:pStyle w:val="Sommario2"/>
        <w:rPr>
          <w:rFonts w:asciiTheme="minorHAnsi" w:eastAsiaTheme="minorEastAsia" w:hAnsiTheme="minorHAnsi" w:cstheme="minorBidi"/>
          <w:noProof/>
          <w:sz w:val="22"/>
          <w:szCs w:val="22"/>
          <w:lang w:val="it-IT" w:eastAsia="it-IT"/>
        </w:rPr>
      </w:pPr>
      <w:hyperlink w:anchor="_Toc112768673" w:history="1">
        <w:r w:rsidR="00DC792B" w:rsidRPr="007E0031">
          <w:rPr>
            <w:rStyle w:val="Collegamentoipertestuale"/>
            <w:noProof/>
          </w:rPr>
          <w:t>16.</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Trésorerie et équivalents de trésorerie</w:t>
        </w:r>
        <w:r w:rsidR="00DC792B">
          <w:rPr>
            <w:noProof/>
            <w:webHidden/>
          </w:rPr>
          <w:tab/>
        </w:r>
        <w:r w:rsidR="00DC792B">
          <w:rPr>
            <w:noProof/>
            <w:webHidden/>
          </w:rPr>
          <w:fldChar w:fldCharType="begin"/>
        </w:r>
        <w:r w:rsidR="00DC792B">
          <w:rPr>
            <w:noProof/>
            <w:webHidden/>
          </w:rPr>
          <w:instrText xml:space="preserve"> PAGEREF _Toc112768673 \h </w:instrText>
        </w:r>
        <w:r w:rsidR="00DC792B">
          <w:rPr>
            <w:noProof/>
            <w:webHidden/>
          </w:rPr>
        </w:r>
        <w:r w:rsidR="00DC792B">
          <w:rPr>
            <w:noProof/>
            <w:webHidden/>
          </w:rPr>
          <w:fldChar w:fldCharType="separate"/>
        </w:r>
        <w:r w:rsidR="009E5F95">
          <w:rPr>
            <w:noProof/>
            <w:webHidden/>
          </w:rPr>
          <w:t>30</w:t>
        </w:r>
        <w:r w:rsidR="00DC792B">
          <w:rPr>
            <w:noProof/>
            <w:webHidden/>
          </w:rPr>
          <w:fldChar w:fldCharType="end"/>
        </w:r>
      </w:hyperlink>
    </w:p>
    <w:p w14:paraId="627D1EE4" w14:textId="387EA468" w:rsidR="00DC792B" w:rsidRDefault="00000000">
      <w:pPr>
        <w:pStyle w:val="Sommario2"/>
        <w:rPr>
          <w:rFonts w:asciiTheme="minorHAnsi" w:eastAsiaTheme="minorEastAsia" w:hAnsiTheme="minorHAnsi" w:cstheme="minorBidi"/>
          <w:noProof/>
          <w:sz w:val="22"/>
          <w:szCs w:val="22"/>
          <w:lang w:val="it-IT" w:eastAsia="it-IT"/>
        </w:rPr>
      </w:pPr>
      <w:hyperlink w:anchor="_Toc112768674" w:history="1">
        <w:r w:rsidR="00DC792B" w:rsidRPr="007E0031">
          <w:rPr>
            <w:rStyle w:val="Collegamentoipertestuale"/>
            <w:noProof/>
          </w:rPr>
          <w:t>17.</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Capitaux propres</w:t>
        </w:r>
        <w:r w:rsidR="00DC792B">
          <w:rPr>
            <w:noProof/>
            <w:webHidden/>
          </w:rPr>
          <w:tab/>
        </w:r>
        <w:r w:rsidR="00DC792B">
          <w:rPr>
            <w:noProof/>
            <w:webHidden/>
          </w:rPr>
          <w:fldChar w:fldCharType="begin"/>
        </w:r>
        <w:r w:rsidR="00DC792B">
          <w:rPr>
            <w:noProof/>
            <w:webHidden/>
          </w:rPr>
          <w:instrText xml:space="preserve"> PAGEREF _Toc112768674 \h </w:instrText>
        </w:r>
        <w:r w:rsidR="00DC792B">
          <w:rPr>
            <w:noProof/>
            <w:webHidden/>
          </w:rPr>
        </w:r>
        <w:r w:rsidR="00DC792B">
          <w:rPr>
            <w:noProof/>
            <w:webHidden/>
          </w:rPr>
          <w:fldChar w:fldCharType="separate"/>
        </w:r>
        <w:r w:rsidR="009E5F95">
          <w:rPr>
            <w:noProof/>
            <w:webHidden/>
          </w:rPr>
          <w:t>30</w:t>
        </w:r>
        <w:r w:rsidR="00DC792B">
          <w:rPr>
            <w:noProof/>
            <w:webHidden/>
          </w:rPr>
          <w:fldChar w:fldCharType="end"/>
        </w:r>
      </w:hyperlink>
    </w:p>
    <w:p w14:paraId="75170BDC" w14:textId="62B2453A" w:rsidR="00DC792B" w:rsidRDefault="00000000">
      <w:pPr>
        <w:pStyle w:val="Sommario2"/>
        <w:rPr>
          <w:rFonts w:asciiTheme="minorHAnsi" w:eastAsiaTheme="minorEastAsia" w:hAnsiTheme="minorHAnsi" w:cstheme="minorBidi"/>
          <w:noProof/>
          <w:sz w:val="22"/>
          <w:szCs w:val="22"/>
          <w:lang w:val="it-IT" w:eastAsia="it-IT"/>
        </w:rPr>
      </w:pPr>
      <w:hyperlink w:anchor="_Toc112768675" w:history="1">
        <w:r w:rsidR="00DC792B" w:rsidRPr="007E0031">
          <w:rPr>
            <w:rStyle w:val="Collegamentoipertestuale"/>
            <w:noProof/>
          </w:rPr>
          <w:t>18.</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Prêts à moyen et long terme</w:t>
        </w:r>
        <w:r w:rsidR="00DC792B">
          <w:rPr>
            <w:noProof/>
            <w:webHidden/>
          </w:rPr>
          <w:tab/>
        </w:r>
        <w:r w:rsidR="00DC792B">
          <w:rPr>
            <w:noProof/>
            <w:webHidden/>
          </w:rPr>
          <w:fldChar w:fldCharType="begin"/>
        </w:r>
        <w:r w:rsidR="00DC792B">
          <w:rPr>
            <w:noProof/>
            <w:webHidden/>
          </w:rPr>
          <w:instrText xml:space="preserve"> PAGEREF _Toc112768675 \h </w:instrText>
        </w:r>
        <w:r w:rsidR="00DC792B">
          <w:rPr>
            <w:noProof/>
            <w:webHidden/>
          </w:rPr>
        </w:r>
        <w:r w:rsidR="00DC792B">
          <w:rPr>
            <w:noProof/>
            <w:webHidden/>
          </w:rPr>
          <w:fldChar w:fldCharType="separate"/>
        </w:r>
        <w:r w:rsidR="009E5F95">
          <w:rPr>
            <w:noProof/>
            <w:webHidden/>
          </w:rPr>
          <w:t>31</w:t>
        </w:r>
        <w:r w:rsidR="00DC792B">
          <w:rPr>
            <w:noProof/>
            <w:webHidden/>
          </w:rPr>
          <w:fldChar w:fldCharType="end"/>
        </w:r>
      </w:hyperlink>
    </w:p>
    <w:p w14:paraId="102EDA81" w14:textId="3C1CF7A9" w:rsidR="00DC792B" w:rsidRDefault="00000000">
      <w:pPr>
        <w:pStyle w:val="Sommario2"/>
        <w:rPr>
          <w:rFonts w:asciiTheme="minorHAnsi" w:eastAsiaTheme="minorEastAsia" w:hAnsiTheme="minorHAnsi" w:cstheme="minorBidi"/>
          <w:noProof/>
          <w:sz w:val="22"/>
          <w:szCs w:val="22"/>
          <w:lang w:val="it-IT" w:eastAsia="it-IT"/>
        </w:rPr>
      </w:pPr>
      <w:hyperlink w:anchor="_Toc112768676" w:history="1">
        <w:r w:rsidR="00DC792B" w:rsidRPr="007E0031">
          <w:rPr>
            <w:rStyle w:val="Collegamentoipertestuale"/>
            <w:noProof/>
          </w:rPr>
          <w:t>19.</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Autres passifs financiers à long terme</w:t>
        </w:r>
        <w:r w:rsidR="00DC792B">
          <w:rPr>
            <w:noProof/>
            <w:webHidden/>
          </w:rPr>
          <w:tab/>
        </w:r>
        <w:r w:rsidR="00DC792B">
          <w:rPr>
            <w:noProof/>
            <w:webHidden/>
          </w:rPr>
          <w:fldChar w:fldCharType="begin"/>
        </w:r>
        <w:r w:rsidR="00DC792B">
          <w:rPr>
            <w:noProof/>
            <w:webHidden/>
          </w:rPr>
          <w:instrText xml:space="preserve"> PAGEREF _Toc112768676 \h </w:instrText>
        </w:r>
        <w:r w:rsidR="00DC792B">
          <w:rPr>
            <w:noProof/>
            <w:webHidden/>
          </w:rPr>
        </w:r>
        <w:r w:rsidR="00DC792B">
          <w:rPr>
            <w:noProof/>
            <w:webHidden/>
          </w:rPr>
          <w:fldChar w:fldCharType="separate"/>
        </w:r>
        <w:r w:rsidR="009E5F95">
          <w:rPr>
            <w:noProof/>
            <w:webHidden/>
          </w:rPr>
          <w:t>33</w:t>
        </w:r>
        <w:r w:rsidR="00DC792B">
          <w:rPr>
            <w:noProof/>
            <w:webHidden/>
          </w:rPr>
          <w:fldChar w:fldCharType="end"/>
        </w:r>
      </w:hyperlink>
    </w:p>
    <w:p w14:paraId="708149C6" w14:textId="7ECCADB6" w:rsidR="00DC792B" w:rsidRDefault="00000000">
      <w:pPr>
        <w:pStyle w:val="Sommario2"/>
        <w:rPr>
          <w:rFonts w:asciiTheme="minorHAnsi" w:eastAsiaTheme="minorEastAsia" w:hAnsiTheme="minorHAnsi" w:cstheme="minorBidi"/>
          <w:noProof/>
          <w:sz w:val="22"/>
          <w:szCs w:val="22"/>
          <w:lang w:val="it-IT" w:eastAsia="it-IT"/>
        </w:rPr>
      </w:pPr>
      <w:hyperlink w:anchor="_Toc112768677" w:history="1">
        <w:r w:rsidR="00DC792B" w:rsidRPr="007E0031">
          <w:rPr>
            <w:rStyle w:val="Collegamentoipertestuale"/>
            <w:noProof/>
          </w:rPr>
          <w:t>20.</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Passifs liés à des avantages sociaux futurs</w:t>
        </w:r>
        <w:r w:rsidR="00DC792B">
          <w:rPr>
            <w:noProof/>
            <w:webHidden/>
          </w:rPr>
          <w:tab/>
        </w:r>
        <w:r w:rsidR="00DC792B">
          <w:rPr>
            <w:noProof/>
            <w:webHidden/>
          </w:rPr>
          <w:fldChar w:fldCharType="begin"/>
        </w:r>
        <w:r w:rsidR="00DC792B">
          <w:rPr>
            <w:noProof/>
            <w:webHidden/>
          </w:rPr>
          <w:instrText xml:space="preserve"> PAGEREF _Toc112768677 \h </w:instrText>
        </w:r>
        <w:r w:rsidR="00DC792B">
          <w:rPr>
            <w:noProof/>
            <w:webHidden/>
          </w:rPr>
        </w:r>
        <w:r w:rsidR="00DC792B">
          <w:rPr>
            <w:noProof/>
            <w:webHidden/>
          </w:rPr>
          <w:fldChar w:fldCharType="separate"/>
        </w:r>
        <w:r w:rsidR="009E5F95">
          <w:rPr>
            <w:noProof/>
            <w:webHidden/>
          </w:rPr>
          <w:t>33</w:t>
        </w:r>
        <w:r w:rsidR="00DC792B">
          <w:rPr>
            <w:noProof/>
            <w:webHidden/>
          </w:rPr>
          <w:fldChar w:fldCharType="end"/>
        </w:r>
      </w:hyperlink>
    </w:p>
    <w:p w14:paraId="2AF812A3" w14:textId="2D77C1F9" w:rsidR="00DC792B" w:rsidRDefault="00000000">
      <w:pPr>
        <w:pStyle w:val="Sommario2"/>
        <w:rPr>
          <w:rFonts w:asciiTheme="minorHAnsi" w:eastAsiaTheme="minorEastAsia" w:hAnsiTheme="minorHAnsi" w:cstheme="minorBidi"/>
          <w:noProof/>
          <w:sz w:val="22"/>
          <w:szCs w:val="22"/>
          <w:lang w:val="it-IT" w:eastAsia="it-IT"/>
        </w:rPr>
      </w:pPr>
      <w:hyperlink w:anchor="_Toc112768678" w:history="1">
        <w:r w:rsidR="00DC792B" w:rsidRPr="007E0031">
          <w:rPr>
            <w:rStyle w:val="Collegamentoipertestuale"/>
            <w:rFonts w:cs="Calibri"/>
            <w:noProof/>
          </w:rPr>
          <w:t>21.</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Provisions pour risques et charges</w:t>
        </w:r>
        <w:r w:rsidR="00DC792B">
          <w:rPr>
            <w:noProof/>
            <w:webHidden/>
          </w:rPr>
          <w:tab/>
        </w:r>
        <w:r w:rsidR="00DC792B">
          <w:rPr>
            <w:noProof/>
            <w:webHidden/>
          </w:rPr>
          <w:fldChar w:fldCharType="begin"/>
        </w:r>
        <w:r w:rsidR="00DC792B">
          <w:rPr>
            <w:noProof/>
            <w:webHidden/>
          </w:rPr>
          <w:instrText xml:space="preserve"> PAGEREF _Toc112768678 \h </w:instrText>
        </w:r>
        <w:r w:rsidR="00DC792B">
          <w:rPr>
            <w:noProof/>
            <w:webHidden/>
          </w:rPr>
        </w:r>
        <w:r w:rsidR="00DC792B">
          <w:rPr>
            <w:noProof/>
            <w:webHidden/>
          </w:rPr>
          <w:fldChar w:fldCharType="separate"/>
        </w:r>
        <w:r w:rsidR="009E5F95">
          <w:rPr>
            <w:noProof/>
            <w:webHidden/>
          </w:rPr>
          <w:t>35</w:t>
        </w:r>
        <w:r w:rsidR="00DC792B">
          <w:rPr>
            <w:noProof/>
            <w:webHidden/>
          </w:rPr>
          <w:fldChar w:fldCharType="end"/>
        </w:r>
      </w:hyperlink>
    </w:p>
    <w:p w14:paraId="09EFCBAA" w14:textId="07C97A8A" w:rsidR="00DC792B" w:rsidRDefault="00000000">
      <w:pPr>
        <w:pStyle w:val="Sommario2"/>
        <w:rPr>
          <w:rFonts w:asciiTheme="minorHAnsi" w:eastAsiaTheme="minorEastAsia" w:hAnsiTheme="minorHAnsi" w:cstheme="minorBidi"/>
          <w:noProof/>
          <w:sz w:val="22"/>
          <w:szCs w:val="22"/>
          <w:lang w:val="it-IT" w:eastAsia="it-IT"/>
        </w:rPr>
      </w:pPr>
      <w:hyperlink w:anchor="_Toc112768679" w:history="1">
        <w:r w:rsidR="00DC792B" w:rsidRPr="007E0031">
          <w:rPr>
            <w:rStyle w:val="Collegamentoipertestuale"/>
            <w:rFonts w:cs="Calibri"/>
            <w:noProof/>
          </w:rPr>
          <w:t>22.</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Autre passif à long terme</w:t>
        </w:r>
        <w:r w:rsidR="00DC792B">
          <w:rPr>
            <w:noProof/>
            <w:webHidden/>
          </w:rPr>
          <w:tab/>
        </w:r>
        <w:r w:rsidR="00DC792B">
          <w:rPr>
            <w:noProof/>
            <w:webHidden/>
          </w:rPr>
          <w:fldChar w:fldCharType="begin"/>
        </w:r>
        <w:r w:rsidR="00DC792B">
          <w:rPr>
            <w:noProof/>
            <w:webHidden/>
          </w:rPr>
          <w:instrText xml:space="preserve"> PAGEREF _Toc112768679 \h </w:instrText>
        </w:r>
        <w:r w:rsidR="00DC792B">
          <w:rPr>
            <w:noProof/>
            <w:webHidden/>
          </w:rPr>
        </w:r>
        <w:r w:rsidR="00DC792B">
          <w:rPr>
            <w:noProof/>
            <w:webHidden/>
          </w:rPr>
          <w:fldChar w:fldCharType="separate"/>
        </w:r>
        <w:r w:rsidR="009E5F95">
          <w:rPr>
            <w:noProof/>
            <w:webHidden/>
          </w:rPr>
          <w:t>35</w:t>
        </w:r>
        <w:r w:rsidR="00DC792B">
          <w:rPr>
            <w:noProof/>
            <w:webHidden/>
          </w:rPr>
          <w:fldChar w:fldCharType="end"/>
        </w:r>
      </w:hyperlink>
    </w:p>
    <w:p w14:paraId="4F64E112" w14:textId="4BBF66EC" w:rsidR="00DC792B" w:rsidRDefault="00000000">
      <w:pPr>
        <w:pStyle w:val="Sommario2"/>
        <w:rPr>
          <w:rFonts w:asciiTheme="minorHAnsi" w:eastAsiaTheme="minorEastAsia" w:hAnsiTheme="minorHAnsi" w:cstheme="minorBidi"/>
          <w:noProof/>
          <w:sz w:val="22"/>
          <w:szCs w:val="22"/>
          <w:lang w:val="it-IT" w:eastAsia="it-IT"/>
        </w:rPr>
      </w:pPr>
      <w:hyperlink w:anchor="_Toc112768680" w:history="1">
        <w:r w:rsidR="00DC792B" w:rsidRPr="007E0031">
          <w:rPr>
            <w:rStyle w:val="Collegamentoipertestuale"/>
            <w:rFonts w:cs="Calibri"/>
            <w:noProof/>
          </w:rPr>
          <w:t>23.</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Impôts différés passif</w:t>
        </w:r>
        <w:r w:rsidR="00DC792B">
          <w:rPr>
            <w:noProof/>
            <w:webHidden/>
          </w:rPr>
          <w:tab/>
        </w:r>
        <w:r w:rsidR="00DC792B">
          <w:rPr>
            <w:noProof/>
            <w:webHidden/>
          </w:rPr>
          <w:fldChar w:fldCharType="begin"/>
        </w:r>
        <w:r w:rsidR="00DC792B">
          <w:rPr>
            <w:noProof/>
            <w:webHidden/>
          </w:rPr>
          <w:instrText xml:space="preserve"> PAGEREF _Toc112768680 \h </w:instrText>
        </w:r>
        <w:r w:rsidR="00DC792B">
          <w:rPr>
            <w:noProof/>
            <w:webHidden/>
          </w:rPr>
        </w:r>
        <w:r w:rsidR="00DC792B">
          <w:rPr>
            <w:noProof/>
            <w:webHidden/>
          </w:rPr>
          <w:fldChar w:fldCharType="separate"/>
        </w:r>
        <w:r w:rsidR="009E5F95">
          <w:rPr>
            <w:noProof/>
            <w:webHidden/>
          </w:rPr>
          <w:t>35</w:t>
        </w:r>
        <w:r w:rsidR="00DC792B">
          <w:rPr>
            <w:noProof/>
            <w:webHidden/>
          </w:rPr>
          <w:fldChar w:fldCharType="end"/>
        </w:r>
      </w:hyperlink>
    </w:p>
    <w:p w14:paraId="6C1B3EBC" w14:textId="06EFB85C" w:rsidR="00DC792B" w:rsidRDefault="00000000">
      <w:pPr>
        <w:pStyle w:val="Sommario2"/>
        <w:rPr>
          <w:rFonts w:asciiTheme="minorHAnsi" w:eastAsiaTheme="minorEastAsia" w:hAnsiTheme="minorHAnsi" w:cstheme="minorBidi"/>
          <w:noProof/>
          <w:sz w:val="22"/>
          <w:szCs w:val="22"/>
          <w:lang w:val="it-IT" w:eastAsia="it-IT"/>
        </w:rPr>
      </w:pPr>
      <w:hyperlink w:anchor="_Toc112768681" w:history="1">
        <w:r w:rsidR="00DC792B" w:rsidRPr="007E0031">
          <w:rPr>
            <w:rStyle w:val="Collegamentoipertestuale"/>
            <w:noProof/>
          </w:rPr>
          <w:t>24.</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Dettes envers des banques et portions à court terme de prêts</w:t>
        </w:r>
        <w:r w:rsidR="00DC792B">
          <w:rPr>
            <w:noProof/>
            <w:webHidden/>
          </w:rPr>
          <w:tab/>
        </w:r>
        <w:r w:rsidR="00DC792B">
          <w:rPr>
            <w:noProof/>
            <w:webHidden/>
          </w:rPr>
          <w:fldChar w:fldCharType="begin"/>
        </w:r>
        <w:r w:rsidR="00DC792B">
          <w:rPr>
            <w:noProof/>
            <w:webHidden/>
          </w:rPr>
          <w:instrText xml:space="preserve"> PAGEREF _Toc112768681 \h </w:instrText>
        </w:r>
        <w:r w:rsidR="00DC792B">
          <w:rPr>
            <w:noProof/>
            <w:webHidden/>
          </w:rPr>
        </w:r>
        <w:r w:rsidR="00DC792B">
          <w:rPr>
            <w:noProof/>
            <w:webHidden/>
          </w:rPr>
          <w:fldChar w:fldCharType="separate"/>
        </w:r>
        <w:r w:rsidR="009E5F95">
          <w:rPr>
            <w:noProof/>
            <w:webHidden/>
          </w:rPr>
          <w:t>36</w:t>
        </w:r>
        <w:r w:rsidR="00DC792B">
          <w:rPr>
            <w:noProof/>
            <w:webHidden/>
          </w:rPr>
          <w:fldChar w:fldCharType="end"/>
        </w:r>
      </w:hyperlink>
    </w:p>
    <w:p w14:paraId="6C42B246" w14:textId="18D55B41" w:rsidR="00DC792B" w:rsidRDefault="00000000">
      <w:pPr>
        <w:pStyle w:val="Sommario2"/>
        <w:rPr>
          <w:rFonts w:asciiTheme="minorHAnsi" w:eastAsiaTheme="minorEastAsia" w:hAnsiTheme="minorHAnsi" w:cstheme="minorBidi"/>
          <w:noProof/>
          <w:sz w:val="22"/>
          <w:szCs w:val="22"/>
          <w:lang w:val="it-IT" w:eastAsia="it-IT"/>
        </w:rPr>
      </w:pPr>
      <w:hyperlink w:anchor="_Toc112768682" w:history="1">
        <w:r w:rsidR="00DC792B" w:rsidRPr="007E0031">
          <w:rPr>
            <w:rStyle w:val="Collegamentoipertestuale"/>
            <w:noProof/>
          </w:rPr>
          <w:t>25.</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Autres passifs financiers exigibles</w:t>
        </w:r>
        <w:r w:rsidR="00DC792B">
          <w:rPr>
            <w:noProof/>
            <w:webHidden/>
          </w:rPr>
          <w:tab/>
        </w:r>
        <w:r w:rsidR="00DC792B">
          <w:rPr>
            <w:noProof/>
            <w:webHidden/>
          </w:rPr>
          <w:fldChar w:fldCharType="begin"/>
        </w:r>
        <w:r w:rsidR="00DC792B">
          <w:rPr>
            <w:noProof/>
            <w:webHidden/>
          </w:rPr>
          <w:instrText xml:space="preserve"> PAGEREF _Toc112768682 \h </w:instrText>
        </w:r>
        <w:r w:rsidR="00DC792B">
          <w:rPr>
            <w:noProof/>
            <w:webHidden/>
          </w:rPr>
        </w:r>
        <w:r w:rsidR="00DC792B">
          <w:rPr>
            <w:noProof/>
            <w:webHidden/>
          </w:rPr>
          <w:fldChar w:fldCharType="separate"/>
        </w:r>
        <w:r w:rsidR="009E5F95">
          <w:rPr>
            <w:noProof/>
            <w:webHidden/>
          </w:rPr>
          <w:t>36</w:t>
        </w:r>
        <w:r w:rsidR="00DC792B">
          <w:rPr>
            <w:noProof/>
            <w:webHidden/>
          </w:rPr>
          <w:fldChar w:fldCharType="end"/>
        </w:r>
      </w:hyperlink>
    </w:p>
    <w:p w14:paraId="55BE0A8F" w14:textId="30042047" w:rsidR="00DC792B" w:rsidRDefault="00000000">
      <w:pPr>
        <w:pStyle w:val="Sommario2"/>
        <w:rPr>
          <w:rFonts w:asciiTheme="minorHAnsi" w:eastAsiaTheme="minorEastAsia" w:hAnsiTheme="minorHAnsi" w:cstheme="minorBidi"/>
          <w:noProof/>
          <w:sz w:val="22"/>
          <w:szCs w:val="22"/>
          <w:lang w:val="it-IT" w:eastAsia="it-IT"/>
        </w:rPr>
      </w:pPr>
      <w:hyperlink w:anchor="_Toc112768683" w:history="1">
        <w:r w:rsidR="00DC792B" w:rsidRPr="007E0031">
          <w:rPr>
            <w:rStyle w:val="Collegamentoipertestuale"/>
            <w:noProof/>
          </w:rPr>
          <w:t>26.</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Dettes commerciales</w:t>
        </w:r>
        <w:r w:rsidR="00DC792B">
          <w:rPr>
            <w:noProof/>
            <w:webHidden/>
          </w:rPr>
          <w:tab/>
        </w:r>
        <w:r w:rsidR="00DC792B">
          <w:rPr>
            <w:noProof/>
            <w:webHidden/>
          </w:rPr>
          <w:fldChar w:fldCharType="begin"/>
        </w:r>
        <w:r w:rsidR="00DC792B">
          <w:rPr>
            <w:noProof/>
            <w:webHidden/>
          </w:rPr>
          <w:instrText xml:space="preserve"> PAGEREF _Toc112768683 \h </w:instrText>
        </w:r>
        <w:r w:rsidR="00DC792B">
          <w:rPr>
            <w:noProof/>
            <w:webHidden/>
          </w:rPr>
        </w:r>
        <w:r w:rsidR="00DC792B">
          <w:rPr>
            <w:noProof/>
            <w:webHidden/>
          </w:rPr>
          <w:fldChar w:fldCharType="separate"/>
        </w:r>
        <w:r w:rsidR="009E5F95">
          <w:rPr>
            <w:noProof/>
            <w:webHidden/>
          </w:rPr>
          <w:t>36</w:t>
        </w:r>
        <w:r w:rsidR="00DC792B">
          <w:rPr>
            <w:noProof/>
            <w:webHidden/>
          </w:rPr>
          <w:fldChar w:fldCharType="end"/>
        </w:r>
      </w:hyperlink>
    </w:p>
    <w:p w14:paraId="76A7F5C6" w14:textId="0D5DC9EF" w:rsidR="00DC792B" w:rsidRDefault="00000000">
      <w:pPr>
        <w:pStyle w:val="Sommario2"/>
        <w:rPr>
          <w:rFonts w:asciiTheme="minorHAnsi" w:eastAsiaTheme="minorEastAsia" w:hAnsiTheme="minorHAnsi" w:cstheme="minorBidi"/>
          <w:noProof/>
          <w:sz w:val="22"/>
          <w:szCs w:val="22"/>
          <w:lang w:val="it-IT" w:eastAsia="it-IT"/>
        </w:rPr>
      </w:pPr>
      <w:hyperlink w:anchor="_Toc112768684" w:history="1">
        <w:r w:rsidR="00DC792B" w:rsidRPr="007E0031">
          <w:rPr>
            <w:rStyle w:val="Collegamentoipertestuale"/>
            <w:noProof/>
          </w:rPr>
          <w:t>27.</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Dettes pour les retours</w:t>
        </w:r>
        <w:r w:rsidR="00DC792B">
          <w:rPr>
            <w:noProof/>
            <w:webHidden/>
          </w:rPr>
          <w:tab/>
        </w:r>
        <w:r w:rsidR="00DC792B">
          <w:rPr>
            <w:noProof/>
            <w:webHidden/>
          </w:rPr>
          <w:fldChar w:fldCharType="begin"/>
        </w:r>
        <w:r w:rsidR="00DC792B">
          <w:rPr>
            <w:noProof/>
            <w:webHidden/>
          </w:rPr>
          <w:instrText xml:space="preserve"> PAGEREF _Toc112768684 \h </w:instrText>
        </w:r>
        <w:r w:rsidR="00DC792B">
          <w:rPr>
            <w:noProof/>
            <w:webHidden/>
          </w:rPr>
        </w:r>
        <w:r w:rsidR="00DC792B">
          <w:rPr>
            <w:noProof/>
            <w:webHidden/>
          </w:rPr>
          <w:fldChar w:fldCharType="separate"/>
        </w:r>
        <w:r w:rsidR="009E5F95">
          <w:rPr>
            <w:noProof/>
            <w:webHidden/>
          </w:rPr>
          <w:t>37</w:t>
        </w:r>
        <w:r w:rsidR="00DC792B">
          <w:rPr>
            <w:noProof/>
            <w:webHidden/>
          </w:rPr>
          <w:fldChar w:fldCharType="end"/>
        </w:r>
      </w:hyperlink>
    </w:p>
    <w:p w14:paraId="248CA75D" w14:textId="622D0295" w:rsidR="00DC792B" w:rsidRDefault="00000000">
      <w:pPr>
        <w:pStyle w:val="Sommario2"/>
        <w:rPr>
          <w:rFonts w:asciiTheme="minorHAnsi" w:eastAsiaTheme="minorEastAsia" w:hAnsiTheme="minorHAnsi" w:cstheme="minorBidi"/>
          <w:noProof/>
          <w:sz w:val="22"/>
          <w:szCs w:val="22"/>
          <w:lang w:val="it-IT" w:eastAsia="it-IT"/>
        </w:rPr>
      </w:pPr>
      <w:hyperlink w:anchor="_Toc112768685" w:history="1">
        <w:r w:rsidR="00DC792B" w:rsidRPr="007E0031">
          <w:rPr>
            <w:rStyle w:val="Collegamentoipertestuale"/>
            <w:noProof/>
          </w:rPr>
          <w:t>28.</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Dettes fiscales</w:t>
        </w:r>
        <w:r w:rsidR="00DC792B">
          <w:rPr>
            <w:noProof/>
            <w:webHidden/>
          </w:rPr>
          <w:tab/>
        </w:r>
        <w:r w:rsidR="00DC792B">
          <w:rPr>
            <w:noProof/>
            <w:webHidden/>
          </w:rPr>
          <w:fldChar w:fldCharType="begin"/>
        </w:r>
        <w:r w:rsidR="00DC792B">
          <w:rPr>
            <w:noProof/>
            <w:webHidden/>
          </w:rPr>
          <w:instrText xml:space="preserve"> PAGEREF _Toc112768685 \h </w:instrText>
        </w:r>
        <w:r w:rsidR="00DC792B">
          <w:rPr>
            <w:noProof/>
            <w:webHidden/>
          </w:rPr>
        </w:r>
        <w:r w:rsidR="00DC792B">
          <w:rPr>
            <w:noProof/>
            <w:webHidden/>
          </w:rPr>
          <w:fldChar w:fldCharType="separate"/>
        </w:r>
        <w:r w:rsidR="009E5F95">
          <w:rPr>
            <w:noProof/>
            <w:webHidden/>
          </w:rPr>
          <w:t>37</w:t>
        </w:r>
        <w:r w:rsidR="00DC792B">
          <w:rPr>
            <w:noProof/>
            <w:webHidden/>
          </w:rPr>
          <w:fldChar w:fldCharType="end"/>
        </w:r>
      </w:hyperlink>
    </w:p>
    <w:p w14:paraId="42FD6D22" w14:textId="00EA5F11" w:rsidR="00DC792B" w:rsidRDefault="00000000">
      <w:pPr>
        <w:pStyle w:val="Sommario2"/>
        <w:rPr>
          <w:rFonts w:asciiTheme="minorHAnsi" w:eastAsiaTheme="minorEastAsia" w:hAnsiTheme="minorHAnsi" w:cstheme="minorBidi"/>
          <w:noProof/>
          <w:sz w:val="22"/>
          <w:szCs w:val="22"/>
          <w:lang w:val="it-IT" w:eastAsia="it-IT"/>
        </w:rPr>
      </w:pPr>
      <w:hyperlink w:anchor="_Toc112768686" w:history="1">
        <w:r w:rsidR="00DC792B" w:rsidRPr="007E0031">
          <w:rPr>
            <w:rStyle w:val="Collegamentoipertestuale"/>
            <w:noProof/>
          </w:rPr>
          <w:t>29.</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Autres dettes et engagements à court terme</w:t>
        </w:r>
        <w:r w:rsidR="00DC792B">
          <w:rPr>
            <w:noProof/>
            <w:webHidden/>
          </w:rPr>
          <w:tab/>
        </w:r>
        <w:r w:rsidR="00DC792B">
          <w:rPr>
            <w:noProof/>
            <w:webHidden/>
          </w:rPr>
          <w:fldChar w:fldCharType="begin"/>
        </w:r>
        <w:r w:rsidR="00DC792B">
          <w:rPr>
            <w:noProof/>
            <w:webHidden/>
          </w:rPr>
          <w:instrText xml:space="preserve"> PAGEREF _Toc112768686 \h </w:instrText>
        </w:r>
        <w:r w:rsidR="00DC792B">
          <w:rPr>
            <w:noProof/>
            <w:webHidden/>
          </w:rPr>
        </w:r>
        <w:r w:rsidR="00DC792B">
          <w:rPr>
            <w:noProof/>
            <w:webHidden/>
          </w:rPr>
          <w:fldChar w:fldCharType="separate"/>
        </w:r>
        <w:r w:rsidR="009E5F95">
          <w:rPr>
            <w:noProof/>
            <w:webHidden/>
          </w:rPr>
          <w:t>38</w:t>
        </w:r>
        <w:r w:rsidR="00DC792B">
          <w:rPr>
            <w:noProof/>
            <w:webHidden/>
          </w:rPr>
          <w:fldChar w:fldCharType="end"/>
        </w:r>
      </w:hyperlink>
    </w:p>
    <w:p w14:paraId="0F507CBC" w14:textId="54429190" w:rsidR="00DC792B" w:rsidRDefault="00000000">
      <w:pPr>
        <w:pStyle w:val="Sommario2"/>
        <w:rPr>
          <w:rFonts w:asciiTheme="minorHAnsi" w:eastAsiaTheme="minorEastAsia" w:hAnsiTheme="minorHAnsi" w:cstheme="minorBidi"/>
          <w:noProof/>
          <w:sz w:val="22"/>
          <w:szCs w:val="22"/>
          <w:lang w:val="it-IT" w:eastAsia="it-IT"/>
        </w:rPr>
      </w:pPr>
      <w:hyperlink w:anchor="_Toc112768687" w:history="1">
        <w:r w:rsidR="00DC792B" w:rsidRPr="007E0031">
          <w:rPr>
            <w:rStyle w:val="Collegamentoipertestuale"/>
            <w:noProof/>
          </w:rPr>
          <w:t>30.</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Revenus des contrats avec les clients</w:t>
        </w:r>
        <w:r w:rsidR="00DC792B">
          <w:rPr>
            <w:noProof/>
            <w:webHidden/>
          </w:rPr>
          <w:tab/>
        </w:r>
        <w:r w:rsidR="00DC792B">
          <w:rPr>
            <w:noProof/>
            <w:webHidden/>
          </w:rPr>
          <w:fldChar w:fldCharType="begin"/>
        </w:r>
        <w:r w:rsidR="00DC792B">
          <w:rPr>
            <w:noProof/>
            <w:webHidden/>
          </w:rPr>
          <w:instrText xml:space="preserve"> PAGEREF _Toc112768687 \h </w:instrText>
        </w:r>
        <w:r w:rsidR="00DC792B">
          <w:rPr>
            <w:noProof/>
            <w:webHidden/>
          </w:rPr>
        </w:r>
        <w:r w:rsidR="00DC792B">
          <w:rPr>
            <w:noProof/>
            <w:webHidden/>
          </w:rPr>
          <w:fldChar w:fldCharType="separate"/>
        </w:r>
        <w:r w:rsidR="009E5F95">
          <w:rPr>
            <w:noProof/>
            <w:webHidden/>
          </w:rPr>
          <w:t>38</w:t>
        </w:r>
        <w:r w:rsidR="00DC792B">
          <w:rPr>
            <w:noProof/>
            <w:webHidden/>
          </w:rPr>
          <w:fldChar w:fldCharType="end"/>
        </w:r>
      </w:hyperlink>
    </w:p>
    <w:p w14:paraId="1DCDE16F" w14:textId="12EB2E4B" w:rsidR="00DC792B" w:rsidRDefault="00000000">
      <w:pPr>
        <w:pStyle w:val="Sommario2"/>
        <w:rPr>
          <w:rFonts w:asciiTheme="minorHAnsi" w:eastAsiaTheme="minorEastAsia" w:hAnsiTheme="minorHAnsi" w:cstheme="minorBidi"/>
          <w:noProof/>
          <w:sz w:val="22"/>
          <w:szCs w:val="22"/>
          <w:lang w:val="it-IT" w:eastAsia="it-IT"/>
        </w:rPr>
      </w:pPr>
      <w:hyperlink w:anchor="_Toc112768688" w:history="1">
        <w:r w:rsidR="00DC792B" w:rsidRPr="007E0031">
          <w:rPr>
            <w:rStyle w:val="Collegamentoipertestuale"/>
            <w:noProof/>
          </w:rPr>
          <w:t>31.</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Autres revenus</w:t>
        </w:r>
        <w:r w:rsidR="00DC792B">
          <w:rPr>
            <w:noProof/>
            <w:webHidden/>
          </w:rPr>
          <w:tab/>
        </w:r>
        <w:r w:rsidR="00DC792B">
          <w:rPr>
            <w:noProof/>
            <w:webHidden/>
          </w:rPr>
          <w:fldChar w:fldCharType="begin"/>
        </w:r>
        <w:r w:rsidR="00DC792B">
          <w:rPr>
            <w:noProof/>
            <w:webHidden/>
          </w:rPr>
          <w:instrText xml:space="preserve"> PAGEREF _Toc112768688 \h </w:instrText>
        </w:r>
        <w:r w:rsidR="00DC792B">
          <w:rPr>
            <w:noProof/>
            <w:webHidden/>
          </w:rPr>
        </w:r>
        <w:r w:rsidR="00DC792B">
          <w:rPr>
            <w:noProof/>
            <w:webHidden/>
          </w:rPr>
          <w:fldChar w:fldCharType="separate"/>
        </w:r>
        <w:r w:rsidR="009E5F95">
          <w:rPr>
            <w:noProof/>
            <w:webHidden/>
          </w:rPr>
          <w:t>39</w:t>
        </w:r>
        <w:r w:rsidR="00DC792B">
          <w:rPr>
            <w:noProof/>
            <w:webHidden/>
          </w:rPr>
          <w:fldChar w:fldCharType="end"/>
        </w:r>
      </w:hyperlink>
    </w:p>
    <w:p w14:paraId="7E4E2E72" w14:textId="51CF4E12" w:rsidR="00DC792B" w:rsidRDefault="00000000">
      <w:pPr>
        <w:pStyle w:val="Sommario2"/>
        <w:rPr>
          <w:rFonts w:asciiTheme="minorHAnsi" w:eastAsiaTheme="minorEastAsia" w:hAnsiTheme="minorHAnsi" w:cstheme="minorBidi"/>
          <w:noProof/>
          <w:sz w:val="22"/>
          <w:szCs w:val="22"/>
          <w:lang w:val="it-IT" w:eastAsia="it-IT"/>
        </w:rPr>
      </w:pPr>
      <w:hyperlink w:anchor="_Toc112768689" w:history="1">
        <w:r w:rsidR="00DC792B" w:rsidRPr="007E0031">
          <w:rPr>
            <w:rStyle w:val="Collegamentoipertestuale"/>
            <w:noProof/>
          </w:rPr>
          <w:t>32.</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Coûts des matières premières, des produits semi-finis et des consommables.</w:t>
        </w:r>
        <w:r w:rsidR="00DC792B">
          <w:rPr>
            <w:noProof/>
            <w:webHidden/>
          </w:rPr>
          <w:tab/>
        </w:r>
        <w:r w:rsidR="00DC792B">
          <w:rPr>
            <w:noProof/>
            <w:webHidden/>
          </w:rPr>
          <w:fldChar w:fldCharType="begin"/>
        </w:r>
        <w:r w:rsidR="00DC792B">
          <w:rPr>
            <w:noProof/>
            <w:webHidden/>
          </w:rPr>
          <w:instrText xml:space="preserve"> PAGEREF _Toc112768689 \h </w:instrText>
        </w:r>
        <w:r w:rsidR="00DC792B">
          <w:rPr>
            <w:noProof/>
            <w:webHidden/>
          </w:rPr>
        </w:r>
        <w:r w:rsidR="00DC792B">
          <w:rPr>
            <w:noProof/>
            <w:webHidden/>
          </w:rPr>
          <w:fldChar w:fldCharType="separate"/>
        </w:r>
        <w:r w:rsidR="009E5F95">
          <w:rPr>
            <w:noProof/>
            <w:webHidden/>
          </w:rPr>
          <w:t>39</w:t>
        </w:r>
        <w:r w:rsidR="00DC792B">
          <w:rPr>
            <w:noProof/>
            <w:webHidden/>
          </w:rPr>
          <w:fldChar w:fldCharType="end"/>
        </w:r>
      </w:hyperlink>
    </w:p>
    <w:p w14:paraId="1858C46D" w14:textId="3B5EB854" w:rsidR="00DC792B" w:rsidRDefault="00000000">
      <w:pPr>
        <w:pStyle w:val="Sommario2"/>
        <w:rPr>
          <w:rFonts w:asciiTheme="minorHAnsi" w:eastAsiaTheme="minorEastAsia" w:hAnsiTheme="minorHAnsi" w:cstheme="minorBidi"/>
          <w:noProof/>
          <w:sz w:val="22"/>
          <w:szCs w:val="22"/>
          <w:lang w:val="it-IT" w:eastAsia="it-IT"/>
        </w:rPr>
      </w:pPr>
      <w:hyperlink w:anchor="_Toc112768690" w:history="1">
        <w:r w:rsidR="00DC792B" w:rsidRPr="007E0031">
          <w:rPr>
            <w:rStyle w:val="Collegamentoipertestuale"/>
            <w:noProof/>
          </w:rPr>
          <w:t>33.</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Coûts de services</w:t>
        </w:r>
        <w:r w:rsidR="00DC792B">
          <w:rPr>
            <w:noProof/>
            <w:webHidden/>
          </w:rPr>
          <w:tab/>
        </w:r>
        <w:r w:rsidR="00DC792B">
          <w:rPr>
            <w:noProof/>
            <w:webHidden/>
          </w:rPr>
          <w:fldChar w:fldCharType="begin"/>
        </w:r>
        <w:r w:rsidR="00DC792B">
          <w:rPr>
            <w:noProof/>
            <w:webHidden/>
          </w:rPr>
          <w:instrText xml:space="preserve"> PAGEREF _Toc112768690 \h </w:instrText>
        </w:r>
        <w:r w:rsidR="00DC792B">
          <w:rPr>
            <w:noProof/>
            <w:webHidden/>
          </w:rPr>
        </w:r>
        <w:r w:rsidR="00DC792B">
          <w:rPr>
            <w:noProof/>
            <w:webHidden/>
          </w:rPr>
          <w:fldChar w:fldCharType="separate"/>
        </w:r>
        <w:r w:rsidR="009E5F95">
          <w:rPr>
            <w:noProof/>
            <w:webHidden/>
          </w:rPr>
          <w:t>40</w:t>
        </w:r>
        <w:r w:rsidR="00DC792B">
          <w:rPr>
            <w:noProof/>
            <w:webHidden/>
          </w:rPr>
          <w:fldChar w:fldCharType="end"/>
        </w:r>
      </w:hyperlink>
    </w:p>
    <w:p w14:paraId="20744A90" w14:textId="0E9BAC4F" w:rsidR="00DC792B" w:rsidRDefault="00000000">
      <w:pPr>
        <w:pStyle w:val="Sommario2"/>
        <w:rPr>
          <w:rFonts w:asciiTheme="minorHAnsi" w:eastAsiaTheme="minorEastAsia" w:hAnsiTheme="minorHAnsi" w:cstheme="minorBidi"/>
          <w:noProof/>
          <w:sz w:val="22"/>
          <w:szCs w:val="22"/>
          <w:lang w:val="it-IT" w:eastAsia="it-IT"/>
        </w:rPr>
      </w:pPr>
      <w:hyperlink w:anchor="_Toc112768691" w:history="1">
        <w:r w:rsidR="00DC792B" w:rsidRPr="007E0031">
          <w:rPr>
            <w:rStyle w:val="Collegamentoipertestuale"/>
            <w:noProof/>
          </w:rPr>
          <w:t>34.</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Charges de personnel</w:t>
        </w:r>
        <w:r w:rsidR="00DC792B">
          <w:rPr>
            <w:noProof/>
            <w:webHidden/>
          </w:rPr>
          <w:tab/>
        </w:r>
        <w:r w:rsidR="00DC792B">
          <w:rPr>
            <w:noProof/>
            <w:webHidden/>
          </w:rPr>
          <w:fldChar w:fldCharType="begin"/>
        </w:r>
        <w:r w:rsidR="00DC792B">
          <w:rPr>
            <w:noProof/>
            <w:webHidden/>
          </w:rPr>
          <w:instrText xml:space="preserve"> PAGEREF _Toc112768691 \h </w:instrText>
        </w:r>
        <w:r w:rsidR="00DC792B">
          <w:rPr>
            <w:noProof/>
            <w:webHidden/>
          </w:rPr>
        </w:r>
        <w:r w:rsidR="00DC792B">
          <w:rPr>
            <w:noProof/>
            <w:webHidden/>
          </w:rPr>
          <w:fldChar w:fldCharType="separate"/>
        </w:r>
        <w:r w:rsidR="009E5F95">
          <w:rPr>
            <w:noProof/>
            <w:webHidden/>
          </w:rPr>
          <w:t>40</w:t>
        </w:r>
        <w:r w:rsidR="00DC792B">
          <w:rPr>
            <w:noProof/>
            <w:webHidden/>
          </w:rPr>
          <w:fldChar w:fldCharType="end"/>
        </w:r>
      </w:hyperlink>
    </w:p>
    <w:p w14:paraId="285D3C4C" w14:textId="53AC8721" w:rsidR="00DC792B" w:rsidRDefault="00000000">
      <w:pPr>
        <w:pStyle w:val="Sommario2"/>
        <w:rPr>
          <w:rFonts w:asciiTheme="minorHAnsi" w:eastAsiaTheme="minorEastAsia" w:hAnsiTheme="minorHAnsi" w:cstheme="minorBidi"/>
          <w:noProof/>
          <w:sz w:val="22"/>
          <w:szCs w:val="22"/>
          <w:lang w:val="it-IT" w:eastAsia="it-IT"/>
        </w:rPr>
      </w:pPr>
      <w:hyperlink w:anchor="_Toc112768692" w:history="1">
        <w:r w:rsidR="00DC792B" w:rsidRPr="007E0031">
          <w:rPr>
            <w:rStyle w:val="Collegamentoipertestuale"/>
            <w:noProof/>
          </w:rPr>
          <w:t>35.</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Autres coûts d’exploitation</w:t>
        </w:r>
        <w:r w:rsidR="00DC792B">
          <w:rPr>
            <w:noProof/>
            <w:webHidden/>
          </w:rPr>
          <w:tab/>
        </w:r>
        <w:r w:rsidR="00DC792B">
          <w:rPr>
            <w:noProof/>
            <w:webHidden/>
          </w:rPr>
          <w:fldChar w:fldCharType="begin"/>
        </w:r>
        <w:r w:rsidR="00DC792B">
          <w:rPr>
            <w:noProof/>
            <w:webHidden/>
          </w:rPr>
          <w:instrText xml:space="preserve"> PAGEREF _Toc112768692 \h </w:instrText>
        </w:r>
        <w:r w:rsidR="00DC792B">
          <w:rPr>
            <w:noProof/>
            <w:webHidden/>
          </w:rPr>
        </w:r>
        <w:r w:rsidR="00DC792B">
          <w:rPr>
            <w:noProof/>
            <w:webHidden/>
          </w:rPr>
          <w:fldChar w:fldCharType="separate"/>
        </w:r>
        <w:r w:rsidR="009E5F95">
          <w:rPr>
            <w:noProof/>
            <w:webHidden/>
          </w:rPr>
          <w:t>41</w:t>
        </w:r>
        <w:r w:rsidR="00DC792B">
          <w:rPr>
            <w:noProof/>
            <w:webHidden/>
          </w:rPr>
          <w:fldChar w:fldCharType="end"/>
        </w:r>
      </w:hyperlink>
    </w:p>
    <w:p w14:paraId="1BDEFC1D" w14:textId="5FC0F65E" w:rsidR="00DC792B" w:rsidRDefault="00000000">
      <w:pPr>
        <w:pStyle w:val="Sommario2"/>
        <w:rPr>
          <w:rFonts w:asciiTheme="minorHAnsi" w:eastAsiaTheme="minorEastAsia" w:hAnsiTheme="minorHAnsi" w:cstheme="minorBidi"/>
          <w:noProof/>
          <w:sz w:val="22"/>
          <w:szCs w:val="22"/>
          <w:lang w:val="it-IT" w:eastAsia="it-IT"/>
        </w:rPr>
      </w:pPr>
      <w:hyperlink w:anchor="_Toc112768693" w:history="1">
        <w:r w:rsidR="00DC792B" w:rsidRPr="007E0031">
          <w:rPr>
            <w:rStyle w:val="Collegamentoipertestuale"/>
            <w:noProof/>
          </w:rPr>
          <w:t>36.</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Amortissements et dépréciations</w:t>
        </w:r>
        <w:r w:rsidR="00DC792B">
          <w:rPr>
            <w:noProof/>
            <w:webHidden/>
          </w:rPr>
          <w:tab/>
        </w:r>
        <w:r w:rsidR="00DC792B">
          <w:rPr>
            <w:noProof/>
            <w:webHidden/>
          </w:rPr>
          <w:fldChar w:fldCharType="begin"/>
        </w:r>
        <w:r w:rsidR="00DC792B">
          <w:rPr>
            <w:noProof/>
            <w:webHidden/>
          </w:rPr>
          <w:instrText xml:space="preserve"> PAGEREF _Toc112768693 \h </w:instrText>
        </w:r>
        <w:r w:rsidR="00DC792B">
          <w:rPr>
            <w:noProof/>
            <w:webHidden/>
          </w:rPr>
        </w:r>
        <w:r w:rsidR="00DC792B">
          <w:rPr>
            <w:noProof/>
            <w:webHidden/>
          </w:rPr>
          <w:fldChar w:fldCharType="separate"/>
        </w:r>
        <w:r w:rsidR="009E5F95">
          <w:rPr>
            <w:noProof/>
            <w:webHidden/>
          </w:rPr>
          <w:t>41</w:t>
        </w:r>
        <w:r w:rsidR="00DC792B">
          <w:rPr>
            <w:noProof/>
            <w:webHidden/>
          </w:rPr>
          <w:fldChar w:fldCharType="end"/>
        </w:r>
      </w:hyperlink>
    </w:p>
    <w:p w14:paraId="547AA978" w14:textId="23CAFB1B" w:rsidR="00DC792B" w:rsidRDefault="00000000">
      <w:pPr>
        <w:pStyle w:val="Sommario2"/>
        <w:rPr>
          <w:rFonts w:asciiTheme="minorHAnsi" w:eastAsiaTheme="minorEastAsia" w:hAnsiTheme="minorHAnsi" w:cstheme="minorBidi"/>
          <w:noProof/>
          <w:sz w:val="22"/>
          <w:szCs w:val="22"/>
          <w:lang w:val="it-IT" w:eastAsia="it-IT"/>
        </w:rPr>
      </w:pPr>
      <w:hyperlink w:anchor="_Toc112768694" w:history="1">
        <w:r w:rsidR="00DC792B" w:rsidRPr="007E0031">
          <w:rPr>
            <w:rStyle w:val="Collegamentoipertestuale"/>
            <w:noProof/>
          </w:rPr>
          <w:t>37.</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Charges financières</w:t>
        </w:r>
        <w:r w:rsidR="00DC792B">
          <w:rPr>
            <w:noProof/>
            <w:webHidden/>
          </w:rPr>
          <w:tab/>
        </w:r>
        <w:r w:rsidR="00DC792B">
          <w:rPr>
            <w:noProof/>
            <w:webHidden/>
          </w:rPr>
          <w:fldChar w:fldCharType="begin"/>
        </w:r>
        <w:r w:rsidR="00DC792B">
          <w:rPr>
            <w:noProof/>
            <w:webHidden/>
          </w:rPr>
          <w:instrText xml:space="preserve"> PAGEREF _Toc112768694 \h </w:instrText>
        </w:r>
        <w:r w:rsidR="00DC792B">
          <w:rPr>
            <w:noProof/>
            <w:webHidden/>
          </w:rPr>
        </w:r>
        <w:r w:rsidR="00DC792B">
          <w:rPr>
            <w:noProof/>
            <w:webHidden/>
          </w:rPr>
          <w:fldChar w:fldCharType="separate"/>
        </w:r>
        <w:r w:rsidR="009E5F95">
          <w:rPr>
            <w:noProof/>
            <w:webHidden/>
          </w:rPr>
          <w:t>42</w:t>
        </w:r>
        <w:r w:rsidR="00DC792B">
          <w:rPr>
            <w:noProof/>
            <w:webHidden/>
          </w:rPr>
          <w:fldChar w:fldCharType="end"/>
        </w:r>
      </w:hyperlink>
    </w:p>
    <w:p w14:paraId="00C43EA2" w14:textId="2BF5217D" w:rsidR="00DC792B" w:rsidRDefault="00000000">
      <w:pPr>
        <w:pStyle w:val="Sommario2"/>
        <w:rPr>
          <w:rFonts w:asciiTheme="minorHAnsi" w:eastAsiaTheme="minorEastAsia" w:hAnsiTheme="minorHAnsi" w:cstheme="minorBidi"/>
          <w:noProof/>
          <w:sz w:val="22"/>
          <w:szCs w:val="22"/>
          <w:lang w:val="it-IT" w:eastAsia="it-IT"/>
        </w:rPr>
      </w:pPr>
      <w:hyperlink w:anchor="_Toc112768695" w:history="1">
        <w:r w:rsidR="00DC792B" w:rsidRPr="007E0031">
          <w:rPr>
            <w:rStyle w:val="Collegamentoipertestuale"/>
            <w:noProof/>
          </w:rPr>
          <w:t>38.</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Produits financiers</w:t>
        </w:r>
        <w:r w:rsidR="00DC792B">
          <w:rPr>
            <w:noProof/>
            <w:webHidden/>
          </w:rPr>
          <w:tab/>
        </w:r>
        <w:r w:rsidR="00DC792B">
          <w:rPr>
            <w:noProof/>
            <w:webHidden/>
          </w:rPr>
          <w:fldChar w:fldCharType="begin"/>
        </w:r>
        <w:r w:rsidR="00DC792B">
          <w:rPr>
            <w:noProof/>
            <w:webHidden/>
          </w:rPr>
          <w:instrText xml:space="preserve"> PAGEREF _Toc112768695 \h </w:instrText>
        </w:r>
        <w:r w:rsidR="00DC792B">
          <w:rPr>
            <w:noProof/>
            <w:webHidden/>
          </w:rPr>
        </w:r>
        <w:r w:rsidR="00DC792B">
          <w:rPr>
            <w:noProof/>
            <w:webHidden/>
          </w:rPr>
          <w:fldChar w:fldCharType="separate"/>
        </w:r>
        <w:r w:rsidR="009E5F95">
          <w:rPr>
            <w:noProof/>
            <w:webHidden/>
          </w:rPr>
          <w:t>42</w:t>
        </w:r>
        <w:r w:rsidR="00DC792B">
          <w:rPr>
            <w:noProof/>
            <w:webHidden/>
          </w:rPr>
          <w:fldChar w:fldCharType="end"/>
        </w:r>
      </w:hyperlink>
    </w:p>
    <w:p w14:paraId="03A37EC2" w14:textId="3EE970CC" w:rsidR="00DC792B" w:rsidRDefault="00000000">
      <w:pPr>
        <w:pStyle w:val="Sommario2"/>
        <w:rPr>
          <w:rFonts w:asciiTheme="minorHAnsi" w:eastAsiaTheme="minorEastAsia" w:hAnsiTheme="minorHAnsi" w:cstheme="minorBidi"/>
          <w:noProof/>
          <w:sz w:val="22"/>
          <w:szCs w:val="22"/>
          <w:lang w:val="it-IT" w:eastAsia="it-IT"/>
        </w:rPr>
      </w:pPr>
      <w:hyperlink w:anchor="_Toc112768696" w:history="1">
        <w:r w:rsidR="00DC792B" w:rsidRPr="007E0031">
          <w:rPr>
            <w:rStyle w:val="Collegamentoipertestuale"/>
            <w:noProof/>
          </w:rPr>
          <w:t>39.</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Impôts sur le revenu</w:t>
        </w:r>
        <w:r w:rsidR="00DC792B">
          <w:rPr>
            <w:noProof/>
            <w:webHidden/>
          </w:rPr>
          <w:tab/>
        </w:r>
        <w:r w:rsidR="00DC792B">
          <w:rPr>
            <w:noProof/>
            <w:webHidden/>
          </w:rPr>
          <w:fldChar w:fldCharType="begin"/>
        </w:r>
        <w:r w:rsidR="00DC792B">
          <w:rPr>
            <w:noProof/>
            <w:webHidden/>
          </w:rPr>
          <w:instrText xml:space="preserve"> PAGEREF _Toc112768696 \h </w:instrText>
        </w:r>
        <w:r w:rsidR="00DC792B">
          <w:rPr>
            <w:noProof/>
            <w:webHidden/>
          </w:rPr>
        </w:r>
        <w:r w:rsidR="00DC792B">
          <w:rPr>
            <w:noProof/>
            <w:webHidden/>
          </w:rPr>
          <w:fldChar w:fldCharType="separate"/>
        </w:r>
        <w:r w:rsidR="009E5F95">
          <w:rPr>
            <w:noProof/>
            <w:webHidden/>
          </w:rPr>
          <w:t>43</w:t>
        </w:r>
        <w:r w:rsidR="00DC792B">
          <w:rPr>
            <w:noProof/>
            <w:webHidden/>
          </w:rPr>
          <w:fldChar w:fldCharType="end"/>
        </w:r>
      </w:hyperlink>
    </w:p>
    <w:p w14:paraId="726BD704" w14:textId="37B297E2" w:rsidR="00DC792B" w:rsidRPr="0053795D" w:rsidRDefault="00000000" w:rsidP="0053795D">
      <w:pPr>
        <w:pStyle w:val="Sommario2"/>
        <w:rPr>
          <w:rFonts w:asciiTheme="minorHAnsi" w:eastAsiaTheme="minorEastAsia" w:hAnsiTheme="minorHAnsi" w:cstheme="minorBidi"/>
          <w:noProof/>
          <w:sz w:val="22"/>
          <w:szCs w:val="22"/>
          <w:lang w:val="it-IT" w:eastAsia="it-IT"/>
        </w:rPr>
      </w:pPr>
      <w:hyperlink w:anchor="_Toc112768697" w:history="1">
        <w:r w:rsidR="00DC792B" w:rsidRPr="007E0031">
          <w:rPr>
            <w:rStyle w:val="Collegamentoipertestuale"/>
            <w:noProof/>
          </w:rPr>
          <w:t>40.</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Instruments financiers - juste valeur et gestion des risques</w:t>
        </w:r>
        <w:r w:rsidR="00DC792B">
          <w:rPr>
            <w:noProof/>
            <w:webHidden/>
          </w:rPr>
          <w:tab/>
        </w:r>
        <w:r w:rsidR="00DC792B">
          <w:rPr>
            <w:noProof/>
            <w:webHidden/>
          </w:rPr>
          <w:fldChar w:fldCharType="begin"/>
        </w:r>
        <w:r w:rsidR="00DC792B">
          <w:rPr>
            <w:noProof/>
            <w:webHidden/>
          </w:rPr>
          <w:instrText xml:space="preserve"> PAGEREF _Toc112768697 \h </w:instrText>
        </w:r>
        <w:r w:rsidR="00DC792B">
          <w:rPr>
            <w:noProof/>
            <w:webHidden/>
          </w:rPr>
        </w:r>
        <w:r w:rsidR="00DC792B">
          <w:rPr>
            <w:noProof/>
            <w:webHidden/>
          </w:rPr>
          <w:fldChar w:fldCharType="separate"/>
        </w:r>
        <w:r w:rsidR="009E5F95">
          <w:rPr>
            <w:noProof/>
            <w:webHidden/>
          </w:rPr>
          <w:t>43</w:t>
        </w:r>
        <w:r w:rsidR="00DC792B">
          <w:rPr>
            <w:noProof/>
            <w:webHidden/>
          </w:rPr>
          <w:fldChar w:fldCharType="end"/>
        </w:r>
      </w:hyperlink>
    </w:p>
    <w:p w14:paraId="2E24A84B" w14:textId="267A4B12" w:rsidR="00DC792B" w:rsidRDefault="00000000">
      <w:pPr>
        <w:pStyle w:val="Sommario2"/>
        <w:rPr>
          <w:rFonts w:asciiTheme="minorHAnsi" w:eastAsiaTheme="minorEastAsia" w:hAnsiTheme="minorHAnsi" w:cstheme="minorBidi"/>
          <w:noProof/>
          <w:sz w:val="22"/>
          <w:szCs w:val="22"/>
          <w:lang w:val="it-IT" w:eastAsia="it-IT"/>
        </w:rPr>
      </w:pPr>
      <w:hyperlink w:anchor="_Toc112768722" w:history="1">
        <w:r w:rsidR="00DC792B" w:rsidRPr="007E0031">
          <w:rPr>
            <w:rStyle w:val="Collegamentoipertestuale"/>
            <w:noProof/>
          </w:rPr>
          <w:t>41.</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Événements significatifs survenus après la fin de la période</w:t>
        </w:r>
        <w:r w:rsidR="00DC792B">
          <w:rPr>
            <w:noProof/>
            <w:webHidden/>
          </w:rPr>
          <w:tab/>
        </w:r>
        <w:r w:rsidR="00DC792B">
          <w:rPr>
            <w:noProof/>
            <w:webHidden/>
          </w:rPr>
          <w:fldChar w:fldCharType="begin"/>
        </w:r>
        <w:r w:rsidR="00DC792B">
          <w:rPr>
            <w:noProof/>
            <w:webHidden/>
          </w:rPr>
          <w:instrText xml:space="preserve"> PAGEREF _Toc112768722 \h </w:instrText>
        </w:r>
        <w:r w:rsidR="00DC792B">
          <w:rPr>
            <w:noProof/>
            <w:webHidden/>
          </w:rPr>
        </w:r>
        <w:r w:rsidR="00DC792B">
          <w:rPr>
            <w:noProof/>
            <w:webHidden/>
          </w:rPr>
          <w:fldChar w:fldCharType="separate"/>
        </w:r>
        <w:r w:rsidR="009E5F95">
          <w:rPr>
            <w:noProof/>
            <w:webHidden/>
          </w:rPr>
          <w:t>48</w:t>
        </w:r>
        <w:r w:rsidR="00DC792B">
          <w:rPr>
            <w:noProof/>
            <w:webHidden/>
          </w:rPr>
          <w:fldChar w:fldCharType="end"/>
        </w:r>
      </w:hyperlink>
    </w:p>
    <w:p w14:paraId="4F591831" w14:textId="31D92654" w:rsidR="00DC792B" w:rsidRDefault="00000000">
      <w:pPr>
        <w:pStyle w:val="Sommario2"/>
        <w:rPr>
          <w:rFonts w:asciiTheme="minorHAnsi" w:eastAsiaTheme="minorEastAsia" w:hAnsiTheme="minorHAnsi" w:cstheme="minorBidi"/>
          <w:noProof/>
          <w:sz w:val="22"/>
          <w:szCs w:val="22"/>
          <w:lang w:val="it-IT" w:eastAsia="it-IT"/>
        </w:rPr>
      </w:pPr>
      <w:hyperlink w:anchor="_Toc112768723" w:history="1">
        <w:r w:rsidR="00DC792B" w:rsidRPr="007E0031">
          <w:rPr>
            <w:rStyle w:val="Collegamentoipertestuale"/>
            <w:noProof/>
          </w:rPr>
          <w:t>42.</w:t>
        </w:r>
        <w:r w:rsidR="00DC792B">
          <w:rPr>
            <w:rFonts w:asciiTheme="minorHAnsi" w:eastAsiaTheme="minorEastAsia" w:hAnsiTheme="minorHAnsi" w:cstheme="minorBidi"/>
            <w:noProof/>
            <w:sz w:val="22"/>
            <w:szCs w:val="22"/>
            <w:lang w:val="it-IT" w:eastAsia="it-IT"/>
          </w:rPr>
          <w:tab/>
        </w:r>
        <w:r w:rsidR="00DC792B" w:rsidRPr="007E0031">
          <w:rPr>
            <w:rStyle w:val="Collegamentoipertestuale"/>
            <w:noProof/>
          </w:rPr>
          <w:t>Transactions avec des parties liées</w:t>
        </w:r>
        <w:r w:rsidR="00DC792B">
          <w:rPr>
            <w:noProof/>
            <w:webHidden/>
          </w:rPr>
          <w:tab/>
        </w:r>
        <w:r w:rsidR="00DC792B">
          <w:rPr>
            <w:noProof/>
            <w:webHidden/>
          </w:rPr>
          <w:fldChar w:fldCharType="begin"/>
        </w:r>
        <w:r w:rsidR="00DC792B">
          <w:rPr>
            <w:noProof/>
            <w:webHidden/>
          </w:rPr>
          <w:instrText xml:space="preserve"> PAGEREF _Toc112768723 \h </w:instrText>
        </w:r>
        <w:r w:rsidR="00DC792B">
          <w:rPr>
            <w:noProof/>
            <w:webHidden/>
          </w:rPr>
        </w:r>
        <w:r w:rsidR="00DC792B">
          <w:rPr>
            <w:noProof/>
            <w:webHidden/>
          </w:rPr>
          <w:fldChar w:fldCharType="separate"/>
        </w:r>
        <w:r w:rsidR="009E5F95">
          <w:rPr>
            <w:noProof/>
            <w:webHidden/>
          </w:rPr>
          <w:t>49</w:t>
        </w:r>
        <w:r w:rsidR="00DC792B">
          <w:rPr>
            <w:noProof/>
            <w:webHidden/>
          </w:rPr>
          <w:fldChar w:fldCharType="end"/>
        </w:r>
      </w:hyperlink>
    </w:p>
    <w:p w14:paraId="2801EC90" w14:textId="047FE908" w:rsidR="00DC792B" w:rsidRDefault="00000000">
      <w:pPr>
        <w:pStyle w:val="Sommario1"/>
        <w:rPr>
          <w:rFonts w:asciiTheme="minorHAnsi" w:eastAsiaTheme="minorEastAsia" w:hAnsiTheme="minorHAnsi" w:cstheme="minorBidi"/>
          <w:b w:val="0"/>
          <w:sz w:val="22"/>
          <w:szCs w:val="22"/>
          <w:lang w:val="it-IT" w:eastAsia="it-IT"/>
        </w:rPr>
      </w:pPr>
      <w:hyperlink w:anchor="_Toc112768724" w:history="1">
        <w:r w:rsidR="00DC792B" w:rsidRPr="007E0031">
          <w:rPr>
            <w:rStyle w:val="Collegamentoipertestuale"/>
          </w:rPr>
          <w:t>Annexe - États financiers intermédiaires au 30 juin 2021 de Take Off S.p.A. et Over S.p.A.</w:t>
        </w:r>
        <w:r w:rsidR="00DC792B">
          <w:rPr>
            <w:webHidden/>
          </w:rPr>
          <w:tab/>
        </w:r>
        <w:r w:rsidR="00DC792B">
          <w:rPr>
            <w:webHidden/>
          </w:rPr>
          <w:fldChar w:fldCharType="begin"/>
        </w:r>
        <w:r w:rsidR="00DC792B">
          <w:rPr>
            <w:webHidden/>
          </w:rPr>
          <w:instrText xml:space="preserve"> PAGEREF _Toc112768724 \h </w:instrText>
        </w:r>
        <w:r w:rsidR="00DC792B">
          <w:rPr>
            <w:webHidden/>
          </w:rPr>
        </w:r>
        <w:r w:rsidR="00DC792B">
          <w:rPr>
            <w:webHidden/>
          </w:rPr>
          <w:fldChar w:fldCharType="separate"/>
        </w:r>
        <w:r w:rsidR="009E5F95">
          <w:rPr>
            <w:webHidden/>
          </w:rPr>
          <w:t>50</w:t>
        </w:r>
        <w:r w:rsidR="00DC792B">
          <w:rPr>
            <w:webHidden/>
          </w:rPr>
          <w:fldChar w:fldCharType="end"/>
        </w:r>
      </w:hyperlink>
    </w:p>
    <w:p w14:paraId="6CDD2534" w14:textId="504E62C9" w:rsidR="00DC792B" w:rsidRDefault="00000000">
      <w:pPr>
        <w:pStyle w:val="Sommario2"/>
        <w:rPr>
          <w:rFonts w:asciiTheme="minorHAnsi" w:eastAsiaTheme="minorEastAsia" w:hAnsiTheme="minorHAnsi" w:cstheme="minorBidi"/>
          <w:noProof/>
          <w:sz w:val="22"/>
          <w:szCs w:val="22"/>
          <w:lang w:val="it-IT" w:eastAsia="it-IT"/>
        </w:rPr>
      </w:pPr>
      <w:hyperlink w:anchor="_Toc112768725" w:history="1">
        <w:r w:rsidR="00DC792B" w:rsidRPr="007E0031">
          <w:rPr>
            <w:rStyle w:val="Collegamentoipertestuale"/>
            <w:noProof/>
          </w:rPr>
          <w:t>États financiers intermédiaires au 30 juin 2021 de Take Off S.p.A.</w:t>
        </w:r>
        <w:r w:rsidR="00DC792B">
          <w:rPr>
            <w:noProof/>
            <w:webHidden/>
          </w:rPr>
          <w:tab/>
        </w:r>
        <w:r w:rsidR="00DC792B">
          <w:rPr>
            <w:noProof/>
            <w:webHidden/>
          </w:rPr>
          <w:fldChar w:fldCharType="begin"/>
        </w:r>
        <w:r w:rsidR="00DC792B">
          <w:rPr>
            <w:noProof/>
            <w:webHidden/>
          </w:rPr>
          <w:instrText xml:space="preserve"> PAGEREF _Toc112768725 \h </w:instrText>
        </w:r>
        <w:r w:rsidR="00DC792B">
          <w:rPr>
            <w:noProof/>
            <w:webHidden/>
          </w:rPr>
        </w:r>
        <w:r w:rsidR="00DC792B">
          <w:rPr>
            <w:noProof/>
            <w:webHidden/>
          </w:rPr>
          <w:fldChar w:fldCharType="separate"/>
        </w:r>
        <w:r w:rsidR="009E5F95">
          <w:rPr>
            <w:noProof/>
            <w:webHidden/>
          </w:rPr>
          <w:t>51</w:t>
        </w:r>
        <w:r w:rsidR="00DC792B">
          <w:rPr>
            <w:noProof/>
            <w:webHidden/>
          </w:rPr>
          <w:fldChar w:fldCharType="end"/>
        </w:r>
      </w:hyperlink>
    </w:p>
    <w:p w14:paraId="7AE9345F" w14:textId="6758F2BE" w:rsidR="00DC792B" w:rsidRDefault="00000000">
      <w:pPr>
        <w:pStyle w:val="Sommario2"/>
        <w:rPr>
          <w:rFonts w:asciiTheme="minorHAnsi" w:eastAsiaTheme="minorEastAsia" w:hAnsiTheme="minorHAnsi" w:cstheme="minorBidi"/>
          <w:noProof/>
          <w:sz w:val="22"/>
          <w:szCs w:val="22"/>
          <w:lang w:val="it-IT" w:eastAsia="it-IT"/>
        </w:rPr>
      </w:pPr>
      <w:hyperlink w:anchor="_Toc112768726" w:history="1">
        <w:r w:rsidR="00DC792B" w:rsidRPr="007E0031">
          <w:rPr>
            <w:rStyle w:val="Collegamentoipertestuale"/>
            <w:noProof/>
          </w:rPr>
          <w:t>États financiers intermédiaires au 30 juin 2021 de Over S.p.A.</w:t>
        </w:r>
        <w:r w:rsidR="00DC792B">
          <w:rPr>
            <w:noProof/>
            <w:webHidden/>
          </w:rPr>
          <w:tab/>
        </w:r>
        <w:r w:rsidR="00DC792B">
          <w:rPr>
            <w:noProof/>
            <w:webHidden/>
          </w:rPr>
          <w:fldChar w:fldCharType="begin"/>
        </w:r>
        <w:r w:rsidR="00DC792B">
          <w:rPr>
            <w:noProof/>
            <w:webHidden/>
          </w:rPr>
          <w:instrText xml:space="preserve"> PAGEREF _Toc112768726 \h </w:instrText>
        </w:r>
        <w:r w:rsidR="00DC792B">
          <w:rPr>
            <w:noProof/>
            <w:webHidden/>
          </w:rPr>
        </w:r>
        <w:r w:rsidR="00DC792B">
          <w:rPr>
            <w:noProof/>
            <w:webHidden/>
          </w:rPr>
          <w:fldChar w:fldCharType="separate"/>
        </w:r>
        <w:r w:rsidR="009E5F95">
          <w:rPr>
            <w:noProof/>
            <w:webHidden/>
          </w:rPr>
          <w:t>53</w:t>
        </w:r>
        <w:r w:rsidR="00DC792B">
          <w:rPr>
            <w:noProof/>
            <w:webHidden/>
          </w:rPr>
          <w:fldChar w:fldCharType="end"/>
        </w:r>
      </w:hyperlink>
    </w:p>
    <w:p w14:paraId="6C03FA6C" w14:textId="5F8B23B6" w:rsidR="00E16D12" w:rsidRPr="00877A73" w:rsidRDefault="00EA173D" w:rsidP="00E16D12">
      <w:pPr>
        <w:rPr>
          <w:rFonts w:ascii="Cambria" w:hAnsi="Cambria"/>
          <w:szCs w:val="18"/>
        </w:rPr>
      </w:pPr>
      <w:r w:rsidRPr="00091BEF">
        <w:rPr>
          <w:rFonts w:ascii="Cambria" w:hAnsi="Cambria"/>
          <w:b/>
          <w:bCs/>
          <w:szCs w:val="18"/>
        </w:rPr>
        <w:fldChar w:fldCharType="end"/>
      </w:r>
    </w:p>
    <w:p w14:paraId="6FAAE8C8" w14:textId="77777777" w:rsidR="00E16D12" w:rsidRPr="00C17031" w:rsidRDefault="00E16D12" w:rsidP="00E16D12">
      <w:pPr>
        <w:spacing w:after="200" w:line="276" w:lineRule="auto"/>
        <w:rPr>
          <w:rFonts w:ascii="Cambria" w:hAnsi="Cambria"/>
          <w:sz w:val="22"/>
          <w:szCs w:val="22"/>
          <w:highlight w:val="green"/>
        </w:rPr>
      </w:pPr>
    </w:p>
    <w:p w14:paraId="0AB14210" w14:textId="77777777" w:rsidR="00E16D12" w:rsidRPr="002C2CE4" w:rsidRDefault="00E16D12" w:rsidP="00E16D12">
      <w:pPr>
        <w:spacing w:after="200" w:line="276" w:lineRule="auto"/>
        <w:rPr>
          <w:sz w:val="22"/>
          <w:szCs w:val="22"/>
          <w:highlight w:val="green"/>
        </w:rPr>
        <w:sectPr w:rsidR="00E16D12" w:rsidRPr="002C2CE4" w:rsidSect="00BE1D27">
          <w:headerReference w:type="default" r:id="rId12"/>
          <w:footerReference w:type="default" r:id="rId13"/>
          <w:headerReference w:type="first" r:id="rId14"/>
          <w:footerReference w:type="first" r:id="rId15"/>
          <w:pgSz w:w="11906" w:h="16838" w:code="9"/>
          <w:pgMar w:top="819" w:right="1134" w:bottom="1134" w:left="1134" w:header="851" w:footer="709" w:gutter="1134"/>
          <w:pgNumType w:start="1"/>
          <w:cols w:space="708"/>
          <w:titlePg/>
          <w:docGrid w:linePitch="360"/>
        </w:sectPr>
      </w:pPr>
    </w:p>
    <w:p w14:paraId="4D400799" w14:textId="77777777" w:rsidR="00E16D12" w:rsidRPr="00FC0C93" w:rsidRDefault="00E16D12" w:rsidP="00E16D12">
      <w:pPr>
        <w:rPr>
          <w:highlight w:val="green"/>
        </w:rPr>
      </w:pPr>
    </w:p>
    <w:p w14:paraId="2C7063BB" w14:textId="77777777" w:rsidR="00E16D12" w:rsidRDefault="00E16D12" w:rsidP="00E16D12">
      <w:pPr>
        <w:rPr>
          <w:highlight w:val="green"/>
        </w:rPr>
      </w:pPr>
    </w:p>
    <w:p w14:paraId="6EAECD08" w14:textId="77777777" w:rsidR="00E16D12" w:rsidRDefault="00E16D12" w:rsidP="00E16D12">
      <w:pPr>
        <w:rPr>
          <w:highlight w:val="green"/>
        </w:rPr>
      </w:pPr>
    </w:p>
    <w:p w14:paraId="42FC8C6A" w14:textId="77777777" w:rsidR="00E16D12" w:rsidRDefault="00E16D12" w:rsidP="00E16D12">
      <w:pPr>
        <w:rPr>
          <w:highlight w:val="green"/>
        </w:rPr>
      </w:pPr>
    </w:p>
    <w:p w14:paraId="361AB5CA" w14:textId="77777777" w:rsidR="00E16D12" w:rsidRDefault="00E16D12" w:rsidP="00E16D12">
      <w:pPr>
        <w:rPr>
          <w:highlight w:val="green"/>
        </w:rPr>
      </w:pPr>
    </w:p>
    <w:p w14:paraId="39BCDC8D" w14:textId="77777777" w:rsidR="00E16D12" w:rsidRPr="00FC0C93" w:rsidRDefault="00E16D12" w:rsidP="00E16D12">
      <w:pPr>
        <w:rPr>
          <w:highlight w:val="green"/>
        </w:rPr>
      </w:pPr>
    </w:p>
    <w:p w14:paraId="1D65E2B8" w14:textId="77777777" w:rsidR="00E16D12" w:rsidRPr="00FC0C93" w:rsidRDefault="00E16D12" w:rsidP="00E16D12">
      <w:pPr>
        <w:rPr>
          <w:highlight w:val="green"/>
        </w:rPr>
      </w:pPr>
    </w:p>
    <w:p w14:paraId="68B769FC" w14:textId="77777777" w:rsidR="00E16D12" w:rsidRPr="00FC0C93" w:rsidRDefault="00E16D12" w:rsidP="00E16D12">
      <w:pPr>
        <w:rPr>
          <w:highlight w:val="green"/>
        </w:rPr>
      </w:pPr>
    </w:p>
    <w:p w14:paraId="5F69CAC7" w14:textId="77777777" w:rsidR="00E16D12" w:rsidRPr="00FC0C93" w:rsidRDefault="00E16D12" w:rsidP="00E16D12">
      <w:pPr>
        <w:rPr>
          <w:highlight w:val="green"/>
        </w:rPr>
      </w:pPr>
    </w:p>
    <w:p w14:paraId="78951326" w14:textId="77777777" w:rsidR="00E16D12" w:rsidRPr="00FC0C93" w:rsidRDefault="00E16D12" w:rsidP="00E16D12">
      <w:pPr>
        <w:rPr>
          <w:highlight w:val="green"/>
        </w:rPr>
      </w:pPr>
    </w:p>
    <w:p w14:paraId="0A0C975D" w14:textId="77777777" w:rsidR="00E16D12" w:rsidRPr="00FC0C93" w:rsidRDefault="00E16D12" w:rsidP="00E16D12">
      <w:pPr>
        <w:rPr>
          <w:highlight w:val="green"/>
        </w:rPr>
      </w:pPr>
    </w:p>
    <w:p w14:paraId="20177652" w14:textId="77777777" w:rsidR="00E16D12" w:rsidRPr="00FC0C93" w:rsidRDefault="00E16D12" w:rsidP="00E16D12">
      <w:pPr>
        <w:rPr>
          <w:highlight w:val="green"/>
        </w:rPr>
      </w:pPr>
    </w:p>
    <w:p w14:paraId="3F22EFB8" w14:textId="77777777" w:rsidR="00E16D12" w:rsidRPr="00FC0C93" w:rsidRDefault="00E16D12" w:rsidP="00E16D12">
      <w:pPr>
        <w:rPr>
          <w:highlight w:val="green"/>
        </w:rPr>
      </w:pPr>
    </w:p>
    <w:p w14:paraId="3A534E12" w14:textId="77777777" w:rsidR="00E16D12" w:rsidRPr="00FC0C93" w:rsidRDefault="00E16D12" w:rsidP="00E16D12">
      <w:pPr>
        <w:rPr>
          <w:highlight w:val="green"/>
        </w:rPr>
      </w:pPr>
    </w:p>
    <w:p w14:paraId="28E6D56B" w14:textId="77777777" w:rsidR="00E16D12" w:rsidRPr="00FC0C93" w:rsidRDefault="00E16D12" w:rsidP="00E16D12">
      <w:pPr>
        <w:rPr>
          <w:highlight w:val="green"/>
        </w:rPr>
      </w:pPr>
    </w:p>
    <w:p w14:paraId="3A962B49" w14:textId="26FF5BEE" w:rsidR="00E16D12" w:rsidRPr="00FC0C93" w:rsidRDefault="00A664B0" w:rsidP="00E16D12">
      <w:pPr>
        <w:rPr>
          <w:highlight w:val="green"/>
        </w:rPr>
      </w:pPr>
      <w:r>
        <w:rPr>
          <w:noProof/>
          <w:highlight w:val="green"/>
        </w:rPr>
        <mc:AlternateContent>
          <mc:Choice Requires="wps">
            <w:drawing>
              <wp:anchor distT="0" distB="0" distL="114300" distR="114300" simplePos="0" relativeHeight="251658752" behindDoc="0" locked="0" layoutInCell="1" allowOverlap="1" wp14:anchorId="33741C50" wp14:editId="25B189C7">
                <wp:simplePos x="0" y="0"/>
                <wp:positionH relativeFrom="column">
                  <wp:posOffset>-148590</wp:posOffset>
                </wp:positionH>
                <wp:positionV relativeFrom="paragraph">
                  <wp:posOffset>96520</wp:posOffset>
                </wp:positionV>
                <wp:extent cx="6372225" cy="1000125"/>
                <wp:effectExtent l="0" t="0" r="0" b="2857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00125"/>
                        </a:xfrm>
                        <a:prstGeom prst="rect">
                          <a:avLst/>
                        </a:prstGeom>
                        <a:solidFill>
                          <a:srgbClr val="C00000"/>
                        </a:solidFill>
                        <a:ln>
                          <a:noFill/>
                        </a:ln>
                        <a:effectLst>
                          <a:outerShdw dist="23000" dir="5400000" rotWithShape="0">
                            <a:srgbClr val="000000">
                              <a:alpha val="34999"/>
                            </a:srgbClr>
                          </a:outerShdw>
                        </a:effectLst>
                      </wps:spPr>
                      <wps:txbx>
                        <w:txbxContent>
                          <w:p w14:paraId="2EC1B442" w14:textId="77777777" w:rsidR="00FB17B8" w:rsidRPr="00C17031" w:rsidRDefault="00FB17B8" w:rsidP="00E16D12">
                            <w:pPr>
                              <w:jc w:val="center"/>
                              <w:rPr>
                                <w:rFonts w:ascii="Cambria" w:hAnsi="Cambria"/>
                                <w:sz w:val="40"/>
                              </w:rPr>
                            </w:pPr>
                          </w:p>
                          <w:p w14:paraId="582D17ED" w14:textId="77777777" w:rsidR="00FB17B8" w:rsidRPr="00C17031" w:rsidRDefault="00FB17B8" w:rsidP="00E16D12">
                            <w:pPr>
                              <w:jc w:val="center"/>
                              <w:rPr>
                                <w:rFonts w:ascii="Cambria" w:hAnsi="Cambria"/>
                                <w:sz w:val="40"/>
                              </w:rPr>
                            </w:pPr>
                            <w:r>
                              <w:rPr>
                                <w:rFonts w:ascii="Cambria" w:hAnsi="Cambria"/>
                                <w:sz w:val="40"/>
                              </w:rPr>
                              <w:t>Rapport de gestion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41C50" id="Text Box 4" o:spid="_x0000_s1029" type="#_x0000_t202" style="position:absolute;margin-left:-11.7pt;margin-top:7.6pt;width:501.75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" fillcolor="#c00000" stroked="f">
                <v:shadow on="t" color="black" opacity="22936f" origin=",.5" offset="0,.63889mm"/>
                <v:textbox>
                  <w:txbxContent>
                    <w:p w14:paraId="2EC1B442" w14:textId="77777777" w:rsidR="00FB17B8" w:rsidRPr="00C17031" w:rsidRDefault="00FB17B8" w:rsidP="00E16D12">
                      <w:pPr>
                        <w:jc w:val="center"/>
                        <w:rPr>
                          <w:rFonts w:ascii="Cambria" w:hAnsi="Cambria"/>
                          <w:sz w:val="40"/>
                        </w:rPr>
                      </w:pPr>
                    </w:p>
                    <w:p w14:paraId="582D17ED" w14:textId="77777777" w:rsidR="00FB17B8" w:rsidRPr="00C17031" w:rsidRDefault="00FB17B8" w:rsidP="00E16D12">
                      <w:pPr>
                        <w:jc w:val="center"/>
                        <w:rPr>
                          <w:rFonts w:ascii="Cambria" w:hAnsi="Cambria"/>
                          <w:sz w:val="40"/>
                        </w:rPr>
                      </w:pPr>
                      <w:r>
                        <w:rPr>
                          <w:rFonts w:ascii="Cambria" w:hAnsi="Cambria"/>
                          <w:sz w:val="40"/>
                        </w:rPr>
                        <w:t>Rapport de gestion</w:t>
                      </w:r>
                    </w:p>
                  </w:txbxContent>
                </v:textbox>
              </v:shape>
            </w:pict>
          </mc:Fallback>
        </mc:AlternateContent>
      </w:r>
    </w:p>
    <w:p w14:paraId="2E0758F3" w14:textId="77777777" w:rsidR="00E16D12" w:rsidRPr="00FC0C93" w:rsidRDefault="00E16D12" w:rsidP="00E16D12">
      <w:pPr>
        <w:rPr>
          <w:highlight w:val="green"/>
        </w:rPr>
      </w:pPr>
    </w:p>
    <w:p w14:paraId="6AEC3C6A" w14:textId="77777777" w:rsidR="00E16D12" w:rsidRPr="00FC0C93" w:rsidRDefault="00E16D12" w:rsidP="00E16D12">
      <w:pPr>
        <w:rPr>
          <w:highlight w:val="green"/>
        </w:rPr>
      </w:pPr>
    </w:p>
    <w:p w14:paraId="03D69C0F" w14:textId="77777777" w:rsidR="00E16D12" w:rsidRPr="00FC0C93" w:rsidRDefault="00E16D12" w:rsidP="00E16D12">
      <w:pPr>
        <w:rPr>
          <w:highlight w:val="green"/>
        </w:rPr>
      </w:pPr>
    </w:p>
    <w:p w14:paraId="5B2D8E24" w14:textId="77777777" w:rsidR="00E16D12" w:rsidRPr="00FC0C93" w:rsidRDefault="00E16D12" w:rsidP="00E16D12">
      <w:pPr>
        <w:rPr>
          <w:highlight w:val="green"/>
        </w:rPr>
      </w:pPr>
    </w:p>
    <w:p w14:paraId="7DB2D8BC" w14:textId="77777777" w:rsidR="00E16D12" w:rsidRPr="00FC0C93" w:rsidRDefault="00E16D12" w:rsidP="00E16D12">
      <w:pPr>
        <w:rPr>
          <w:highlight w:val="green"/>
        </w:rPr>
      </w:pPr>
    </w:p>
    <w:p w14:paraId="5131A672" w14:textId="77777777" w:rsidR="00E16D12" w:rsidRPr="00FC0C93" w:rsidRDefault="00E16D12" w:rsidP="00E16D12">
      <w:pPr>
        <w:rPr>
          <w:highlight w:val="green"/>
        </w:rPr>
      </w:pPr>
    </w:p>
    <w:p w14:paraId="78CB50E2" w14:textId="77777777" w:rsidR="00E16D12" w:rsidRPr="00FC0C93" w:rsidRDefault="00E16D12" w:rsidP="00E16D12">
      <w:pPr>
        <w:rPr>
          <w:highlight w:val="green"/>
        </w:rPr>
      </w:pPr>
    </w:p>
    <w:p w14:paraId="2AEAD667" w14:textId="77777777" w:rsidR="00E16D12" w:rsidRPr="00FC0C93" w:rsidRDefault="00E16D12" w:rsidP="00E16D12">
      <w:pPr>
        <w:rPr>
          <w:highlight w:val="green"/>
        </w:rPr>
      </w:pPr>
    </w:p>
    <w:p w14:paraId="0E300144" w14:textId="77777777" w:rsidR="00E16D12" w:rsidRPr="00FC0C93" w:rsidRDefault="00E16D12" w:rsidP="00E16D12">
      <w:pPr>
        <w:rPr>
          <w:highlight w:val="green"/>
        </w:rPr>
      </w:pPr>
    </w:p>
    <w:p w14:paraId="62AD4AFE" w14:textId="77777777" w:rsidR="00F75C34" w:rsidRDefault="00F75C34" w:rsidP="00E16D12">
      <w:pPr>
        <w:pStyle w:val="Titolo2"/>
        <w:spacing w:line="360" w:lineRule="auto"/>
        <w:ind w:left="0"/>
        <w:jc w:val="left"/>
        <w:rPr>
          <w:rFonts w:ascii="Times New Roman" w:hAnsi="Times New Roman"/>
          <w:i w:val="0"/>
          <w:highlight w:val="green"/>
        </w:rPr>
        <w:sectPr w:rsidR="00F75C34" w:rsidSect="00BE1D27">
          <w:headerReference w:type="first" r:id="rId16"/>
          <w:footerReference w:type="first" r:id="rId17"/>
          <w:pgSz w:w="11906" w:h="16838" w:code="9"/>
          <w:pgMar w:top="819" w:right="1134" w:bottom="1134" w:left="1134" w:header="851" w:footer="709" w:gutter="1134"/>
          <w:pgNumType w:start="1"/>
          <w:cols w:space="708"/>
          <w:titlePg/>
          <w:docGrid w:linePitch="360"/>
        </w:sectPr>
      </w:pPr>
    </w:p>
    <w:p w14:paraId="2D22E271" w14:textId="77777777" w:rsidR="00F75C34" w:rsidRPr="00F75C34" w:rsidRDefault="00F75C34" w:rsidP="0081438B">
      <w:pPr>
        <w:pStyle w:val="Titolo1"/>
        <w:spacing w:line="18" w:lineRule="atLeast"/>
        <w:ind w:left="0" w:right="0"/>
      </w:pPr>
      <w:bookmarkStart w:id="0" w:name="_Toc112768586"/>
      <w:r>
        <w:lastRenderedPageBreak/>
        <w:t>Rapport de gestion</w:t>
      </w:r>
      <w:bookmarkEnd w:id="0"/>
    </w:p>
    <w:p w14:paraId="2E55DFAB" w14:textId="77777777" w:rsidR="00F75C34" w:rsidRPr="00FC0C93" w:rsidRDefault="00F75C34" w:rsidP="0081438B">
      <w:pPr>
        <w:spacing w:line="18" w:lineRule="atLeast"/>
      </w:pPr>
    </w:p>
    <w:p w14:paraId="2F727C10" w14:textId="77777777" w:rsidR="00E16D12" w:rsidRPr="001B6D59" w:rsidRDefault="00F75C34" w:rsidP="0081438B">
      <w:pPr>
        <w:pStyle w:val="Titolo2"/>
        <w:spacing w:line="18" w:lineRule="atLeast"/>
        <w:ind w:left="0"/>
        <w:jc w:val="left"/>
        <w:rPr>
          <w:i w:val="0"/>
        </w:rPr>
      </w:pPr>
      <w:bookmarkStart w:id="1" w:name="_Toc112768587"/>
      <w:r>
        <w:rPr>
          <w:i w:val="0"/>
        </w:rPr>
        <w:t>Introduction</w:t>
      </w:r>
      <w:bookmarkEnd w:id="1"/>
    </w:p>
    <w:p w14:paraId="560E3C97" w14:textId="77777777" w:rsidR="00F75C34" w:rsidRPr="00C17031" w:rsidRDefault="00F75C34" w:rsidP="0081438B">
      <w:pPr>
        <w:spacing w:after="200" w:line="18" w:lineRule="atLeast"/>
        <w:jc w:val="both"/>
        <w:rPr>
          <w:rFonts w:ascii="Cambria" w:hAnsi="Cambria"/>
          <w:sz w:val="22"/>
          <w:szCs w:val="22"/>
        </w:rPr>
      </w:pPr>
      <w:r>
        <w:rPr>
          <w:rFonts w:ascii="Cambria" w:hAnsi="Cambria"/>
          <w:sz w:val="22"/>
        </w:rPr>
        <w:t>Chers actionnaires,</w:t>
      </w:r>
    </w:p>
    <w:p w14:paraId="7B375155" w14:textId="211C008F" w:rsidR="00F75C34" w:rsidRPr="00C17031" w:rsidRDefault="00817876" w:rsidP="0081438B">
      <w:pPr>
        <w:spacing w:after="200" w:line="18" w:lineRule="atLeast"/>
        <w:jc w:val="both"/>
        <w:rPr>
          <w:rFonts w:ascii="Cambria" w:hAnsi="Cambria"/>
          <w:sz w:val="22"/>
          <w:szCs w:val="22"/>
        </w:rPr>
      </w:pPr>
      <w:proofErr w:type="gramStart"/>
      <w:r>
        <w:rPr>
          <w:rFonts w:ascii="Cambria" w:hAnsi="Cambria"/>
          <w:sz w:val="22"/>
        </w:rPr>
        <w:t>les</w:t>
      </w:r>
      <w:proofErr w:type="gramEnd"/>
      <w:r>
        <w:rPr>
          <w:rFonts w:ascii="Cambria" w:hAnsi="Cambria"/>
          <w:sz w:val="22"/>
        </w:rPr>
        <w:t xml:space="preserve"> états financiers intermédiaires condensés et agrégés des sociétés Take Off S.p.A. et Over S.p.A. (ci-après le « Groupe Take Off » ou seulement le « Groupe ») clos au 30 juin 2021 présentent un résultat positif de 2 129 000 d'euros. </w:t>
      </w:r>
    </w:p>
    <w:p w14:paraId="143819FA" w14:textId="77777777" w:rsidR="00F75C34" w:rsidRPr="00E178EE" w:rsidRDefault="00F75C34" w:rsidP="0081438B">
      <w:pPr>
        <w:pStyle w:val="Titolo2"/>
        <w:spacing w:line="18" w:lineRule="atLeast"/>
        <w:ind w:left="0"/>
        <w:jc w:val="left"/>
        <w:rPr>
          <w:i w:val="0"/>
        </w:rPr>
      </w:pPr>
      <w:bookmarkStart w:id="2" w:name="_Toc112768588"/>
      <w:r>
        <w:rPr>
          <w:i w:val="0"/>
        </w:rPr>
        <w:t>Conditions d'exploitation et évolution des affaires</w:t>
      </w:r>
      <w:bookmarkEnd w:id="2"/>
    </w:p>
    <w:p w14:paraId="4749351B" w14:textId="6614DE0A" w:rsidR="00504CF4" w:rsidRPr="00E178EE" w:rsidRDefault="00504CF4" w:rsidP="0081438B">
      <w:pPr>
        <w:spacing w:after="200" w:line="18" w:lineRule="atLeast"/>
        <w:jc w:val="both"/>
        <w:rPr>
          <w:rFonts w:ascii="Cambria" w:hAnsi="Cambria"/>
          <w:sz w:val="22"/>
          <w:szCs w:val="22"/>
        </w:rPr>
      </w:pPr>
      <w:r>
        <w:rPr>
          <w:rFonts w:ascii="Cambria" w:hAnsi="Cambria"/>
          <w:sz w:val="22"/>
        </w:rPr>
        <w:t xml:space="preserve">Comme on le sait, Take Off S.p.A. (ci-après aussi simplement </w:t>
      </w:r>
      <w:r w:rsidR="00DC792B">
        <w:rPr>
          <w:rFonts w:ascii="Cambria" w:hAnsi="Cambria"/>
          <w:sz w:val="22"/>
        </w:rPr>
        <w:t>« Take</w:t>
      </w:r>
      <w:r>
        <w:rPr>
          <w:rFonts w:ascii="Cambria" w:hAnsi="Cambria"/>
          <w:sz w:val="22"/>
        </w:rPr>
        <w:t xml:space="preserve"> Off ») est la première chaîne italienne de « boutiques de mode » à prix </w:t>
      </w:r>
      <w:proofErr w:type="spellStart"/>
      <w:r>
        <w:rPr>
          <w:rFonts w:ascii="Cambria" w:hAnsi="Cambria"/>
          <w:sz w:val="22"/>
        </w:rPr>
        <w:t>outlet</w:t>
      </w:r>
      <w:proofErr w:type="spellEnd"/>
      <w:r>
        <w:rPr>
          <w:rFonts w:ascii="Cambria" w:hAnsi="Cambria"/>
          <w:sz w:val="22"/>
        </w:rPr>
        <w:t xml:space="preserve">. Fondée en 2012, la société compte aujourd'hui 31 points de vente dont 25 directs et 5 affiliés répartis sur tout le territoire national, avec une présence principalement concentrée dans le sud de l'Italie. </w:t>
      </w:r>
    </w:p>
    <w:p w14:paraId="5E8729DE" w14:textId="6002C4D0" w:rsidR="00504CF4" w:rsidRDefault="00504CF4" w:rsidP="0081438B">
      <w:pPr>
        <w:spacing w:after="200" w:line="18" w:lineRule="atLeast"/>
        <w:jc w:val="both"/>
        <w:rPr>
          <w:rFonts w:ascii="Cambria" w:hAnsi="Cambria"/>
          <w:sz w:val="22"/>
          <w:szCs w:val="22"/>
        </w:rPr>
      </w:pPr>
      <w:r>
        <w:rPr>
          <w:rFonts w:ascii="Cambria" w:hAnsi="Cambria"/>
          <w:sz w:val="22"/>
        </w:rPr>
        <w:t xml:space="preserve">Dans les boutiques de mode Take Off, vous trouverez une sélection de vêtements, de chaussures et d'accessoires des meilleures marques internationales combinée à la distribution exclusive de six marques propres. Grâce au mix produit et au design des boutiques de mode, la proposition commerciale de Take Off s'est imposée sur le marché de référence et vise une expansion sur l'ensemble du territoire national. </w:t>
      </w:r>
    </w:p>
    <w:p w14:paraId="654543E4" w14:textId="35897683" w:rsidR="00E178EE" w:rsidRDefault="00E178EE" w:rsidP="0081438B">
      <w:pPr>
        <w:spacing w:after="200" w:line="18" w:lineRule="atLeast"/>
        <w:jc w:val="both"/>
        <w:rPr>
          <w:rFonts w:ascii="Cambria" w:hAnsi="Cambria"/>
          <w:sz w:val="22"/>
          <w:szCs w:val="22"/>
        </w:rPr>
      </w:pPr>
      <w:r>
        <w:rPr>
          <w:rFonts w:ascii="Cambria" w:hAnsi="Cambria"/>
          <w:sz w:val="22"/>
        </w:rPr>
        <w:t>Over S.p.A. (ci-après également dénommée « Over »), en revanche, exerce son activité dans le secteur de la vente au détail de vêtements et d'accessoires pour enfants, avec la marque propriétaire Overkids. Son réseau de vente est composé de 112 points de vente affiliés au 30.06.2021.</w:t>
      </w:r>
    </w:p>
    <w:p w14:paraId="14FB90D1" w14:textId="719E1D4B" w:rsidR="00082CFF" w:rsidRPr="00E178EE" w:rsidRDefault="00082CFF" w:rsidP="0081438B">
      <w:pPr>
        <w:pStyle w:val="Titolo2"/>
        <w:spacing w:line="18" w:lineRule="atLeast"/>
        <w:ind w:left="0"/>
        <w:rPr>
          <w:i w:val="0"/>
        </w:rPr>
      </w:pPr>
      <w:bookmarkStart w:id="3" w:name="_Toc112768589"/>
      <w:r>
        <w:rPr>
          <w:i w:val="0"/>
        </w:rPr>
        <w:t>Indicateurs de performance alternatifs</w:t>
      </w:r>
      <w:bookmarkEnd w:id="3"/>
    </w:p>
    <w:p w14:paraId="4FAA8639" w14:textId="78910489" w:rsidR="00082CFF" w:rsidRPr="00E178EE" w:rsidRDefault="00E178EE" w:rsidP="0081438B">
      <w:pPr>
        <w:spacing w:line="18" w:lineRule="atLeast"/>
        <w:jc w:val="both"/>
        <w:rPr>
          <w:rFonts w:ascii="Cambria" w:hAnsi="Cambria"/>
          <w:sz w:val="22"/>
          <w:szCs w:val="22"/>
        </w:rPr>
      </w:pPr>
      <w:r>
        <w:rPr>
          <w:rFonts w:ascii="Cambria" w:hAnsi="Cambria"/>
          <w:sz w:val="22"/>
        </w:rPr>
        <w:t>Le Groupe utilise des indicateurs de performance alternatifs, qui ne sont pas identifiés comme des mesures comptables selon les IFRS, pour permettre une meilleure évaluation de la performance du Groupe.</w:t>
      </w:r>
    </w:p>
    <w:p w14:paraId="29D0B7B6" w14:textId="6BF4AA5E" w:rsidR="00082CFF" w:rsidRPr="00E178EE" w:rsidRDefault="00082CFF" w:rsidP="0081438B">
      <w:pPr>
        <w:spacing w:line="18" w:lineRule="atLeast"/>
        <w:jc w:val="both"/>
        <w:rPr>
          <w:rFonts w:ascii="Cambria" w:hAnsi="Cambria"/>
          <w:sz w:val="22"/>
          <w:szCs w:val="22"/>
        </w:rPr>
      </w:pPr>
      <w:r>
        <w:rPr>
          <w:rFonts w:ascii="Cambria" w:hAnsi="Cambria"/>
          <w:sz w:val="22"/>
        </w:rPr>
        <w:t xml:space="preserve">Ces indicateurs alternatifs de performance sont construits exclusivement à partir de données historiques de la Société et déterminés conformément aux dispositions des lignes directrices sur les indicateurs alternatifs de performance émises par l'ESMA/2015/1415 et adoptées par la CONSOB avec la communication n° 92543 du 3 décembre 2015. Ils se réfèrent uniquement à la performance de l'exercice comptable couvert par ces états financiers et des périodes comparées et non à la performance attendue de la Société et ne doivent pas être considérés comme un substitut aux indicateurs prévus par les normes comptables de référence (IFRS). </w:t>
      </w:r>
    </w:p>
    <w:p w14:paraId="47249077" w14:textId="65A5ED32" w:rsidR="00082CFF" w:rsidRPr="00E178EE" w:rsidRDefault="00082CFF" w:rsidP="0081438B">
      <w:pPr>
        <w:spacing w:line="18" w:lineRule="atLeast"/>
        <w:jc w:val="both"/>
        <w:rPr>
          <w:rFonts w:ascii="Cambria" w:hAnsi="Cambria"/>
          <w:sz w:val="22"/>
          <w:szCs w:val="22"/>
        </w:rPr>
      </w:pPr>
      <w:r>
        <w:rPr>
          <w:rFonts w:ascii="Cambria" w:hAnsi="Cambria"/>
          <w:sz w:val="22"/>
        </w:rPr>
        <w:t>Vous trouverez ci-dessous la définition des indicateurs alternatifs de performance utilisés dans les états financiers :</w:t>
      </w:r>
    </w:p>
    <w:p w14:paraId="4F422F8B" w14:textId="1823DCD1" w:rsidR="00082CFF" w:rsidRPr="00E178EE" w:rsidRDefault="00082CFF" w:rsidP="0081438B">
      <w:pPr>
        <w:pStyle w:val="Paragrafoelenco"/>
        <w:numPr>
          <w:ilvl w:val="0"/>
          <w:numId w:val="59"/>
        </w:numPr>
        <w:spacing w:line="18" w:lineRule="atLeast"/>
        <w:jc w:val="both"/>
        <w:rPr>
          <w:rFonts w:ascii="Cambria" w:hAnsi="Cambria"/>
          <w:sz w:val="22"/>
          <w:szCs w:val="22"/>
        </w:rPr>
      </w:pPr>
      <w:r>
        <w:rPr>
          <w:rFonts w:ascii="Times New Roman" w:hAnsi="Times New Roman"/>
          <w:b/>
          <w:sz w:val="24"/>
        </w:rPr>
        <w:t>EBITDA</w:t>
      </w:r>
      <w:r>
        <w:rPr>
          <w:rFonts w:ascii="Cambria" w:hAnsi="Cambria"/>
          <w:sz w:val="22"/>
          <w:szCs w:val="22"/>
        </w:rPr>
        <w:t> : est représenté par le résultat d'exploitation brut d'amortissements et de dépréciations des actifs corporels et incorporels et des actifs de droit d'usage.</w:t>
      </w:r>
    </w:p>
    <w:p w14:paraId="26AFED45" w14:textId="5CD5CE48" w:rsidR="00082CFF" w:rsidRPr="00E178EE" w:rsidRDefault="00082CFF" w:rsidP="0081438B">
      <w:pPr>
        <w:pStyle w:val="Paragrafoelenco"/>
        <w:numPr>
          <w:ilvl w:val="0"/>
          <w:numId w:val="59"/>
        </w:numPr>
        <w:spacing w:line="18" w:lineRule="atLeast"/>
        <w:jc w:val="both"/>
        <w:rPr>
          <w:rFonts w:ascii="Cambria" w:hAnsi="Cambria"/>
          <w:sz w:val="22"/>
          <w:szCs w:val="22"/>
        </w:rPr>
      </w:pPr>
      <w:r>
        <w:rPr>
          <w:rFonts w:ascii="Cambria" w:hAnsi="Cambria"/>
          <w:b/>
          <w:sz w:val="22"/>
        </w:rPr>
        <w:t>Résultat d'exploitation ou EBIT</w:t>
      </w:r>
      <w:r>
        <w:rPr>
          <w:rFonts w:ascii="Cambria" w:hAnsi="Cambria"/>
          <w:sz w:val="22"/>
        </w:rPr>
        <w:t> : est représenté par la différence entre les revenus, les autres revenus et les coûts des matières premières et consommables, les coûts des services, les coûts du personnel et les autres coûts d'exploitation.</w:t>
      </w:r>
    </w:p>
    <w:p w14:paraId="59D6C65F" w14:textId="2DD6FEDC" w:rsidR="00082CFF" w:rsidRPr="0081438B" w:rsidRDefault="00082CFF" w:rsidP="00E178EE">
      <w:pPr>
        <w:pStyle w:val="Paragrafoelenco"/>
        <w:numPr>
          <w:ilvl w:val="0"/>
          <w:numId w:val="59"/>
        </w:numPr>
        <w:spacing w:line="276" w:lineRule="auto"/>
        <w:jc w:val="both"/>
        <w:rPr>
          <w:rFonts w:ascii="Cambria" w:hAnsi="Cambria"/>
          <w:sz w:val="22"/>
          <w:szCs w:val="22"/>
        </w:rPr>
      </w:pPr>
      <w:r>
        <w:rPr>
          <w:rFonts w:ascii="Cambria" w:hAnsi="Cambria"/>
          <w:sz w:val="22"/>
        </w:rPr>
        <w:t xml:space="preserve">Le </w:t>
      </w:r>
      <w:r>
        <w:rPr>
          <w:rFonts w:ascii="Cambria" w:hAnsi="Cambria"/>
          <w:b/>
          <w:bCs/>
          <w:sz w:val="22"/>
        </w:rPr>
        <w:t>Fonds de roulement net</w:t>
      </w:r>
      <w:r>
        <w:rPr>
          <w:rFonts w:ascii="Cambria" w:hAnsi="Cambria"/>
          <w:sz w:val="22"/>
        </w:rPr>
        <w:t xml:space="preserve"> est calculé comme la somme des Stocks, des Créances commerciales, des Autres créances à court terme et des Créances fiscales, déduction faite des Dettes commerciales, des Dettes pour retours, des Dettes fiscales et des Autres dettes et passifs à court terme.</w:t>
      </w:r>
    </w:p>
    <w:p w14:paraId="2BFC1A89" w14:textId="77777777" w:rsidR="0081438B" w:rsidRPr="0081438B" w:rsidRDefault="0081438B" w:rsidP="0081438B">
      <w:pPr>
        <w:spacing w:line="276" w:lineRule="auto"/>
        <w:jc w:val="both"/>
        <w:rPr>
          <w:rFonts w:ascii="Cambria" w:hAnsi="Cambria"/>
          <w:sz w:val="22"/>
          <w:szCs w:val="22"/>
        </w:rPr>
      </w:pPr>
    </w:p>
    <w:p w14:paraId="26A0E590" w14:textId="49F996EE" w:rsidR="00EF6F25" w:rsidRPr="00E178EE" w:rsidRDefault="00336DD1" w:rsidP="0081438B">
      <w:pPr>
        <w:pStyle w:val="Paragrafoelenco"/>
        <w:numPr>
          <w:ilvl w:val="0"/>
          <w:numId w:val="59"/>
        </w:numPr>
        <w:spacing w:line="18" w:lineRule="atLeast"/>
        <w:jc w:val="both"/>
        <w:rPr>
          <w:i/>
        </w:rPr>
      </w:pPr>
      <w:r>
        <w:rPr>
          <w:rFonts w:ascii="Cambria" w:hAnsi="Cambria"/>
          <w:b/>
          <w:bCs/>
          <w:sz w:val="22"/>
        </w:rPr>
        <w:t>Capital investi</w:t>
      </w:r>
      <w:r>
        <w:rPr>
          <w:rFonts w:ascii="Cambria" w:hAnsi="Cambria"/>
          <w:sz w:val="22"/>
        </w:rPr>
        <w:t> : il est représenté par le total des actifs à long terme et du fonds de roulement net, déduction faite des dettes pour avantages sociaux futurs, des provisions pour risques et charges et des dettes fiscales différées.</w:t>
      </w:r>
    </w:p>
    <w:p w14:paraId="072016E9" w14:textId="32566CDB" w:rsidR="00EF6F25" w:rsidRPr="00BB2062" w:rsidRDefault="00EF6F25" w:rsidP="0081438B">
      <w:pPr>
        <w:pStyle w:val="Paragrafoelenco"/>
        <w:numPr>
          <w:ilvl w:val="0"/>
          <w:numId w:val="59"/>
        </w:numPr>
        <w:spacing w:line="18" w:lineRule="atLeast"/>
        <w:jc w:val="both"/>
        <w:rPr>
          <w:rFonts w:ascii="Cambria" w:hAnsi="Cambria"/>
          <w:sz w:val="22"/>
          <w:szCs w:val="22"/>
        </w:rPr>
      </w:pPr>
      <w:r>
        <w:rPr>
          <w:rFonts w:ascii="Cambria" w:hAnsi="Cambria"/>
          <w:sz w:val="22"/>
        </w:rPr>
        <w:lastRenderedPageBreak/>
        <w:t xml:space="preserve">La </w:t>
      </w:r>
      <w:r>
        <w:rPr>
          <w:rFonts w:ascii="Cambria" w:hAnsi="Cambria"/>
          <w:b/>
          <w:bCs/>
          <w:sz w:val="22"/>
          <w:szCs w:val="22"/>
        </w:rPr>
        <w:t>position financière nette</w:t>
      </w:r>
      <w:r>
        <w:rPr>
          <w:rFonts w:ascii="Cambria" w:hAnsi="Cambria"/>
          <w:sz w:val="22"/>
        </w:rPr>
        <w:t xml:space="preserve"> est la somme des prêts à moyen/long terme, des dettes envers les banques et de la partie à court terme des prêts à moyen/long terme et des autres passifs financiers (courants et non courants), nets de la trésorerie et des équivalents de trésorerie et des actifs financiers courants (à court terme). La position financière nette a été déterminée conformément aux dispositions de l'avis d'avertissement de la </w:t>
      </w:r>
      <w:proofErr w:type="spellStart"/>
      <w:r>
        <w:rPr>
          <w:rFonts w:ascii="Cambria" w:hAnsi="Cambria"/>
          <w:sz w:val="22"/>
        </w:rPr>
        <w:t>Consob</w:t>
      </w:r>
      <w:proofErr w:type="spellEnd"/>
      <w:r>
        <w:rPr>
          <w:rFonts w:ascii="Cambria" w:hAnsi="Cambria"/>
          <w:sz w:val="22"/>
        </w:rPr>
        <w:t xml:space="preserve"> no. 5/21 du 29 avril 2021 « </w:t>
      </w:r>
      <w:r>
        <w:rPr>
          <w:rFonts w:ascii="Cambria" w:hAnsi="Cambria"/>
          <w:i/>
          <w:iCs/>
          <w:sz w:val="22"/>
        </w:rPr>
        <w:t>Conformité avec les lignes directrices de l'ESMA sur les exigences de divulgation en vertu du règlement sur les prospectus</w:t>
      </w:r>
      <w:r>
        <w:rPr>
          <w:rFonts w:ascii="Cambria" w:hAnsi="Cambria"/>
          <w:sz w:val="22"/>
        </w:rPr>
        <w:t> »</w:t>
      </w:r>
    </w:p>
    <w:p w14:paraId="5DB61603" w14:textId="6219B445" w:rsidR="00EF6F25" w:rsidRPr="00E178EE" w:rsidRDefault="00EF6F25" w:rsidP="0081438B">
      <w:pPr>
        <w:pStyle w:val="Paragrafoelenco"/>
        <w:numPr>
          <w:ilvl w:val="0"/>
          <w:numId w:val="59"/>
        </w:numPr>
        <w:spacing w:line="18" w:lineRule="atLeast"/>
        <w:jc w:val="both"/>
        <w:rPr>
          <w:rFonts w:ascii="Cambria" w:hAnsi="Cambria"/>
          <w:sz w:val="22"/>
          <w:szCs w:val="22"/>
        </w:rPr>
      </w:pPr>
      <w:r>
        <w:rPr>
          <w:rFonts w:ascii="Cambria" w:hAnsi="Cambria"/>
          <w:sz w:val="22"/>
        </w:rPr>
        <w:t xml:space="preserve">La </w:t>
      </w:r>
      <w:r>
        <w:rPr>
          <w:rFonts w:ascii="Cambria" w:hAnsi="Cambria"/>
          <w:b/>
          <w:sz w:val="22"/>
        </w:rPr>
        <w:t>position financière nette ajustée</w:t>
      </w:r>
      <w:r>
        <w:rPr>
          <w:rFonts w:ascii="Cambria" w:hAnsi="Cambria"/>
          <w:sz w:val="22"/>
        </w:rPr>
        <w:t xml:space="preserve"> est la somme des prêts à moyen/long terme, des dettes envers les banques et de la partie à court terme des prêts à moyen/long terme et des autres passifs financiers (courants et non courants</w:t>
      </w:r>
      <w:r w:rsidR="00DC792B">
        <w:rPr>
          <w:rFonts w:ascii="Cambria" w:hAnsi="Cambria"/>
          <w:sz w:val="22"/>
        </w:rPr>
        <w:t>), à</w:t>
      </w:r>
      <w:r>
        <w:rPr>
          <w:rFonts w:ascii="Cambria" w:hAnsi="Cambria"/>
          <w:sz w:val="22"/>
        </w:rPr>
        <w:t xml:space="preserve"> l'exclusion des dettes de leasing, nets de la trésorerie et des équivalents de trésorerie et des actifs financiers courants (à court terme).</w:t>
      </w:r>
    </w:p>
    <w:p w14:paraId="33FBCB61" w14:textId="77777777" w:rsidR="00EF6F25" w:rsidRPr="00E02ED6" w:rsidRDefault="00EF6F25" w:rsidP="0081438B">
      <w:pPr>
        <w:pStyle w:val="Paragrafoelenco"/>
        <w:spacing w:line="18" w:lineRule="atLeast"/>
        <w:rPr>
          <w:rFonts w:ascii="Cambria" w:hAnsi="Cambria"/>
          <w:sz w:val="22"/>
          <w:szCs w:val="22"/>
          <w:highlight w:val="yellow"/>
        </w:rPr>
      </w:pPr>
    </w:p>
    <w:p w14:paraId="025E1A6B" w14:textId="0CFC196C" w:rsidR="00F75C34" w:rsidRPr="00091175" w:rsidRDefault="00F75C34" w:rsidP="0081438B">
      <w:pPr>
        <w:pStyle w:val="Titolo2"/>
        <w:spacing w:line="18" w:lineRule="atLeast"/>
        <w:ind w:left="0"/>
        <w:jc w:val="left"/>
      </w:pPr>
      <w:bookmarkStart w:id="4" w:name="_Toc112768590"/>
      <w:r>
        <w:rPr>
          <w:i w:val="0"/>
        </w:rPr>
        <w:t>Performance de management en 2021</w:t>
      </w:r>
      <w:bookmarkEnd w:id="4"/>
    </w:p>
    <w:p w14:paraId="50C59FBF" w14:textId="77777777" w:rsidR="00DE3C76" w:rsidRDefault="00091175" w:rsidP="0081438B">
      <w:pPr>
        <w:spacing w:after="200" w:line="18" w:lineRule="atLeast"/>
        <w:jc w:val="both"/>
        <w:rPr>
          <w:rFonts w:ascii="Cambria" w:hAnsi="Cambria"/>
          <w:sz w:val="22"/>
          <w:szCs w:val="22"/>
        </w:rPr>
      </w:pPr>
      <w:r>
        <w:rPr>
          <w:rFonts w:ascii="Cambria" w:hAnsi="Cambria"/>
          <w:sz w:val="22"/>
        </w:rPr>
        <w:t xml:space="preserve">Le premier semestre de l'année 2021 a été caractérisé par une intensification significative du plan de vaccination dans tout le pays, avec un assouplissement des restrictions à la circulation des personnes. Bien que la propagation de la pandémie Covid-19 ne soit pas encore sous contrôle, la réduction des périodes de confinement, également mise en œuvre de manière flexible en fonction de l'aggravation de la situation pandémique dans chaque Région individuelle, a certainement contribué à déterminer une croissance considérable du chiffre d'affaires du Groupe dans la période de référence, par rapport aux résultats obtenus dans la même période de l'année précédente. Il convient également de rappeler que la première partie de l'année 2020 a été caractérisée par un confinement généralisé imposé par les autorités, qui nous a contraints à fermer tous les points de vente Take Off and Over e gestion directe et indirecte du 10 mars 2020 au 18 mai 2020. </w:t>
      </w:r>
    </w:p>
    <w:p w14:paraId="37597241" w14:textId="77777777" w:rsidR="00DE3C76" w:rsidRPr="00DE3C76" w:rsidRDefault="00DE3C76" w:rsidP="0081438B">
      <w:pPr>
        <w:spacing w:after="200" w:line="18" w:lineRule="atLeast"/>
        <w:jc w:val="both"/>
        <w:rPr>
          <w:rFonts w:ascii="Cambria" w:hAnsi="Cambria"/>
          <w:sz w:val="22"/>
          <w:szCs w:val="22"/>
        </w:rPr>
      </w:pPr>
      <w:r>
        <w:rPr>
          <w:rFonts w:ascii="Cambria" w:hAnsi="Cambria"/>
          <w:sz w:val="22"/>
        </w:rPr>
        <w:t xml:space="preserve">Le Groupe a su résister au « point culminant » de la pandémie, démontrant ainsi que son modèle économique est « défensif » et parvient à être performant même en temps de crise. En effet, dès que les restrictions sur la mobilité des personnes ont été levées, le Groupe a été en mesure d'obtenir rapidement les mêmes résultats commerciaux que durant les mois de 2019. </w:t>
      </w:r>
    </w:p>
    <w:p w14:paraId="1004688D" w14:textId="351B17BE" w:rsidR="00F175DC" w:rsidRDefault="00DE3C76" w:rsidP="0081438B">
      <w:pPr>
        <w:spacing w:after="200" w:line="18" w:lineRule="atLeast"/>
        <w:jc w:val="both"/>
        <w:rPr>
          <w:rFonts w:ascii="Cambria" w:hAnsi="Cambria"/>
          <w:sz w:val="22"/>
          <w:szCs w:val="22"/>
        </w:rPr>
      </w:pPr>
      <w:r>
        <w:rPr>
          <w:rFonts w:ascii="Cambria" w:hAnsi="Cambria"/>
          <w:sz w:val="22"/>
        </w:rPr>
        <w:t xml:space="preserve">Les mesures de réduction des coûts que nous avons mises en œuvre nous ont permis d'atteindre un niveau de marges constant. De fait, nous avons rapidement mis en œuvre des mesures liées au personnel (redéfinition des équipes et du nombre d'employés par point de vente), des mesures relatives aux loyers des magasins et aux fournisseurs, avec des effets positifs qui se poursuivront même après la période sous revue. Comme on peut le voir dans les paragraphes suivants, nous avons enregistré une croissance des marges (EBITDA), qui sont passées de 18,2% au 30 juin 2020 à 34,2% au 30 juin 2021. </w:t>
      </w:r>
    </w:p>
    <w:p w14:paraId="6F283C81" w14:textId="145EB86D" w:rsidR="00504CF4" w:rsidRPr="00454CF1" w:rsidRDefault="00504CF4" w:rsidP="0081438B">
      <w:pPr>
        <w:spacing w:after="200" w:line="18" w:lineRule="atLeast"/>
        <w:jc w:val="both"/>
        <w:rPr>
          <w:rFonts w:ascii="Cambria" w:hAnsi="Cambria"/>
          <w:sz w:val="22"/>
          <w:szCs w:val="22"/>
        </w:rPr>
      </w:pPr>
      <w:r>
        <w:rPr>
          <w:rFonts w:ascii="Cambria" w:hAnsi="Cambria"/>
          <w:sz w:val="22"/>
        </w:rPr>
        <w:t>Malgré la persistance de la crise pandémique, nous avons continué à enregistrer une croissance (puisque, de toute façon, nous devons toujours planifier notre avenir en regardant devant nous) et nous avons ouvert de nouveaux points de vente :</w:t>
      </w:r>
    </w:p>
    <w:p w14:paraId="01FBEA18" w14:textId="00E8381A" w:rsidR="00504CF4" w:rsidRPr="00DC792B" w:rsidRDefault="00454CF1" w:rsidP="0081438B">
      <w:pPr>
        <w:numPr>
          <w:ilvl w:val="0"/>
          <w:numId w:val="44"/>
        </w:numPr>
        <w:spacing w:after="200" w:line="18" w:lineRule="atLeast"/>
        <w:jc w:val="both"/>
        <w:rPr>
          <w:rFonts w:ascii="Cambria" w:hAnsi="Cambria"/>
          <w:sz w:val="22"/>
          <w:szCs w:val="22"/>
          <w:lang w:val="it-IT"/>
        </w:rPr>
      </w:pPr>
      <w:r w:rsidRPr="00DC792B">
        <w:rPr>
          <w:rFonts w:ascii="Cambria" w:hAnsi="Cambria"/>
          <w:sz w:val="22"/>
          <w:lang w:val="it-IT"/>
        </w:rPr>
        <w:t>Take Off à Grosseto, Reggio Calabria, Catanzaro Lido, Catanzaro Centro et Forio (</w:t>
      </w:r>
      <w:proofErr w:type="spellStart"/>
      <w:r w:rsidR="00DC792B" w:rsidRPr="00DC792B">
        <w:rPr>
          <w:rFonts w:ascii="Cambria" w:hAnsi="Cambria"/>
          <w:sz w:val="22"/>
          <w:lang w:val="it-IT"/>
        </w:rPr>
        <w:t>Na</w:t>
      </w:r>
      <w:r w:rsidR="00DC792B">
        <w:rPr>
          <w:rFonts w:ascii="Cambria" w:hAnsi="Cambria"/>
          <w:sz w:val="22"/>
          <w:lang w:val="it-IT"/>
        </w:rPr>
        <w:t>pl</w:t>
      </w:r>
      <w:r w:rsidR="00DC792B" w:rsidRPr="00DC792B">
        <w:rPr>
          <w:rFonts w:ascii="Cambria" w:hAnsi="Cambria"/>
          <w:sz w:val="22"/>
          <w:lang w:val="it-IT"/>
        </w:rPr>
        <w:t>es</w:t>
      </w:r>
      <w:proofErr w:type="spellEnd"/>
      <w:proofErr w:type="gramStart"/>
      <w:r w:rsidRPr="00DC792B">
        <w:rPr>
          <w:rFonts w:ascii="Cambria" w:hAnsi="Cambria"/>
          <w:sz w:val="22"/>
          <w:lang w:val="it-IT"/>
        </w:rPr>
        <w:t>) ;</w:t>
      </w:r>
      <w:proofErr w:type="gramEnd"/>
    </w:p>
    <w:p w14:paraId="50545882" w14:textId="5B0BDB6E" w:rsidR="00454CF1" w:rsidRPr="0076441B" w:rsidRDefault="00454CF1" w:rsidP="0081438B">
      <w:pPr>
        <w:numPr>
          <w:ilvl w:val="0"/>
          <w:numId w:val="44"/>
        </w:numPr>
        <w:spacing w:after="200" w:line="18" w:lineRule="atLeast"/>
        <w:jc w:val="both"/>
        <w:rPr>
          <w:rFonts w:ascii="Cambria" w:hAnsi="Cambria"/>
          <w:sz w:val="22"/>
          <w:szCs w:val="22"/>
        </w:rPr>
      </w:pPr>
      <w:r>
        <w:rPr>
          <w:rFonts w:ascii="Cambria" w:hAnsi="Cambria"/>
          <w:sz w:val="22"/>
        </w:rPr>
        <w:t xml:space="preserve">Over à </w:t>
      </w:r>
      <w:proofErr w:type="spellStart"/>
      <w:r>
        <w:rPr>
          <w:rFonts w:ascii="Cambria" w:hAnsi="Cambria"/>
          <w:sz w:val="22"/>
        </w:rPr>
        <w:t>Gualdo</w:t>
      </w:r>
      <w:proofErr w:type="spellEnd"/>
      <w:r>
        <w:rPr>
          <w:rFonts w:ascii="Cambria" w:hAnsi="Cambria"/>
          <w:sz w:val="22"/>
        </w:rPr>
        <w:t xml:space="preserve"> </w:t>
      </w:r>
      <w:proofErr w:type="spellStart"/>
      <w:proofErr w:type="gramStart"/>
      <w:r>
        <w:rPr>
          <w:rFonts w:ascii="Cambria" w:hAnsi="Cambria"/>
          <w:sz w:val="22"/>
        </w:rPr>
        <w:t>Tadino</w:t>
      </w:r>
      <w:proofErr w:type="spellEnd"/>
      <w:r>
        <w:rPr>
          <w:rFonts w:ascii="Cambria" w:hAnsi="Cambria"/>
          <w:sz w:val="22"/>
        </w:rPr>
        <w:t>;</w:t>
      </w:r>
      <w:proofErr w:type="gramEnd"/>
    </w:p>
    <w:p w14:paraId="46264738" w14:textId="27B9AC53" w:rsidR="00F175DC" w:rsidRDefault="00504CF4" w:rsidP="00504CF4">
      <w:pPr>
        <w:spacing w:after="200" w:line="276" w:lineRule="auto"/>
        <w:jc w:val="both"/>
        <w:rPr>
          <w:rFonts w:ascii="Cambria" w:hAnsi="Cambria"/>
          <w:sz w:val="22"/>
        </w:rPr>
      </w:pPr>
      <w:r>
        <w:rPr>
          <w:rFonts w:ascii="Cambria" w:hAnsi="Cambria"/>
          <w:sz w:val="22"/>
        </w:rPr>
        <w:t xml:space="preserve">L'ouverture des points de vente susmentionnés s'inscrit toujours dans le cadre de notre approche consistant à poursuivre une croissance rapide dans toutes les directions, ce qui, grâce à une sélection attentive des points de vente, nous permet de minimiser les investissements d'ouverture et d'atteindre le seuil de rentabilité. </w:t>
      </w:r>
    </w:p>
    <w:p w14:paraId="1914BA15" w14:textId="4B336782" w:rsidR="0081438B" w:rsidRDefault="0081438B" w:rsidP="00504CF4">
      <w:pPr>
        <w:spacing w:after="200" w:line="276" w:lineRule="auto"/>
        <w:jc w:val="both"/>
        <w:rPr>
          <w:rFonts w:ascii="Cambria" w:hAnsi="Cambria"/>
          <w:sz w:val="22"/>
        </w:rPr>
      </w:pPr>
    </w:p>
    <w:p w14:paraId="0E16C2B1" w14:textId="77777777" w:rsidR="0081438B" w:rsidRPr="00F175DC" w:rsidRDefault="0081438B" w:rsidP="00504CF4">
      <w:pPr>
        <w:spacing w:after="200" w:line="276" w:lineRule="auto"/>
        <w:jc w:val="both"/>
        <w:rPr>
          <w:rFonts w:ascii="Cambria" w:hAnsi="Cambria"/>
          <w:sz w:val="22"/>
          <w:szCs w:val="22"/>
        </w:rPr>
      </w:pPr>
    </w:p>
    <w:p w14:paraId="7D9AD167" w14:textId="77777777" w:rsidR="0009400E" w:rsidRPr="00F175DC" w:rsidRDefault="00A23CCC" w:rsidP="00A23CCC">
      <w:pPr>
        <w:spacing w:after="200" w:line="276" w:lineRule="auto"/>
        <w:jc w:val="both"/>
        <w:rPr>
          <w:rFonts w:ascii="Cambria" w:hAnsi="Cambria"/>
          <w:sz w:val="22"/>
          <w:szCs w:val="22"/>
        </w:rPr>
      </w:pPr>
      <w:r>
        <w:rPr>
          <w:rFonts w:ascii="Cambria" w:hAnsi="Cambria"/>
          <w:sz w:val="22"/>
        </w:rPr>
        <w:lastRenderedPageBreak/>
        <w:t xml:space="preserve">Afin de fidéliser davantage la clientèle et d'encourager ainsi l'utilisation des canaux de vente en ligne conjointement au service offert par les magasins physiques (une stratégie importante en cette période caractérisée par la pandémie et les restrictions à la libre circulation), nous avons conçu et mis en œuvre le premier magazine Take Off, distribué gratuitement dans nos points de vente, qui permet à nos clients d'effectuer des achats exclusifs de certaines des marques de luxe que nous commercialisons. </w:t>
      </w:r>
    </w:p>
    <w:p w14:paraId="37604DDC" w14:textId="77777777" w:rsidR="0009400E" w:rsidRPr="0009400E" w:rsidRDefault="0009400E" w:rsidP="00A23CCC">
      <w:pPr>
        <w:spacing w:after="200" w:line="276" w:lineRule="auto"/>
        <w:jc w:val="both"/>
        <w:rPr>
          <w:rFonts w:ascii="Cambria" w:hAnsi="Cambria"/>
          <w:sz w:val="22"/>
          <w:szCs w:val="22"/>
        </w:rPr>
      </w:pPr>
      <w:r>
        <w:rPr>
          <w:rFonts w:ascii="Cambria" w:hAnsi="Cambria"/>
          <w:sz w:val="22"/>
        </w:rPr>
        <w:t>La période de confinement nous a également incités à accélérer le lancement du canal de vente en ligne, qui a démarré dès la fin 2020 avec le lancement de notre site web dédié, et qui nous permettra d'offrir un service supplémentaire à nos clients, ainsi que de soutenir davantage notre canal de vente traditionnel.</w:t>
      </w:r>
    </w:p>
    <w:p w14:paraId="0497CB11" w14:textId="77777777" w:rsidR="00F75C34" w:rsidRPr="001B6D59" w:rsidRDefault="00F75C34" w:rsidP="001B6D59">
      <w:pPr>
        <w:pStyle w:val="Titolo2"/>
        <w:spacing w:line="360" w:lineRule="auto"/>
        <w:ind w:left="0"/>
        <w:jc w:val="left"/>
        <w:rPr>
          <w:i w:val="0"/>
        </w:rPr>
      </w:pPr>
      <w:bookmarkStart w:id="5" w:name="_Toc112768591"/>
      <w:r>
        <w:rPr>
          <w:i w:val="0"/>
        </w:rPr>
        <w:t>Principales données du compte de résultat</w:t>
      </w:r>
      <w:bookmarkEnd w:id="5"/>
    </w:p>
    <w:p w14:paraId="4E55EBFE" w14:textId="3920C7F2" w:rsidR="00F75C34" w:rsidRDefault="00F75C34" w:rsidP="00F75C34">
      <w:pPr>
        <w:spacing w:after="200" w:line="276" w:lineRule="auto"/>
        <w:jc w:val="both"/>
        <w:rPr>
          <w:rFonts w:ascii="Cambria" w:hAnsi="Cambria"/>
          <w:sz w:val="22"/>
          <w:szCs w:val="22"/>
        </w:rPr>
      </w:pPr>
      <w:r>
        <w:rPr>
          <w:rFonts w:ascii="Cambria" w:hAnsi="Cambria"/>
          <w:sz w:val="22"/>
        </w:rPr>
        <w:t>Le tableau suivant présente les résultats globaux atteints par le Groupe en termes de revenus, de résultat d'exploitation et de résultat avant impôt au 30 juin 2021 et 2020 respectivement :</w:t>
      </w:r>
    </w:p>
    <w:tbl>
      <w:tblPr>
        <w:tblW w:w="5000" w:type="pct"/>
        <w:tblCellMar>
          <w:left w:w="70" w:type="dxa"/>
          <w:right w:w="70" w:type="dxa"/>
        </w:tblCellMar>
        <w:tblLook w:val="04A0" w:firstRow="1" w:lastRow="0" w:firstColumn="1" w:lastColumn="0" w:noHBand="0" w:noVBand="1"/>
      </w:tblPr>
      <w:tblGrid>
        <w:gridCol w:w="3228"/>
        <w:gridCol w:w="1864"/>
        <w:gridCol w:w="1864"/>
        <w:gridCol w:w="1124"/>
        <w:gridCol w:w="1558"/>
      </w:tblGrid>
      <w:tr w:rsidR="0079162D" w14:paraId="145D9564" w14:textId="77777777" w:rsidTr="0081438B">
        <w:trPr>
          <w:trHeight w:val="495"/>
        </w:trPr>
        <w:tc>
          <w:tcPr>
            <w:tcW w:w="1675" w:type="pct"/>
            <w:tcBorders>
              <w:top w:val="single" w:sz="4" w:space="0" w:color="0070C0"/>
              <w:left w:val="nil"/>
              <w:bottom w:val="single" w:sz="8" w:space="0" w:color="0070C0"/>
              <w:right w:val="nil"/>
            </w:tcBorders>
            <w:shd w:val="clear" w:color="auto" w:fill="auto"/>
            <w:noWrap/>
            <w:vAlign w:val="bottom"/>
            <w:hideMark/>
          </w:tcPr>
          <w:p w14:paraId="7788C219" w14:textId="77777777" w:rsidR="0079162D" w:rsidRDefault="0079162D">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967" w:type="pct"/>
            <w:tcBorders>
              <w:top w:val="single" w:sz="4" w:space="0" w:color="0070C0"/>
              <w:left w:val="nil"/>
              <w:bottom w:val="single" w:sz="8" w:space="0" w:color="0070C0"/>
              <w:right w:val="nil"/>
            </w:tcBorders>
            <w:shd w:val="clear" w:color="auto" w:fill="auto"/>
            <w:vAlign w:val="bottom"/>
            <w:hideMark/>
          </w:tcPr>
          <w:p w14:paraId="548B3157" w14:textId="77777777" w:rsidR="0079162D" w:rsidRDefault="0079162D">
            <w:pPr>
              <w:jc w:val="center"/>
              <w:rPr>
                <w:rFonts w:ascii="Cambria" w:hAnsi="Cambria" w:cs="Arial"/>
                <w:b/>
                <w:bCs/>
                <w:color w:val="000000"/>
                <w:sz w:val="18"/>
                <w:szCs w:val="18"/>
              </w:rPr>
            </w:pPr>
            <w:r>
              <w:rPr>
                <w:rFonts w:ascii="Cambria" w:hAnsi="Cambria"/>
                <w:b/>
                <w:color w:val="000000"/>
                <w:sz w:val="18"/>
              </w:rPr>
              <w:t xml:space="preserve">1er janvier 2021 - </w:t>
            </w:r>
            <w:r>
              <w:rPr>
                <w:rFonts w:ascii="Cambria" w:hAnsi="Cambria"/>
                <w:b/>
                <w:bCs/>
                <w:color w:val="000000"/>
                <w:sz w:val="18"/>
                <w:szCs w:val="18"/>
              </w:rPr>
              <w:br/>
            </w:r>
            <w:r>
              <w:rPr>
                <w:rFonts w:ascii="Cambria" w:hAnsi="Cambria"/>
                <w:b/>
                <w:color w:val="000000"/>
                <w:sz w:val="18"/>
              </w:rPr>
              <w:t>30 juin 2021</w:t>
            </w:r>
          </w:p>
        </w:tc>
        <w:tc>
          <w:tcPr>
            <w:tcW w:w="967" w:type="pct"/>
            <w:tcBorders>
              <w:top w:val="single" w:sz="4" w:space="0" w:color="0070C0"/>
              <w:left w:val="nil"/>
              <w:bottom w:val="single" w:sz="8" w:space="0" w:color="0070C0"/>
              <w:right w:val="nil"/>
            </w:tcBorders>
            <w:shd w:val="clear" w:color="auto" w:fill="auto"/>
            <w:vAlign w:val="bottom"/>
            <w:hideMark/>
          </w:tcPr>
          <w:p w14:paraId="7AF0C4F9" w14:textId="77777777" w:rsidR="0079162D" w:rsidRDefault="0079162D">
            <w:pPr>
              <w:jc w:val="center"/>
              <w:rPr>
                <w:rFonts w:ascii="Cambria" w:hAnsi="Cambria" w:cs="Arial"/>
                <w:b/>
                <w:bCs/>
                <w:color w:val="000000"/>
                <w:sz w:val="18"/>
                <w:szCs w:val="18"/>
              </w:rPr>
            </w:pPr>
            <w:r>
              <w:rPr>
                <w:rFonts w:ascii="Cambria" w:hAnsi="Cambria"/>
                <w:b/>
                <w:color w:val="000000"/>
                <w:sz w:val="18"/>
              </w:rPr>
              <w:t xml:space="preserve">1er janvier 2020 - </w:t>
            </w:r>
            <w:r>
              <w:rPr>
                <w:rFonts w:ascii="Cambria" w:hAnsi="Cambria"/>
                <w:b/>
                <w:bCs/>
                <w:color w:val="000000"/>
                <w:sz w:val="18"/>
                <w:szCs w:val="18"/>
              </w:rPr>
              <w:br/>
            </w:r>
            <w:r>
              <w:rPr>
                <w:rFonts w:ascii="Cambria" w:hAnsi="Cambria"/>
                <w:b/>
                <w:color w:val="000000"/>
                <w:sz w:val="18"/>
              </w:rPr>
              <w:t>30 juin 2020</w:t>
            </w:r>
          </w:p>
        </w:tc>
        <w:tc>
          <w:tcPr>
            <w:tcW w:w="583" w:type="pct"/>
            <w:tcBorders>
              <w:top w:val="single" w:sz="4" w:space="0" w:color="0070C0"/>
              <w:left w:val="nil"/>
              <w:bottom w:val="single" w:sz="8" w:space="0" w:color="0070C0"/>
              <w:right w:val="nil"/>
            </w:tcBorders>
            <w:shd w:val="clear" w:color="auto" w:fill="auto"/>
            <w:vAlign w:val="bottom"/>
            <w:hideMark/>
          </w:tcPr>
          <w:p w14:paraId="01C173A8" w14:textId="77777777" w:rsidR="0079162D" w:rsidRDefault="0079162D">
            <w:pPr>
              <w:jc w:val="center"/>
              <w:rPr>
                <w:rFonts w:ascii="Cambria" w:hAnsi="Cambria" w:cs="Arial"/>
                <w:b/>
                <w:bCs/>
                <w:color w:val="000000"/>
                <w:sz w:val="18"/>
                <w:szCs w:val="18"/>
              </w:rPr>
            </w:pPr>
            <w:r>
              <w:rPr>
                <w:rFonts w:ascii="Cambria" w:hAnsi="Cambria"/>
                <w:b/>
                <w:color w:val="000000"/>
                <w:sz w:val="18"/>
              </w:rPr>
              <w:t>Variations</w:t>
            </w:r>
          </w:p>
        </w:tc>
        <w:tc>
          <w:tcPr>
            <w:tcW w:w="808" w:type="pct"/>
            <w:tcBorders>
              <w:top w:val="single" w:sz="4" w:space="0" w:color="0070C0"/>
              <w:left w:val="nil"/>
              <w:bottom w:val="single" w:sz="8" w:space="0" w:color="0070C0"/>
              <w:right w:val="nil"/>
            </w:tcBorders>
            <w:shd w:val="clear" w:color="auto" w:fill="auto"/>
            <w:vAlign w:val="bottom"/>
            <w:hideMark/>
          </w:tcPr>
          <w:p w14:paraId="757E966C" w14:textId="77777777" w:rsidR="0079162D" w:rsidRDefault="0079162D">
            <w:pPr>
              <w:jc w:val="center"/>
              <w:rPr>
                <w:rFonts w:ascii="Cambria" w:hAnsi="Cambria" w:cs="Arial"/>
                <w:b/>
                <w:bCs/>
                <w:color w:val="000000"/>
                <w:sz w:val="18"/>
                <w:szCs w:val="18"/>
              </w:rPr>
            </w:pPr>
            <w:r>
              <w:rPr>
                <w:rFonts w:ascii="Cambria" w:hAnsi="Cambria"/>
                <w:b/>
                <w:color w:val="000000"/>
                <w:sz w:val="18"/>
              </w:rPr>
              <w:t>Variation en %</w:t>
            </w:r>
          </w:p>
        </w:tc>
      </w:tr>
      <w:tr w:rsidR="0079162D" w14:paraId="671785DC" w14:textId="77777777" w:rsidTr="0081438B">
        <w:trPr>
          <w:trHeight w:val="240"/>
        </w:trPr>
        <w:tc>
          <w:tcPr>
            <w:tcW w:w="1675" w:type="pct"/>
            <w:tcBorders>
              <w:top w:val="nil"/>
              <w:left w:val="nil"/>
              <w:bottom w:val="nil"/>
              <w:right w:val="nil"/>
            </w:tcBorders>
            <w:shd w:val="clear" w:color="auto" w:fill="auto"/>
            <w:noWrap/>
            <w:vAlign w:val="bottom"/>
            <w:hideMark/>
          </w:tcPr>
          <w:p w14:paraId="6538D3F3" w14:textId="77777777" w:rsidR="0079162D" w:rsidRDefault="0079162D">
            <w:pPr>
              <w:rPr>
                <w:rFonts w:ascii="Cambria" w:hAnsi="Cambria" w:cs="Arial"/>
                <w:color w:val="000000"/>
                <w:sz w:val="18"/>
                <w:szCs w:val="18"/>
              </w:rPr>
            </w:pPr>
            <w:r>
              <w:rPr>
                <w:rFonts w:ascii="Cambria" w:hAnsi="Cambria"/>
                <w:color w:val="000000"/>
                <w:sz w:val="18"/>
              </w:rPr>
              <w:t>Revenus des contrats avec les clients</w:t>
            </w:r>
          </w:p>
        </w:tc>
        <w:tc>
          <w:tcPr>
            <w:tcW w:w="967" w:type="pct"/>
            <w:tcBorders>
              <w:top w:val="nil"/>
              <w:left w:val="nil"/>
              <w:bottom w:val="nil"/>
              <w:right w:val="nil"/>
            </w:tcBorders>
            <w:shd w:val="clear" w:color="auto" w:fill="auto"/>
            <w:noWrap/>
            <w:vAlign w:val="bottom"/>
            <w:hideMark/>
          </w:tcPr>
          <w:p w14:paraId="5027FB13" w14:textId="77777777" w:rsidR="0079162D" w:rsidRDefault="0079162D">
            <w:pPr>
              <w:jc w:val="right"/>
              <w:rPr>
                <w:rFonts w:ascii="Cambria" w:hAnsi="Cambria" w:cs="Arial"/>
                <w:color w:val="000000"/>
                <w:sz w:val="18"/>
                <w:szCs w:val="18"/>
              </w:rPr>
            </w:pPr>
            <w:r>
              <w:rPr>
                <w:rFonts w:ascii="Cambria" w:hAnsi="Cambria"/>
                <w:color w:val="000000"/>
                <w:sz w:val="18"/>
              </w:rPr>
              <w:t>11 549 795</w:t>
            </w:r>
          </w:p>
        </w:tc>
        <w:tc>
          <w:tcPr>
            <w:tcW w:w="967" w:type="pct"/>
            <w:tcBorders>
              <w:top w:val="nil"/>
              <w:left w:val="nil"/>
              <w:bottom w:val="nil"/>
              <w:right w:val="nil"/>
            </w:tcBorders>
            <w:shd w:val="clear" w:color="auto" w:fill="auto"/>
            <w:noWrap/>
            <w:vAlign w:val="bottom"/>
            <w:hideMark/>
          </w:tcPr>
          <w:p w14:paraId="28D7F407" w14:textId="77777777" w:rsidR="0079162D" w:rsidRDefault="0079162D">
            <w:pPr>
              <w:jc w:val="right"/>
              <w:rPr>
                <w:rFonts w:ascii="Cambria" w:hAnsi="Cambria" w:cs="Arial"/>
                <w:color w:val="000000"/>
                <w:sz w:val="18"/>
                <w:szCs w:val="18"/>
              </w:rPr>
            </w:pPr>
            <w:r>
              <w:rPr>
                <w:rFonts w:ascii="Cambria" w:hAnsi="Cambria"/>
                <w:color w:val="000000"/>
                <w:sz w:val="18"/>
              </w:rPr>
              <w:t>8 782 789</w:t>
            </w:r>
          </w:p>
        </w:tc>
        <w:tc>
          <w:tcPr>
            <w:tcW w:w="583" w:type="pct"/>
            <w:tcBorders>
              <w:top w:val="nil"/>
              <w:left w:val="nil"/>
              <w:bottom w:val="nil"/>
              <w:right w:val="nil"/>
            </w:tcBorders>
            <w:shd w:val="clear" w:color="auto" w:fill="auto"/>
            <w:noWrap/>
            <w:vAlign w:val="bottom"/>
            <w:hideMark/>
          </w:tcPr>
          <w:p w14:paraId="7FB96823" w14:textId="77777777" w:rsidR="0079162D" w:rsidRDefault="0079162D">
            <w:pPr>
              <w:jc w:val="right"/>
              <w:rPr>
                <w:rFonts w:ascii="Cambria" w:hAnsi="Cambria" w:cs="Arial"/>
                <w:color w:val="000000"/>
                <w:sz w:val="18"/>
                <w:szCs w:val="18"/>
              </w:rPr>
            </w:pPr>
            <w:r>
              <w:rPr>
                <w:rFonts w:ascii="Cambria" w:hAnsi="Cambria"/>
                <w:color w:val="000000"/>
                <w:sz w:val="18"/>
              </w:rPr>
              <w:t>2 767 006</w:t>
            </w:r>
          </w:p>
        </w:tc>
        <w:tc>
          <w:tcPr>
            <w:tcW w:w="808" w:type="pct"/>
            <w:tcBorders>
              <w:top w:val="nil"/>
              <w:left w:val="nil"/>
              <w:bottom w:val="nil"/>
              <w:right w:val="nil"/>
            </w:tcBorders>
            <w:shd w:val="clear" w:color="auto" w:fill="auto"/>
            <w:noWrap/>
            <w:vAlign w:val="bottom"/>
            <w:hideMark/>
          </w:tcPr>
          <w:p w14:paraId="06DCFE61" w14:textId="77777777" w:rsidR="0079162D" w:rsidRDefault="0079162D">
            <w:pPr>
              <w:jc w:val="right"/>
              <w:rPr>
                <w:rFonts w:ascii="Cambria" w:hAnsi="Cambria" w:cs="Arial"/>
                <w:color w:val="000000"/>
                <w:sz w:val="18"/>
                <w:szCs w:val="18"/>
              </w:rPr>
            </w:pPr>
            <w:r>
              <w:rPr>
                <w:rFonts w:ascii="Cambria" w:hAnsi="Cambria"/>
                <w:color w:val="000000"/>
                <w:sz w:val="18"/>
              </w:rPr>
              <w:t>31,50%</w:t>
            </w:r>
          </w:p>
        </w:tc>
      </w:tr>
      <w:tr w:rsidR="0079162D" w14:paraId="45CE029B" w14:textId="77777777" w:rsidTr="0081438B">
        <w:trPr>
          <w:trHeight w:val="240"/>
        </w:trPr>
        <w:tc>
          <w:tcPr>
            <w:tcW w:w="1675" w:type="pct"/>
            <w:tcBorders>
              <w:top w:val="nil"/>
              <w:left w:val="nil"/>
              <w:bottom w:val="nil"/>
              <w:right w:val="nil"/>
            </w:tcBorders>
            <w:shd w:val="clear" w:color="auto" w:fill="auto"/>
            <w:noWrap/>
            <w:vAlign w:val="bottom"/>
            <w:hideMark/>
          </w:tcPr>
          <w:p w14:paraId="0C7732B9" w14:textId="77777777" w:rsidR="0079162D" w:rsidRDefault="0079162D">
            <w:pPr>
              <w:rPr>
                <w:rFonts w:ascii="Cambria" w:hAnsi="Cambria" w:cs="Arial"/>
                <w:color w:val="000000"/>
                <w:sz w:val="18"/>
                <w:szCs w:val="18"/>
              </w:rPr>
            </w:pPr>
            <w:r>
              <w:rPr>
                <w:rFonts w:ascii="Cambria" w:hAnsi="Cambria"/>
                <w:color w:val="000000"/>
                <w:sz w:val="18"/>
              </w:rPr>
              <w:t>Bénéfice d’exploitation brut (EBITA)</w:t>
            </w:r>
          </w:p>
        </w:tc>
        <w:tc>
          <w:tcPr>
            <w:tcW w:w="967" w:type="pct"/>
            <w:tcBorders>
              <w:top w:val="nil"/>
              <w:left w:val="nil"/>
              <w:bottom w:val="nil"/>
              <w:right w:val="nil"/>
            </w:tcBorders>
            <w:shd w:val="clear" w:color="auto" w:fill="auto"/>
            <w:noWrap/>
            <w:vAlign w:val="bottom"/>
            <w:hideMark/>
          </w:tcPr>
          <w:p w14:paraId="53E1A8F7" w14:textId="77777777" w:rsidR="0079162D" w:rsidRDefault="0079162D">
            <w:pPr>
              <w:jc w:val="right"/>
              <w:rPr>
                <w:rFonts w:ascii="Cambria" w:hAnsi="Cambria" w:cs="Arial"/>
                <w:color w:val="000000"/>
                <w:sz w:val="18"/>
                <w:szCs w:val="18"/>
              </w:rPr>
            </w:pPr>
            <w:r>
              <w:rPr>
                <w:rFonts w:ascii="Cambria" w:hAnsi="Cambria"/>
                <w:color w:val="000000"/>
                <w:sz w:val="18"/>
              </w:rPr>
              <w:t>3 955 320</w:t>
            </w:r>
          </w:p>
        </w:tc>
        <w:tc>
          <w:tcPr>
            <w:tcW w:w="967" w:type="pct"/>
            <w:tcBorders>
              <w:top w:val="nil"/>
              <w:left w:val="nil"/>
              <w:bottom w:val="nil"/>
              <w:right w:val="nil"/>
            </w:tcBorders>
            <w:shd w:val="clear" w:color="auto" w:fill="auto"/>
            <w:noWrap/>
            <w:vAlign w:val="bottom"/>
            <w:hideMark/>
          </w:tcPr>
          <w:p w14:paraId="131BE9B2" w14:textId="77777777" w:rsidR="0079162D" w:rsidRDefault="0079162D">
            <w:pPr>
              <w:jc w:val="right"/>
              <w:rPr>
                <w:rFonts w:ascii="Cambria" w:hAnsi="Cambria" w:cs="Arial"/>
                <w:color w:val="000000"/>
                <w:sz w:val="18"/>
                <w:szCs w:val="18"/>
              </w:rPr>
            </w:pPr>
            <w:r>
              <w:rPr>
                <w:rFonts w:ascii="Cambria" w:hAnsi="Cambria"/>
                <w:color w:val="000000"/>
                <w:sz w:val="18"/>
              </w:rPr>
              <w:t>1 602 984</w:t>
            </w:r>
          </w:p>
        </w:tc>
        <w:tc>
          <w:tcPr>
            <w:tcW w:w="583" w:type="pct"/>
            <w:tcBorders>
              <w:top w:val="nil"/>
              <w:left w:val="nil"/>
              <w:bottom w:val="nil"/>
              <w:right w:val="nil"/>
            </w:tcBorders>
            <w:shd w:val="clear" w:color="auto" w:fill="auto"/>
            <w:noWrap/>
            <w:vAlign w:val="bottom"/>
            <w:hideMark/>
          </w:tcPr>
          <w:p w14:paraId="30E0FC99" w14:textId="77777777" w:rsidR="0079162D" w:rsidRDefault="0079162D">
            <w:pPr>
              <w:jc w:val="right"/>
              <w:rPr>
                <w:rFonts w:ascii="Cambria" w:hAnsi="Cambria" w:cs="Arial"/>
                <w:color w:val="000000"/>
                <w:sz w:val="18"/>
                <w:szCs w:val="18"/>
              </w:rPr>
            </w:pPr>
            <w:r>
              <w:rPr>
                <w:rFonts w:ascii="Cambria" w:hAnsi="Cambria"/>
                <w:color w:val="000000"/>
                <w:sz w:val="18"/>
              </w:rPr>
              <w:t>2 352 336</w:t>
            </w:r>
          </w:p>
        </w:tc>
        <w:tc>
          <w:tcPr>
            <w:tcW w:w="808" w:type="pct"/>
            <w:tcBorders>
              <w:top w:val="nil"/>
              <w:left w:val="nil"/>
              <w:bottom w:val="nil"/>
              <w:right w:val="nil"/>
            </w:tcBorders>
            <w:shd w:val="clear" w:color="auto" w:fill="auto"/>
            <w:noWrap/>
            <w:vAlign w:val="bottom"/>
            <w:hideMark/>
          </w:tcPr>
          <w:p w14:paraId="4247567E" w14:textId="77777777" w:rsidR="0079162D" w:rsidRDefault="0079162D">
            <w:pPr>
              <w:jc w:val="right"/>
              <w:rPr>
                <w:rFonts w:ascii="Cambria" w:hAnsi="Cambria" w:cs="Arial"/>
                <w:color w:val="000000"/>
                <w:sz w:val="18"/>
                <w:szCs w:val="18"/>
              </w:rPr>
            </w:pPr>
            <w:r>
              <w:rPr>
                <w:rFonts w:ascii="Cambria" w:hAnsi="Cambria"/>
                <w:color w:val="000000"/>
                <w:sz w:val="18"/>
              </w:rPr>
              <w:t>146,75%</w:t>
            </w:r>
          </w:p>
        </w:tc>
      </w:tr>
      <w:tr w:rsidR="0079162D" w14:paraId="540B0B1D" w14:textId="77777777" w:rsidTr="0081438B">
        <w:trPr>
          <w:trHeight w:val="240"/>
        </w:trPr>
        <w:tc>
          <w:tcPr>
            <w:tcW w:w="1675" w:type="pct"/>
            <w:tcBorders>
              <w:top w:val="nil"/>
              <w:left w:val="nil"/>
              <w:bottom w:val="nil"/>
              <w:right w:val="nil"/>
            </w:tcBorders>
            <w:shd w:val="clear" w:color="auto" w:fill="auto"/>
            <w:noWrap/>
            <w:vAlign w:val="bottom"/>
            <w:hideMark/>
          </w:tcPr>
          <w:p w14:paraId="0B46BE31" w14:textId="77777777" w:rsidR="0079162D" w:rsidRDefault="0079162D">
            <w:pPr>
              <w:rPr>
                <w:rFonts w:ascii="Cambria" w:hAnsi="Cambria" w:cs="Arial"/>
                <w:color w:val="000000"/>
                <w:sz w:val="18"/>
                <w:szCs w:val="18"/>
              </w:rPr>
            </w:pPr>
            <w:r>
              <w:rPr>
                <w:rFonts w:ascii="Cambria" w:hAnsi="Cambria"/>
                <w:color w:val="000000"/>
                <w:sz w:val="18"/>
              </w:rPr>
              <w:t>Résultat d’exploitation</w:t>
            </w:r>
          </w:p>
        </w:tc>
        <w:tc>
          <w:tcPr>
            <w:tcW w:w="967" w:type="pct"/>
            <w:tcBorders>
              <w:top w:val="nil"/>
              <w:left w:val="nil"/>
              <w:bottom w:val="nil"/>
              <w:right w:val="nil"/>
            </w:tcBorders>
            <w:shd w:val="clear" w:color="auto" w:fill="auto"/>
            <w:noWrap/>
            <w:vAlign w:val="bottom"/>
            <w:hideMark/>
          </w:tcPr>
          <w:p w14:paraId="33FB1506" w14:textId="77777777" w:rsidR="0079162D" w:rsidRDefault="0079162D">
            <w:pPr>
              <w:jc w:val="right"/>
              <w:rPr>
                <w:rFonts w:ascii="Cambria" w:hAnsi="Cambria" w:cs="Arial"/>
                <w:color w:val="000000"/>
                <w:sz w:val="18"/>
                <w:szCs w:val="18"/>
              </w:rPr>
            </w:pPr>
            <w:r>
              <w:rPr>
                <w:rFonts w:ascii="Cambria" w:hAnsi="Cambria"/>
                <w:color w:val="000000"/>
                <w:sz w:val="18"/>
              </w:rPr>
              <w:t>3 038 942</w:t>
            </w:r>
          </w:p>
        </w:tc>
        <w:tc>
          <w:tcPr>
            <w:tcW w:w="967" w:type="pct"/>
            <w:tcBorders>
              <w:top w:val="nil"/>
              <w:left w:val="nil"/>
              <w:bottom w:val="nil"/>
              <w:right w:val="nil"/>
            </w:tcBorders>
            <w:shd w:val="clear" w:color="auto" w:fill="auto"/>
            <w:noWrap/>
            <w:vAlign w:val="bottom"/>
            <w:hideMark/>
          </w:tcPr>
          <w:p w14:paraId="42625C00" w14:textId="77777777" w:rsidR="0079162D" w:rsidRDefault="0079162D">
            <w:pPr>
              <w:jc w:val="right"/>
              <w:rPr>
                <w:rFonts w:ascii="Cambria" w:hAnsi="Cambria" w:cs="Arial"/>
                <w:color w:val="000000"/>
                <w:sz w:val="18"/>
                <w:szCs w:val="18"/>
              </w:rPr>
            </w:pPr>
            <w:r>
              <w:rPr>
                <w:rFonts w:ascii="Cambria" w:hAnsi="Cambria"/>
                <w:color w:val="000000"/>
                <w:sz w:val="18"/>
              </w:rPr>
              <w:t>897 315</w:t>
            </w:r>
          </w:p>
        </w:tc>
        <w:tc>
          <w:tcPr>
            <w:tcW w:w="583" w:type="pct"/>
            <w:tcBorders>
              <w:top w:val="nil"/>
              <w:left w:val="nil"/>
              <w:bottom w:val="nil"/>
              <w:right w:val="nil"/>
            </w:tcBorders>
            <w:shd w:val="clear" w:color="auto" w:fill="auto"/>
            <w:noWrap/>
            <w:vAlign w:val="bottom"/>
            <w:hideMark/>
          </w:tcPr>
          <w:p w14:paraId="52703727" w14:textId="77777777" w:rsidR="0079162D" w:rsidRDefault="0079162D">
            <w:pPr>
              <w:jc w:val="right"/>
              <w:rPr>
                <w:rFonts w:ascii="Cambria" w:hAnsi="Cambria" w:cs="Arial"/>
                <w:color w:val="000000"/>
                <w:sz w:val="18"/>
                <w:szCs w:val="18"/>
              </w:rPr>
            </w:pPr>
            <w:r>
              <w:rPr>
                <w:rFonts w:ascii="Cambria" w:hAnsi="Cambria"/>
                <w:color w:val="000000"/>
                <w:sz w:val="18"/>
              </w:rPr>
              <w:t>2 141 627</w:t>
            </w:r>
          </w:p>
        </w:tc>
        <w:tc>
          <w:tcPr>
            <w:tcW w:w="808" w:type="pct"/>
            <w:tcBorders>
              <w:top w:val="nil"/>
              <w:left w:val="nil"/>
              <w:bottom w:val="nil"/>
              <w:right w:val="nil"/>
            </w:tcBorders>
            <w:shd w:val="clear" w:color="auto" w:fill="auto"/>
            <w:noWrap/>
            <w:vAlign w:val="bottom"/>
            <w:hideMark/>
          </w:tcPr>
          <w:p w14:paraId="3600B420" w14:textId="77777777" w:rsidR="0079162D" w:rsidRDefault="0079162D">
            <w:pPr>
              <w:jc w:val="right"/>
              <w:rPr>
                <w:rFonts w:ascii="Cambria" w:hAnsi="Cambria" w:cs="Arial"/>
                <w:color w:val="000000"/>
                <w:sz w:val="18"/>
                <w:szCs w:val="18"/>
              </w:rPr>
            </w:pPr>
            <w:r>
              <w:rPr>
                <w:rFonts w:ascii="Cambria" w:hAnsi="Cambria"/>
                <w:color w:val="000000"/>
                <w:sz w:val="18"/>
              </w:rPr>
              <w:t>238,67%</w:t>
            </w:r>
          </w:p>
        </w:tc>
      </w:tr>
      <w:tr w:rsidR="0079162D" w14:paraId="2B332844" w14:textId="77777777" w:rsidTr="0081438B">
        <w:trPr>
          <w:trHeight w:val="240"/>
        </w:trPr>
        <w:tc>
          <w:tcPr>
            <w:tcW w:w="1675" w:type="pct"/>
            <w:tcBorders>
              <w:top w:val="nil"/>
              <w:left w:val="nil"/>
              <w:bottom w:val="nil"/>
              <w:right w:val="nil"/>
            </w:tcBorders>
            <w:shd w:val="clear" w:color="auto" w:fill="auto"/>
            <w:noWrap/>
            <w:vAlign w:val="bottom"/>
            <w:hideMark/>
          </w:tcPr>
          <w:p w14:paraId="46B6290F" w14:textId="77777777" w:rsidR="0079162D" w:rsidRDefault="0079162D">
            <w:pPr>
              <w:rPr>
                <w:rFonts w:ascii="Cambria" w:hAnsi="Cambria" w:cs="Arial"/>
                <w:color w:val="000000"/>
                <w:sz w:val="18"/>
                <w:szCs w:val="18"/>
              </w:rPr>
            </w:pPr>
            <w:r>
              <w:rPr>
                <w:rFonts w:ascii="Cambria" w:hAnsi="Cambria"/>
                <w:color w:val="000000"/>
                <w:sz w:val="18"/>
              </w:rPr>
              <w:t>Résultat avant impôts</w:t>
            </w:r>
          </w:p>
        </w:tc>
        <w:tc>
          <w:tcPr>
            <w:tcW w:w="967" w:type="pct"/>
            <w:tcBorders>
              <w:top w:val="nil"/>
              <w:left w:val="nil"/>
              <w:bottom w:val="nil"/>
              <w:right w:val="nil"/>
            </w:tcBorders>
            <w:shd w:val="clear" w:color="auto" w:fill="auto"/>
            <w:noWrap/>
            <w:vAlign w:val="bottom"/>
            <w:hideMark/>
          </w:tcPr>
          <w:p w14:paraId="5551EFE7" w14:textId="77777777" w:rsidR="0079162D" w:rsidRDefault="0079162D">
            <w:pPr>
              <w:jc w:val="right"/>
              <w:rPr>
                <w:rFonts w:ascii="Cambria" w:hAnsi="Cambria" w:cs="Arial"/>
                <w:color w:val="000000"/>
                <w:sz w:val="18"/>
                <w:szCs w:val="18"/>
              </w:rPr>
            </w:pPr>
            <w:r>
              <w:rPr>
                <w:rFonts w:ascii="Cambria" w:hAnsi="Cambria"/>
                <w:color w:val="000000"/>
                <w:sz w:val="18"/>
              </w:rPr>
              <w:t>2 806 937</w:t>
            </w:r>
          </w:p>
        </w:tc>
        <w:tc>
          <w:tcPr>
            <w:tcW w:w="967" w:type="pct"/>
            <w:tcBorders>
              <w:top w:val="nil"/>
              <w:left w:val="nil"/>
              <w:bottom w:val="nil"/>
              <w:right w:val="nil"/>
            </w:tcBorders>
            <w:shd w:val="clear" w:color="auto" w:fill="auto"/>
            <w:noWrap/>
            <w:vAlign w:val="bottom"/>
            <w:hideMark/>
          </w:tcPr>
          <w:p w14:paraId="436D4763" w14:textId="77777777" w:rsidR="0079162D" w:rsidRDefault="0079162D">
            <w:pPr>
              <w:jc w:val="right"/>
              <w:rPr>
                <w:rFonts w:ascii="Cambria" w:hAnsi="Cambria" w:cs="Arial"/>
                <w:color w:val="000000"/>
                <w:sz w:val="18"/>
                <w:szCs w:val="18"/>
              </w:rPr>
            </w:pPr>
            <w:r>
              <w:rPr>
                <w:rFonts w:ascii="Cambria" w:hAnsi="Cambria"/>
                <w:color w:val="000000"/>
                <w:sz w:val="18"/>
              </w:rPr>
              <w:t>748 555</w:t>
            </w:r>
          </w:p>
        </w:tc>
        <w:tc>
          <w:tcPr>
            <w:tcW w:w="583" w:type="pct"/>
            <w:tcBorders>
              <w:top w:val="nil"/>
              <w:left w:val="nil"/>
              <w:bottom w:val="nil"/>
              <w:right w:val="nil"/>
            </w:tcBorders>
            <w:shd w:val="clear" w:color="auto" w:fill="auto"/>
            <w:noWrap/>
            <w:vAlign w:val="bottom"/>
            <w:hideMark/>
          </w:tcPr>
          <w:p w14:paraId="52586BF8" w14:textId="77777777" w:rsidR="0079162D" w:rsidRDefault="0079162D">
            <w:pPr>
              <w:jc w:val="right"/>
              <w:rPr>
                <w:rFonts w:ascii="Cambria" w:hAnsi="Cambria" w:cs="Arial"/>
                <w:color w:val="000000"/>
                <w:sz w:val="18"/>
                <w:szCs w:val="18"/>
              </w:rPr>
            </w:pPr>
            <w:r>
              <w:rPr>
                <w:rFonts w:ascii="Cambria" w:hAnsi="Cambria"/>
                <w:color w:val="000000"/>
                <w:sz w:val="18"/>
              </w:rPr>
              <w:t>2 058 381</w:t>
            </w:r>
          </w:p>
        </w:tc>
        <w:tc>
          <w:tcPr>
            <w:tcW w:w="808" w:type="pct"/>
            <w:tcBorders>
              <w:top w:val="nil"/>
              <w:left w:val="nil"/>
              <w:bottom w:val="nil"/>
              <w:right w:val="nil"/>
            </w:tcBorders>
            <w:shd w:val="clear" w:color="auto" w:fill="auto"/>
            <w:noWrap/>
            <w:vAlign w:val="bottom"/>
            <w:hideMark/>
          </w:tcPr>
          <w:p w14:paraId="2532DC1E" w14:textId="77777777" w:rsidR="0079162D" w:rsidRDefault="0079162D">
            <w:pPr>
              <w:jc w:val="right"/>
              <w:rPr>
                <w:rFonts w:ascii="Cambria" w:hAnsi="Cambria" w:cs="Arial"/>
                <w:color w:val="000000"/>
                <w:sz w:val="18"/>
                <w:szCs w:val="18"/>
              </w:rPr>
            </w:pPr>
            <w:r>
              <w:rPr>
                <w:rFonts w:ascii="Cambria" w:hAnsi="Cambria"/>
                <w:color w:val="000000"/>
                <w:sz w:val="18"/>
              </w:rPr>
              <w:t>274,98%</w:t>
            </w:r>
          </w:p>
        </w:tc>
      </w:tr>
      <w:tr w:rsidR="0079162D" w14:paraId="2B121403" w14:textId="77777777" w:rsidTr="0081438B">
        <w:trPr>
          <w:trHeight w:val="240"/>
        </w:trPr>
        <w:tc>
          <w:tcPr>
            <w:tcW w:w="1675" w:type="pct"/>
            <w:tcBorders>
              <w:top w:val="nil"/>
              <w:left w:val="nil"/>
              <w:bottom w:val="nil"/>
              <w:right w:val="nil"/>
            </w:tcBorders>
            <w:shd w:val="clear" w:color="auto" w:fill="auto"/>
            <w:noWrap/>
            <w:vAlign w:val="bottom"/>
            <w:hideMark/>
          </w:tcPr>
          <w:p w14:paraId="649C8979" w14:textId="77777777" w:rsidR="0079162D" w:rsidRDefault="0079162D">
            <w:pPr>
              <w:rPr>
                <w:rFonts w:ascii="Cambria" w:hAnsi="Cambria" w:cs="Arial"/>
                <w:color w:val="000000"/>
                <w:sz w:val="18"/>
                <w:szCs w:val="18"/>
              </w:rPr>
            </w:pPr>
            <w:r>
              <w:rPr>
                <w:rFonts w:ascii="Cambria" w:hAnsi="Cambria"/>
                <w:color w:val="000000"/>
                <w:sz w:val="18"/>
              </w:rPr>
              <w:t>Résultat pour la période</w:t>
            </w:r>
          </w:p>
        </w:tc>
        <w:tc>
          <w:tcPr>
            <w:tcW w:w="967" w:type="pct"/>
            <w:tcBorders>
              <w:top w:val="nil"/>
              <w:left w:val="nil"/>
              <w:bottom w:val="nil"/>
              <w:right w:val="nil"/>
            </w:tcBorders>
            <w:shd w:val="clear" w:color="auto" w:fill="auto"/>
            <w:noWrap/>
            <w:vAlign w:val="bottom"/>
            <w:hideMark/>
          </w:tcPr>
          <w:p w14:paraId="6452DFD1" w14:textId="77777777" w:rsidR="0079162D" w:rsidRDefault="0079162D">
            <w:pPr>
              <w:jc w:val="right"/>
              <w:rPr>
                <w:rFonts w:ascii="Cambria" w:hAnsi="Cambria" w:cs="Arial"/>
                <w:color w:val="000000"/>
                <w:sz w:val="18"/>
                <w:szCs w:val="18"/>
              </w:rPr>
            </w:pPr>
            <w:r>
              <w:rPr>
                <w:rFonts w:ascii="Cambria" w:hAnsi="Cambria"/>
                <w:color w:val="000000"/>
                <w:sz w:val="18"/>
              </w:rPr>
              <w:t>2 128 669</w:t>
            </w:r>
          </w:p>
        </w:tc>
        <w:tc>
          <w:tcPr>
            <w:tcW w:w="967" w:type="pct"/>
            <w:tcBorders>
              <w:top w:val="nil"/>
              <w:left w:val="nil"/>
              <w:bottom w:val="nil"/>
              <w:right w:val="nil"/>
            </w:tcBorders>
            <w:shd w:val="clear" w:color="auto" w:fill="auto"/>
            <w:noWrap/>
            <w:vAlign w:val="bottom"/>
            <w:hideMark/>
          </w:tcPr>
          <w:p w14:paraId="5A612E3D" w14:textId="77777777" w:rsidR="0079162D" w:rsidRDefault="0079162D">
            <w:pPr>
              <w:jc w:val="right"/>
              <w:rPr>
                <w:rFonts w:ascii="Cambria" w:hAnsi="Cambria" w:cs="Arial"/>
                <w:color w:val="000000"/>
                <w:sz w:val="18"/>
                <w:szCs w:val="18"/>
              </w:rPr>
            </w:pPr>
            <w:r>
              <w:rPr>
                <w:rFonts w:ascii="Cambria" w:hAnsi="Cambria"/>
                <w:color w:val="000000"/>
                <w:sz w:val="18"/>
              </w:rPr>
              <w:t>615 687</w:t>
            </w:r>
          </w:p>
        </w:tc>
        <w:tc>
          <w:tcPr>
            <w:tcW w:w="583" w:type="pct"/>
            <w:tcBorders>
              <w:top w:val="nil"/>
              <w:left w:val="nil"/>
              <w:bottom w:val="nil"/>
              <w:right w:val="nil"/>
            </w:tcBorders>
            <w:shd w:val="clear" w:color="auto" w:fill="auto"/>
            <w:noWrap/>
            <w:vAlign w:val="bottom"/>
            <w:hideMark/>
          </w:tcPr>
          <w:p w14:paraId="5D37C7C7" w14:textId="77777777" w:rsidR="0079162D" w:rsidRDefault="0079162D">
            <w:pPr>
              <w:jc w:val="right"/>
              <w:rPr>
                <w:rFonts w:ascii="Cambria" w:hAnsi="Cambria" w:cs="Arial"/>
                <w:color w:val="000000"/>
                <w:sz w:val="18"/>
                <w:szCs w:val="18"/>
              </w:rPr>
            </w:pPr>
            <w:r>
              <w:rPr>
                <w:rFonts w:ascii="Cambria" w:hAnsi="Cambria"/>
                <w:color w:val="000000"/>
                <w:sz w:val="18"/>
              </w:rPr>
              <w:t>1 512 982</w:t>
            </w:r>
          </w:p>
        </w:tc>
        <w:tc>
          <w:tcPr>
            <w:tcW w:w="808" w:type="pct"/>
            <w:tcBorders>
              <w:top w:val="nil"/>
              <w:left w:val="nil"/>
              <w:bottom w:val="nil"/>
              <w:right w:val="nil"/>
            </w:tcBorders>
            <w:shd w:val="clear" w:color="auto" w:fill="auto"/>
            <w:noWrap/>
            <w:vAlign w:val="bottom"/>
            <w:hideMark/>
          </w:tcPr>
          <w:p w14:paraId="3FF81388" w14:textId="77777777" w:rsidR="0079162D" w:rsidRDefault="0079162D">
            <w:pPr>
              <w:jc w:val="right"/>
              <w:rPr>
                <w:rFonts w:ascii="Cambria" w:hAnsi="Cambria" w:cs="Arial"/>
                <w:color w:val="000000"/>
                <w:sz w:val="18"/>
                <w:szCs w:val="18"/>
              </w:rPr>
            </w:pPr>
            <w:r>
              <w:rPr>
                <w:rFonts w:ascii="Cambria" w:hAnsi="Cambria"/>
                <w:color w:val="000000"/>
                <w:sz w:val="18"/>
              </w:rPr>
              <w:t>245,74%</w:t>
            </w:r>
          </w:p>
        </w:tc>
      </w:tr>
    </w:tbl>
    <w:p w14:paraId="679E4942" w14:textId="77777777" w:rsidR="00DC7A59" w:rsidRDefault="00DC7A59" w:rsidP="00F75C34">
      <w:pPr>
        <w:spacing w:after="200" w:line="276" w:lineRule="auto"/>
        <w:jc w:val="both"/>
        <w:rPr>
          <w:rFonts w:ascii="Cambria" w:hAnsi="Cambria"/>
          <w:sz w:val="22"/>
          <w:szCs w:val="22"/>
        </w:rPr>
      </w:pPr>
    </w:p>
    <w:p w14:paraId="1997AE4A" w14:textId="7A566653" w:rsidR="00F75C34" w:rsidRPr="00C17031" w:rsidRDefault="00F75C34" w:rsidP="008A28F5">
      <w:pPr>
        <w:spacing w:line="276" w:lineRule="auto"/>
        <w:jc w:val="both"/>
        <w:rPr>
          <w:rFonts w:ascii="Cambria" w:hAnsi="Cambria"/>
          <w:sz w:val="22"/>
          <w:szCs w:val="22"/>
        </w:rPr>
      </w:pPr>
      <w:r>
        <w:rPr>
          <w:rFonts w:ascii="Cambria" w:hAnsi="Cambria"/>
          <w:sz w:val="22"/>
        </w:rPr>
        <w:t xml:space="preserve">Le chiffre d'affaires des six premiers mois de 2021 a augmenté de 31,5% par rapport à celui de la période précédente, marquant une augmentation de 2 767 000 euros, en raison de la levée progressive des restrictions imposées par la pandémie de Covid-19. </w:t>
      </w:r>
    </w:p>
    <w:p w14:paraId="6B06023B" w14:textId="55744C9A" w:rsidR="00F75C34" w:rsidRPr="00C17031" w:rsidRDefault="00F75C34" w:rsidP="008A28F5">
      <w:pPr>
        <w:spacing w:line="276" w:lineRule="auto"/>
        <w:jc w:val="both"/>
        <w:rPr>
          <w:rFonts w:ascii="Cambria" w:hAnsi="Cambria"/>
          <w:sz w:val="22"/>
          <w:szCs w:val="22"/>
        </w:rPr>
      </w:pPr>
      <w:r>
        <w:rPr>
          <w:rFonts w:ascii="Cambria" w:hAnsi="Cambria"/>
          <w:sz w:val="22"/>
        </w:rPr>
        <w:t xml:space="preserve">Partant d'un résultat avant impôts de 2 807 000 euros (749 000 euros pour la période 1.01.2020 - 30.06.2020), le résultat final de la période est de 2 129 000 euros (616 000 euros pour la période 1.01.2020 - 30.06.2020). </w:t>
      </w:r>
    </w:p>
    <w:p w14:paraId="609077DC" w14:textId="7464644A" w:rsidR="00F75C34" w:rsidRDefault="00F75C34" w:rsidP="008A28F5">
      <w:pPr>
        <w:spacing w:line="276" w:lineRule="auto"/>
        <w:jc w:val="both"/>
        <w:rPr>
          <w:rFonts w:ascii="Cambria" w:hAnsi="Cambria"/>
          <w:sz w:val="22"/>
          <w:szCs w:val="22"/>
        </w:rPr>
      </w:pPr>
      <w:r>
        <w:rPr>
          <w:rFonts w:ascii="Cambria" w:hAnsi="Cambria"/>
          <w:sz w:val="22"/>
        </w:rPr>
        <w:t>Le compte de résultat reclassé de la société par rapport à celui de la même période en 2020 est le suivant :</w:t>
      </w:r>
    </w:p>
    <w:tbl>
      <w:tblPr>
        <w:tblW w:w="5098" w:type="pct"/>
        <w:tblCellMar>
          <w:left w:w="70" w:type="dxa"/>
          <w:right w:w="70" w:type="dxa"/>
        </w:tblCellMar>
        <w:tblLook w:val="04A0" w:firstRow="1" w:lastRow="0" w:firstColumn="1" w:lastColumn="0" w:noHBand="0" w:noVBand="1"/>
      </w:tblPr>
      <w:tblGrid>
        <w:gridCol w:w="3801"/>
        <w:gridCol w:w="1267"/>
        <w:gridCol w:w="782"/>
        <w:gridCol w:w="1272"/>
        <w:gridCol w:w="782"/>
        <w:gridCol w:w="1003"/>
        <w:gridCol w:w="920"/>
      </w:tblGrid>
      <w:tr w:rsidR="003A0332" w14:paraId="5BEB5EEA" w14:textId="77777777" w:rsidTr="003A0332">
        <w:trPr>
          <w:trHeight w:val="495"/>
        </w:trPr>
        <w:tc>
          <w:tcPr>
            <w:tcW w:w="1729" w:type="pct"/>
            <w:tcBorders>
              <w:top w:val="single" w:sz="4" w:space="0" w:color="0070C0"/>
              <w:left w:val="nil"/>
              <w:bottom w:val="single" w:sz="8" w:space="0" w:color="0070C0"/>
              <w:right w:val="nil"/>
            </w:tcBorders>
            <w:shd w:val="clear" w:color="auto" w:fill="auto"/>
            <w:noWrap/>
            <w:vAlign w:val="bottom"/>
            <w:hideMark/>
          </w:tcPr>
          <w:p w14:paraId="5595FCF0" w14:textId="77777777" w:rsidR="003A0332" w:rsidRDefault="003A0332" w:rsidP="003A0332">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796" w:type="pct"/>
            <w:tcBorders>
              <w:top w:val="single" w:sz="4" w:space="0" w:color="0070C0"/>
              <w:left w:val="nil"/>
              <w:bottom w:val="single" w:sz="8" w:space="0" w:color="0070C0"/>
              <w:right w:val="nil"/>
            </w:tcBorders>
            <w:shd w:val="clear" w:color="auto" w:fill="auto"/>
            <w:vAlign w:val="bottom"/>
            <w:hideMark/>
          </w:tcPr>
          <w:p w14:paraId="761574DA" w14:textId="77777777" w:rsidR="003A0332" w:rsidRDefault="003A0332" w:rsidP="003A0332">
            <w:pPr>
              <w:jc w:val="center"/>
              <w:rPr>
                <w:rFonts w:ascii="Cambria" w:hAnsi="Cambria" w:cs="Arial"/>
                <w:b/>
                <w:bCs/>
                <w:color w:val="000000"/>
                <w:sz w:val="18"/>
                <w:szCs w:val="18"/>
              </w:rPr>
            </w:pPr>
            <w:r>
              <w:rPr>
                <w:rFonts w:ascii="Cambria" w:hAnsi="Cambria"/>
                <w:b/>
                <w:color w:val="000000"/>
                <w:sz w:val="18"/>
              </w:rPr>
              <w:t xml:space="preserve">1er janvier 2021 - </w:t>
            </w:r>
            <w:r>
              <w:rPr>
                <w:rFonts w:ascii="Cambria" w:hAnsi="Cambria"/>
                <w:b/>
                <w:bCs/>
                <w:color w:val="000000"/>
                <w:sz w:val="18"/>
                <w:szCs w:val="18"/>
              </w:rPr>
              <w:br/>
            </w:r>
            <w:r>
              <w:rPr>
                <w:rFonts w:ascii="Cambria" w:hAnsi="Cambria"/>
                <w:b/>
                <w:color w:val="000000"/>
                <w:sz w:val="18"/>
              </w:rPr>
              <w:t>30 juin 2021</w:t>
            </w:r>
          </w:p>
        </w:tc>
        <w:tc>
          <w:tcPr>
            <w:tcW w:w="331" w:type="pct"/>
            <w:tcBorders>
              <w:top w:val="single" w:sz="4" w:space="0" w:color="0070C0"/>
              <w:left w:val="nil"/>
              <w:bottom w:val="single" w:sz="8" w:space="0" w:color="0070C0"/>
              <w:right w:val="nil"/>
            </w:tcBorders>
            <w:shd w:val="clear" w:color="auto" w:fill="auto"/>
            <w:vAlign w:val="bottom"/>
            <w:hideMark/>
          </w:tcPr>
          <w:p w14:paraId="3030BE17" w14:textId="77777777" w:rsidR="003A0332" w:rsidRDefault="003A0332" w:rsidP="003A0332">
            <w:pPr>
              <w:rPr>
                <w:rFonts w:ascii="Cambria" w:hAnsi="Cambria" w:cs="Arial"/>
                <w:b/>
                <w:bCs/>
                <w:i/>
                <w:iCs/>
                <w:color w:val="000000"/>
                <w:sz w:val="18"/>
                <w:szCs w:val="18"/>
              </w:rPr>
            </w:pPr>
            <w:r>
              <w:rPr>
                <w:rFonts w:ascii="Cambria" w:hAnsi="Cambria"/>
                <w:b/>
                <w:i/>
                <w:color w:val="000000"/>
                <w:sz w:val="18"/>
              </w:rPr>
              <w:t>% des revenus</w:t>
            </w:r>
          </w:p>
        </w:tc>
        <w:tc>
          <w:tcPr>
            <w:tcW w:w="798" w:type="pct"/>
            <w:tcBorders>
              <w:top w:val="single" w:sz="4" w:space="0" w:color="0070C0"/>
              <w:left w:val="nil"/>
              <w:bottom w:val="single" w:sz="8" w:space="0" w:color="0070C0"/>
              <w:right w:val="nil"/>
            </w:tcBorders>
            <w:shd w:val="clear" w:color="auto" w:fill="auto"/>
            <w:vAlign w:val="bottom"/>
            <w:hideMark/>
          </w:tcPr>
          <w:p w14:paraId="58F94B99" w14:textId="77777777" w:rsidR="003A0332" w:rsidRDefault="003A0332" w:rsidP="003A0332">
            <w:pPr>
              <w:jc w:val="center"/>
              <w:rPr>
                <w:rFonts w:ascii="Cambria" w:hAnsi="Cambria" w:cs="Arial"/>
                <w:b/>
                <w:bCs/>
                <w:color w:val="000000"/>
                <w:sz w:val="18"/>
                <w:szCs w:val="18"/>
              </w:rPr>
            </w:pPr>
            <w:r>
              <w:rPr>
                <w:rFonts w:ascii="Cambria" w:hAnsi="Cambria"/>
                <w:b/>
                <w:color w:val="000000"/>
                <w:sz w:val="18"/>
              </w:rPr>
              <w:t xml:space="preserve">1er janvier 2020 - </w:t>
            </w:r>
            <w:r>
              <w:rPr>
                <w:rFonts w:ascii="Cambria" w:hAnsi="Cambria"/>
                <w:b/>
                <w:bCs/>
                <w:color w:val="000000"/>
                <w:sz w:val="18"/>
                <w:szCs w:val="18"/>
              </w:rPr>
              <w:br/>
            </w:r>
            <w:r>
              <w:rPr>
                <w:rFonts w:ascii="Cambria" w:hAnsi="Cambria"/>
                <w:b/>
                <w:color w:val="000000"/>
                <w:sz w:val="18"/>
              </w:rPr>
              <w:t>30 juin 2020</w:t>
            </w:r>
          </w:p>
        </w:tc>
        <w:tc>
          <w:tcPr>
            <w:tcW w:w="331" w:type="pct"/>
            <w:tcBorders>
              <w:top w:val="single" w:sz="4" w:space="0" w:color="0070C0"/>
              <w:left w:val="nil"/>
              <w:bottom w:val="single" w:sz="8" w:space="0" w:color="0070C0"/>
              <w:right w:val="nil"/>
            </w:tcBorders>
            <w:shd w:val="clear" w:color="auto" w:fill="auto"/>
            <w:vAlign w:val="bottom"/>
            <w:hideMark/>
          </w:tcPr>
          <w:p w14:paraId="6ED62537" w14:textId="77777777" w:rsidR="003A0332" w:rsidRDefault="003A0332" w:rsidP="003A0332">
            <w:pPr>
              <w:rPr>
                <w:rFonts w:ascii="Cambria" w:hAnsi="Cambria" w:cs="Arial"/>
                <w:b/>
                <w:bCs/>
                <w:i/>
                <w:iCs/>
                <w:color w:val="000000"/>
                <w:sz w:val="18"/>
                <w:szCs w:val="18"/>
              </w:rPr>
            </w:pPr>
            <w:r>
              <w:rPr>
                <w:rFonts w:ascii="Cambria" w:hAnsi="Cambria"/>
                <w:b/>
                <w:i/>
                <w:color w:val="000000"/>
                <w:sz w:val="18"/>
              </w:rPr>
              <w:t>% des revenus</w:t>
            </w:r>
          </w:p>
        </w:tc>
        <w:tc>
          <w:tcPr>
            <w:tcW w:w="508" w:type="pct"/>
            <w:tcBorders>
              <w:top w:val="single" w:sz="4" w:space="0" w:color="0070C0"/>
              <w:left w:val="nil"/>
              <w:bottom w:val="single" w:sz="8" w:space="0" w:color="0070C0"/>
              <w:right w:val="nil"/>
            </w:tcBorders>
            <w:shd w:val="clear" w:color="auto" w:fill="auto"/>
          </w:tcPr>
          <w:p w14:paraId="285E99C1" w14:textId="68201504" w:rsidR="003A0332" w:rsidRDefault="003A0332" w:rsidP="003A0332">
            <w:pPr>
              <w:jc w:val="center"/>
              <w:rPr>
                <w:rFonts w:ascii="Cambria" w:hAnsi="Cambria" w:cs="Arial"/>
                <w:b/>
                <w:bCs/>
                <w:color w:val="000000"/>
                <w:sz w:val="18"/>
                <w:szCs w:val="18"/>
              </w:rPr>
            </w:pPr>
            <w:r>
              <w:rPr>
                <w:rFonts w:ascii="Cambria" w:hAnsi="Cambria"/>
                <w:b/>
                <w:color w:val="000000"/>
                <w:sz w:val="18"/>
              </w:rPr>
              <w:t>Variations</w:t>
            </w:r>
          </w:p>
        </w:tc>
        <w:tc>
          <w:tcPr>
            <w:tcW w:w="507" w:type="pct"/>
            <w:tcBorders>
              <w:top w:val="single" w:sz="4" w:space="0" w:color="0070C0"/>
              <w:left w:val="nil"/>
              <w:bottom w:val="single" w:sz="8" w:space="0" w:color="0070C0"/>
              <w:right w:val="nil"/>
            </w:tcBorders>
            <w:shd w:val="clear" w:color="auto" w:fill="auto"/>
          </w:tcPr>
          <w:p w14:paraId="503D54CF" w14:textId="31D31FD5" w:rsidR="003A0332" w:rsidRDefault="003A0332" w:rsidP="003A0332">
            <w:pPr>
              <w:jc w:val="center"/>
              <w:rPr>
                <w:rFonts w:ascii="Cambria" w:hAnsi="Cambria" w:cs="Arial"/>
                <w:b/>
                <w:bCs/>
                <w:color w:val="000000"/>
                <w:sz w:val="18"/>
                <w:szCs w:val="18"/>
              </w:rPr>
            </w:pPr>
            <w:r>
              <w:rPr>
                <w:rFonts w:ascii="Cambria" w:hAnsi="Cambria"/>
                <w:b/>
                <w:color w:val="000000"/>
                <w:sz w:val="18"/>
              </w:rPr>
              <w:t>Variation en %</w:t>
            </w:r>
          </w:p>
        </w:tc>
      </w:tr>
      <w:tr w:rsidR="003A0332" w14:paraId="589404CB" w14:textId="77777777" w:rsidTr="003A0332">
        <w:trPr>
          <w:trHeight w:val="228"/>
        </w:trPr>
        <w:tc>
          <w:tcPr>
            <w:tcW w:w="1729" w:type="pct"/>
            <w:tcBorders>
              <w:top w:val="nil"/>
              <w:left w:val="nil"/>
              <w:bottom w:val="nil"/>
              <w:right w:val="nil"/>
            </w:tcBorders>
            <w:shd w:val="clear" w:color="auto" w:fill="auto"/>
            <w:noWrap/>
            <w:vAlign w:val="bottom"/>
            <w:hideMark/>
          </w:tcPr>
          <w:p w14:paraId="6FA52F6A" w14:textId="77777777" w:rsidR="003A0332" w:rsidRDefault="003A0332" w:rsidP="003A0332">
            <w:pPr>
              <w:jc w:val="center"/>
              <w:rPr>
                <w:rFonts w:ascii="Cambria" w:hAnsi="Cambria" w:cs="Arial"/>
                <w:b/>
                <w:bCs/>
                <w:color w:val="000000"/>
                <w:sz w:val="18"/>
                <w:szCs w:val="18"/>
              </w:rPr>
            </w:pPr>
          </w:p>
        </w:tc>
        <w:tc>
          <w:tcPr>
            <w:tcW w:w="796" w:type="pct"/>
            <w:tcBorders>
              <w:top w:val="nil"/>
              <w:left w:val="nil"/>
              <w:bottom w:val="nil"/>
              <w:right w:val="nil"/>
            </w:tcBorders>
            <w:shd w:val="clear" w:color="auto" w:fill="auto"/>
            <w:vAlign w:val="bottom"/>
            <w:hideMark/>
          </w:tcPr>
          <w:p w14:paraId="2F18F1BE" w14:textId="77777777" w:rsidR="003A0332" w:rsidRDefault="003A0332" w:rsidP="003A0332">
            <w:pPr>
              <w:rPr>
                <w:sz w:val="20"/>
                <w:szCs w:val="20"/>
              </w:rPr>
            </w:pPr>
          </w:p>
        </w:tc>
        <w:tc>
          <w:tcPr>
            <w:tcW w:w="331" w:type="pct"/>
            <w:tcBorders>
              <w:top w:val="nil"/>
              <w:left w:val="nil"/>
              <w:bottom w:val="nil"/>
              <w:right w:val="nil"/>
            </w:tcBorders>
            <w:shd w:val="clear" w:color="auto" w:fill="auto"/>
            <w:vAlign w:val="bottom"/>
            <w:hideMark/>
          </w:tcPr>
          <w:p w14:paraId="6AFEBFCA" w14:textId="77777777" w:rsidR="003A0332" w:rsidRDefault="003A0332" w:rsidP="003A0332">
            <w:pPr>
              <w:jc w:val="center"/>
              <w:rPr>
                <w:sz w:val="20"/>
                <w:szCs w:val="20"/>
              </w:rPr>
            </w:pPr>
          </w:p>
        </w:tc>
        <w:tc>
          <w:tcPr>
            <w:tcW w:w="798" w:type="pct"/>
            <w:tcBorders>
              <w:top w:val="nil"/>
              <w:left w:val="nil"/>
              <w:bottom w:val="nil"/>
              <w:right w:val="nil"/>
            </w:tcBorders>
            <w:shd w:val="clear" w:color="auto" w:fill="auto"/>
            <w:vAlign w:val="bottom"/>
            <w:hideMark/>
          </w:tcPr>
          <w:p w14:paraId="4A10AA4F" w14:textId="77777777" w:rsidR="003A0332" w:rsidRDefault="003A0332" w:rsidP="003A0332">
            <w:pPr>
              <w:jc w:val="center"/>
              <w:rPr>
                <w:sz w:val="20"/>
                <w:szCs w:val="20"/>
              </w:rPr>
            </w:pPr>
          </w:p>
        </w:tc>
        <w:tc>
          <w:tcPr>
            <w:tcW w:w="331" w:type="pct"/>
            <w:tcBorders>
              <w:top w:val="nil"/>
              <w:left w:val="nil"/>
              <w:bottom w:val="nil"/>
              <w:right w:val="nil"/>
            </w:tcBorders>
            <w:shd w:val="clear" w:color="auto" w:fill="auto"/>
            <w:vAlign w:val="bottom"/>
            <w:hideMark/>
          </w:tcPr>
          <w:p w14:paraId="7C627156" w14:textId="77777777" w:rsidR="003A0332" w:rsidRDefault="003A0332" w:rsidP="003A0332">
            <w:pPr>
              <w:jc w:val="center"/>
              <w:rPr>
                <w:sz w:val="20"/>
                <w:szCs w:val="20"/>
              </w:rPr>
            </w:pPr>
          </w:p>
        </w:tc>
        <w:tc>
          <w:tcPr>
            <w:tcW w:w="508" w:type="pct"/>
            <w:tcBorders>
              <w:top w:val="nil"/>
              <w:left w:val="nil"/>
              <w:bottom w:val="nil"/>
              <w:right w:val="nil"/>
            </w:tcBorders>
            <w:shd w:val="clear" w:color="auto" w:fill="auto"/>
            <w:vAlign w:val="bottom"/>
            <w:hideMark/>
          </w:tcPr>
          <w:p w14:paraId="67A2EBDF" w14:textId="77777777" w:rsidR="003A0332" w:rsidRDefault="003A0332" w:rsidP="003A0332">
            <w:pPr>
              <w:jc w:val="center"/>
              <w:rPr>
                <w:sz w:val="20"/>
                <w:szCs w:val="20"/>
              </w:rPr>
            </w:pPr>
          </w:p>
        </w:tc>
        <w:tc>
          <w:tcPr>
            <w:tcW w:w="507" w:type="pct"/>
            <w:tcBorders>
              <w:top w:val="nil"/>
              <w:left w:val="nil"/>
              <w:bottom w:val="nil"/>
              <w:right w:val="nil"/>
            </w:tcBorders>
            <w:shd w:val="clear" w:color="auto" w:fill="auto"/>
            <w:vAlign w:val="bottom"/>
            <w:hideMark/>
          </w:tcPr>
          <w:p w14:paraId="703FBF1F" w14:textId="77777777" w:rsidR="003A0332" w:rsidRDefault="003A0332" w:rsidP="003A0332">
            <w:pPr>
              <w:jc w:val="center"/>
              <w:rPr>
                <w:sz w:val="20"/>
                <w:szCs w:val="20"/>
              </w:rPr>
            </w:pPr>
          </w:p>
        </w:tc>
      </w:tr>
      <w:tr w:rsidR="003A0332" w14:paraId="7035EB4C" w14:textId="77777777" w:rsidTr="003A0332">
        <w:trPr>
          <w:trHeight w:val="228"/>
        </w:trPr>
        <w:tc>
          <w:tcPr>
            <w:tcW w:w="1729" w:type="pct"/>
            <w:tcBorders>
              <w:top w:val="nil"/>
              <w:left w:val="nil"/>
              <w:bottom w:val="nil"/>
              <w:right w:val="nil"/>
            </w:tcBorders>
            <w:shd w:val="clear" w:color="auto" w:fill="auto"/>
            <w:noWrap/>
            <w:vAlign w:val="bottom"/>
            <w:hideMark/>
          </w:tcPr>
          <w:p w14:paraId="4188B564" w14:textId="77777777" w:rsidR="003A0332" w:rsidRDefault="003A0332" w:rsidP="003A0332">
            <w:pPr>
              <w:rPr>
                <w:rFonts w:ascii="Cambria" w:hAnsi="Cambria" w:cs="Arial"/>
                <w:color w:val="000000"/>
                <w:sz w:val="18"/>
                <w:szCs w:val="18"/>
              </w:rPr>
            </w:pPr>
            <w:r>
              <w:rPr>
                <w:rFonts w:ascii="Cambria" w:hAnsi="Cambria"/>
                <w:color w:val="000000"/>
                <w:sz w:val="18"/>
              </w:rPr>
              <w:t>Revenus des contrats avec les clients</w:t>
            </w:r>
          </w:p>
        </w:tc>
        <w:tc>
          <w:tcPr>
            <w:tcW w:w="796" w:type="pct"/>
            <w:tcBorders>
              <w:top w:val="nil"/>
              <w:left w:val="nil"/>
              <w:bottom w:val="single" w:sz="4" w:space="0" w:color="auto"/>
              <w:right w:val="nil"/>
            </w:tcBorders>
            <w:shd w:val="clear" w:color="auto" w:fill="auto"/>
            <w:noWrap/>
            <w:vAlign w:val="bottom"/>
            <w:hideMark/>
          </w:tcPr>
          <w:p w14:paraId="34A38868" w14:textId="77777777" w:rsidR="003A0332" w:rsidRDefault="003A0332" w:rsidP="003A0332">
            <w:pPr>
              <w:jc w:val="right"/>
              <w:rPr>
                <w:rFonts w:ascii="Cambria" w:hAnsi="Cambria" w:cs="Arial"/>
                <w:color w:val="000000"/>
                <w:sz w:val="18"/>
                <w:szCs w:val="18"/>
              </w:rPr>
            </w:pPr>
            <w:r>
              <w:rPr>
                <w:rFonts w:ascii="Cambria" w:hAnsi="Cambria"/>
                <w:color w:val="000000"/>
                <w:sz w:val="18"/>
              </w:rPr>
              <w:t>11 549 795</w:t>
            </w:r>
          </w:p>
        </w:tc>
        <w:tc>
          <w:tcPr>
            <w:tcW w:w="331" w:type="pct"/>
            <w:tcBorders>
              <w:top w:val="nil"/>
              <w:left w:val="nil"/>
              <w:bottom w:val="single" w:sz="4" w:space="0" w:color="auto"/>
              <w:right w:val="nil"/>
            </w:tcBorders>
            <w:shd w:val="clear" w:color="auto" w:fill="auto"/>
            <w:noWrap/>
            <w:vAlign w:val="bottom"/>
            <w:hideMark/>
          </w:tcPr>
          <w:p w14:paraId="00B4D7C6"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100%</w:t>
            </w:r>
          </w:p>
        </w:tc>
        <w:tc>
          <w:tcPr>
            <w:tcW w:w="798" w:type="pct"/>
            <w:tcBorders>
              <w:top w:val="nil"/>
              <w:left w:val="nil"/>
              <w:bottom w:val="single" w:sz="4" w:space="0" w:color="auto"/>
              <w:right w:val="nil"/>
            </w:tcBorders>
            <w:shd w:val="clear" w:color="000000" w:fill="FFFFFF"/>
            <w:noWrap/>
            <w:vAlign w:val="bottom"/>
            <w:hideMark/>
          </w:tcPr>
          <w:p w14:paraId="34C6802D" w14:textId="77777777" w:rsidR="003A0332" w:rsidRDefault="003A0332" w:rsidP="003A0332">
            <w:pPr>
              <w:jc w:val="right"/>
              <w:rPr>
                <w:rFonts w:ascii="Cambria" w:hAnsi="Cambria" w:cs="Arial"/>
                <w:color w:val="000000"/>
                <w:sz w:val="18"/>
                <w:szCs w:val="18"/>
              </w:rPr>
            </w:pPr>
            <w:r>
              <w:rPr>
                <w:rFonts w:ascii="Cambria" w:hAnsi="Cambria"/>
                <w:color w:val="000000"/>
                <w:sz w:val="18"/>
              </w:rPr>
              <w:t>8 782 789</w:t>
            </w:r>
          </w:p>
        </w:tc>
        <w:tc>
          <w:tcPr>
            <w:tcW w:w="331" w:type="pct"/>
            <w:tcBorders>
              <w:top w:val="nil"/>
              <w:left w:val="nil"/>
              <w:bottom w:val="single" w:sz="4" w:space="0" w:color="auto"/>
              <w:right w:val="nil"/>
            </w:tcBorders>
            <w:shd w:val="clear" w:color="auto" w:fill="auto"/>
            <w:noWrap/>
            <w:vAlign w:val="bottom"/>
            <w:hideMark/>
          </w:tcPr>
          <w:p w14:paraId="3E300F7F"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100%</w:t>
            </w:r>
          </w:p>
        </w:tc>
        <w:tc>
          <w:tcPr>
            <w:tcW w:w="508" w:type="pct"/>
            <w:tcBorders>
              <w:top w:val="nil"/>
              <w:left w:val="nil"/>
              <w:bottom w:val="single" w:sz="4" w:space="0" w:color="auto"/>
              <w:right w:val="nil"/>
            </w:tcBorders>
            <w:shd w:val="clear" w:color="auto" w:fill="auto"/>
            <w:noWrap/>
            <w:vAlign w:val="bottom"/>
            <w:hideMark/>
          </w:tcPr>
          <w:p w14:paraId="54CF559D" w14:textId="77777777" w:rsidR="003A0332" w:rsidRDefault="003A0332" w:rsidP="003A0332">
            <w:pPr>
              <w:jc w:val="right"/>
              <w:rPr>
                <w:rFonts w:ascii="Cambria" w:hAnsi="Cambria" w:cs="Arial"/>
                <w:color w:val="000000"/>
                <w:sz w:val="18"/>
                <w:szCs w:val="18"/>
              </w:rPr>
            </w:pPr>
            <w:r>
              <w:rPr>
                <w:rFonts w:ascii="Cambria" w:hAnsi="Cambria"/>
                <w:color w:val="000000"/>
                <w:sz w:val="18"/>
              </w:rPr>
              <w:t>2 767 006</w:t>
            </w:r>
          </w:p>
        </w:tc>
        <w:tc>
          <w:tcPr>
            <w:tcW w:w="507" w:type="pct"/>
            <w:tcBorders>
              <w:top w:val="nil"/>
              <w:left w:val="nil"/>
              <w:bottom w:val="single" w:sz="4" w:space="0" w:color="auto"/>
              <w:right w:val="nil"/>
            </w:tcBorders>
            <w:shd w:val="clear" w:color="auto" w:fill="auto"/>
            <w:noWrap/>
            <w:vAlign w:val="bottom"/>
            <w:hideMark/>
          </w:tcPr>
          <w:p w14:paraId="31143B5B" w14:textId="77777777" w:rsidR="003A0332" w:rsidRDefault="003A0332" w:rsidP="003A0332">
            <w:pPr>
              <w:jc w:val="right"/>
              <w:rPr>
                <w:rFonts w:ascii="Cambria" w:hAnsi="Cambria" w:cs="Arial"/>
                <w:color w:val="000000"/>
                <w:sz w:val="18"/>
                <w:szCs w:val="18"/>
              </w:rPr>
            </w:pPr>
            <w:r>
              <w:rPr>
                <w:rFonts w:ascii="Cambria" w:hAnsi="Cambria"/>
                <w:color w:val="000000"/>
                <w:sz w:val="18"/>
              </w:rPr>
              <w:t>32%</w:t>
            </w:r>
          </w:p>
        </w:tc>
      </w:tr>
      <w:tr w:rsidR="003A0332" w14:paraId="0F368227" w14:textId="77777777" w:rsidTr="003A0332">
        <w:trPr>
          <w:trHeight w:val="228"/>
        </w:trPr>
        <w:tc>
          <w:tcPr>
            <w:tcW w:w="1729" w:type="pct"/>
            <w:tcBorders>
              <w:top w:val="nil"/>
              <w:left w:val="nil"/>
              <w:bottom w:val="nil"/>
              <w:right w:val="nil"/>
            </w:tcBorders>
            <w:shd w:val="clear" w:color="auto" w:fill="auto"/>
            <w:noWrap/>
            <w:vAlign w:val="bottom"/>
            <w:hideMark/>
          </w:tcPr>
          <w:p w14:paraId="5F90A942" w14:textId="77777777" w:rsidR="003A0332" w:rsidRDefault="003A0332" w:rsidP="003A0332">
            <w:pPr>
              <w:rPr>
                <w:rFonts w:ascii="Cambria" w:hAnsi="Cambria" w:cs="Arial"/>
                <w:b/>
                <w:bCs/>
                <w:color w:val="000000"/>
                <w:sz w:val="18"/>
                <w:szCs w:val="18"/>
              </w:rPr>
            </w:pPr>
            <w:r>
              <w:rPr>
                <w:rFonts w:ascii="Cambria" w:hAnsi="Cambria"/>
                <w:b/>
                <w:color w:val="000000"/>
                <w:sz w:val="18"/>
              </w:rPr>
              <w:t>REVENUS</w:t>
            </w:r>
          </w:p>
        </w:tc>
        <w:tc>
          <w:tcPr>
            <w:tcW w:w="796" w:type="pct"/>
            <w:tcBorders>
              <w:top w:val="nil"/>
              <w:left w:val="nil"/>
              <w:bottom w:val="nil"/>
              <w:right w:val="nil"/>
            </w:tcBorders>
            <w:shd w:val="clear" w:color="auto" w:fill="auto"/>
            <w:noWrap/>
            <w:vAlign w:val="bottom"/>
            <w:hideMark/>
          </w:tcPr>
          <w:p w14:paraId="4BBA437C" w14:textId="77777777" w:rsidR="003A0332" w:rsidRDefault="003A0332" w:rsidP="003A0332">
            <w:pPr>
              <w:jc w:val="right"/>
              <w:rPr>
                <w:rFonts w:ascii="Cambria" w:hAnsi="Cambria" w:cs="Arial"/>
                <w:b/>
                <w:bCs/>
                <w:color w:val="000000"/>
                <w:sz w:val="18"/>
                <w:szCs w:val="18"/>
              </w:rPr>
            </w:pPr>
            <w:r>
              <w:rPr>
                <w:rFonts w:ascii="Cambria" w:hAnsi="Cambria"/>
                <w:b/>
                <w:color w:val="000000"/>
                <w:sz w:val="18"/>
              </w:rPr>
              <w:t>11 549 795</w:t>
            </w:r>
          </w:p>
        </w:tc>
        <w:tc>
          <w:tcPr>
            <w:tcW w:w="331" w:type="pct"/>
            <w:tcBorders>
              <w:top w:val="single" w:sz="4" w:space="0" w:color="auto"/>
              <w:left w:val="nil"/>
              <w:bottom w:val="nil"/>
              <w:right w:val="nil"/>
            </w:tcBorders>
            <w:shd w:val="clear" w:color="auto" w:fill="auto"/>
            <w:noWrap/>
            <w:vAlign w:val="bottom"/>
            <w:hideMark/>
          </w:tcPr>
          <w:p w14:paraId="43BBC536"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100%</w:t>
            </w:r>
          </w:p>
        </w:tc>
        <w:tc>
          <w:tcPr>
            <w:tcW w:w="798" w:type="pct"/>
            <w:tcBorders>
              <w:top w:val="nil"/>
              <w:left w:val="nil"/>
              <w:bottom w:val="nil"/>
              <w:right w:val="nil"/>
            </w:tcBorders>
            <w:shd w:val="clear" w:color="000000" w:fill="FFFFFF"/>
            <w:noWrap/>
            <w:vAlign w:val="bottom"/>
            <w:hideMark/>
          </w:tcPr>
          <w:p w14:paraId="1589884E" w14:textId="77777777" w:rsidR="003A0332" w:rsidRDefault="003A0332" w:rsidP="003A0332">
            <w:pPr>
              <w:jc w:val="right"/>
              <w:rPr>
                <w:rFonts w:ascii="Cambria" w:hAnsi="Cambria" w:cs="Arial"/>
                <w:b/>
                <w:bCs/>
                <w:color w:val="000000"/>
                <w:sz w:val="18"/>
                <w:szCs w:val="18"/>
              </w:rPr>
            </w:pPr>
            <w:r>
              <w:rPr>
                <w:rFonts w:ascii="Cambria" w:hAnsi="Cambria"/>
                <w:b/>
                <w:color w:val="000000"/>
                <w:sz w:val="18"/>
              </w:rPr>
              <w:t>8 782 789</w:t>
            </w:r>
          </w:p>
        </w:tc>
        <w:tc>
          <w:tcPr>
            <w:tcW w:w="331" w:type="pct"/>
            <w:tcBorders>
              <w:top w:val="single" w:sz="4" w:space="0" w:color="auto"/>
              <w:left w:val="nil"/>
              <w:bottom w:val="nil"/>
              <w:right w:val="nil"/>
            </w:tcBorders>
            <w:shd w:val="clear" w:color="auto" w:fill="auto"/>
            <w:noWrap/>
            <w:vAlign w:val="bottom"/>
            <w:hideMark/>
          </w:tcPr>
          <w:p w14:paraId="583ECA16"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100%</w:t>
            </w:r>
          </w:p>
        </w:tc>
        <w:tc>
          <w:tcPr>
            <w:tcW w:w="508" w:type="pct"/>
            <w:tcBorders>
              <w:top w:val="nil"/>
              <w:left w:val="nil"/>
              <w:bottom w:val="nil"/>
              <w:right w:val="nil"/>
            </w:tcBorders>
            <w:shd w:val="clear" w:color="auto" w:fill="auto"/>
            <w:noWrap/>
            <w:vAlign w:val="bottom"/>
            <w:hideMark/>
          </w:tcPr>
          <w:p w14:paraId="7BDB9F35" w14:textId="77777777" w:rsidR="003A0332" w:rsidRDefault="003A0332" w:rsidP="003A0332">
            <w:pPr>
              <w:jc w:val="right"/>
              <w:rPr>
                <w:rFonts w:ascii="Cambria" w:hAnsi="Cambria" w:cs="Arial"/>
                <w:b/>
                <w:bCs/>
                <w:color w:val="000000"/>
                <w:sz w:val="18"/>
                <w:szCs w:val="18"/>
              </w:rPr>
            </w:pPr>
            <w:r>
              <w:rPr>
                <w:rFonts w:ascii="Cambria" w:hAnsi="Cambria"/>
                <w:b/>
                <w:color w:val="000000"/>
                <w:sz w:val="18"/>
              </w:rPr>
              <w:t>2 767 006</w:t>
            </w:r>
          </w:p>
        </w:tc>
        <w:tc>
          <w:tcPr>
            <w:tcW w:w="507" w:type="pct"/>
            <w:tcBorders>
              <w:top w:val="nil"/>
              <w:left w:val="nil"/>
              <w:bottom w:val="nil"/>
              <w:right w:val="nil"/>
            </w:tcBorders>
            <w:shd w:val="clear" w:color="auto" w:fill="auto"/>
            <w:noWrap/>
            <w:vAlign w:val="bottom"/>
            <w:hideMark/>
          </w:tcPr>
          <w:p w14:paraId="33779FB4" w14:textId="77777777" w:rsidR="003A0332" w:rsidRDefault="003A0332" w:rsidP="003A0332">
            <w:pPr>
              <w:jc w:val="right"/>
              <w:rPr>
                <w:rFonts w:ascii="Cambria" w:hAnsi="Cambria" w:cs="Arial"/>
                <w:b/>
                <w:bCs/>
                <w:color w:val="000000"/>
                <w:sz w:val="18"/>
                <w:szCs w:val="18"/>
              </w:rPr>
            </w:pPr>
            <w:r>
              <w:rPr>
                <w:rFonts w:ascii="Cambria" w:hAnsi="Cambria"/>
                <w:b/>
                <w:color w:val="000000"/>
                <w:sz w:val="18"/>
              </w:rPr>
              <w:t>32%</w:t>
            </w:r>
          </w:p>
        </w:tc>
      </w:tr>
      <w:tr w:rsidR="003A0332" w14:paraId="48F0497E" w14:textId="77777777" w:rsidTr="003A0332">
        <w:trPr>
          <w:trHeight w:val="228"/>
        </w:trPr>
        <w:tc>
          <w:tcPr>
            <w:tcW w:w="1729" w:type="pct"/>
            <w:tcBorders>
              <w:top w:val="nil"/>
              <w:left w:val="nil"/>
              <w:bottom w:val="nil"/>
              <w:right w:val="nil"/>
            </w:tcBorders>
            <w:shd w:val="clear" w:color="auto" w:fill="auto"/>
            <w:noWrap/>
            <w:vAlign w:val="bottom"/>
            <w:hideMark/>
          </w:tcPr>
          <w:p w14:paraId="392BC9C4" w14:textId="77777777" w:rsidR="003A0332" w:rsidRDefault="003A0332" w:rsidP="003A0332">
            <w:pPr>
              <w:jc w:val="right"/>
              <w:rPr>
                <w:rFonts w:ascii="Cambria" w:hAnsi="Cambria" w:cs="Arial"/>
                <w:b/>
                <w:bCs/>
                <w:color w:val="000000"/>
                <w:sz w:val="18"/>
                <w:szCs w:val="18"/>
              </w:rPr>
            </w:pPr>
          </w:p>
        </w:tc>
        <w:tc>
          <w:tcPr>
            <w:tcW w:w="796" w:type="pct"/>
            <w:tcBorders>
              <w:top w:val="nil"/>
              <w:left w:val="nil"/>
              <w:bottom w:val="nil"/>
              <w:right w:val="nil"/>
            </w:tcBorders>
            <w:shd w:val="clear" w:color="auto" w:fill="auto"/>
            <w:noWrap/>
            <w:vAlign w:val="bottom"/>
            <w:hideMark/>
          </w:tcPr>
          <w:p w14:paraId="5FE83580" w14:textId="77777777" w:rsidR="003A0332" w:rsidRDefault="003A0332" w:rsidP="003A0332">
            <w:pPr>
              <w:rPr>
                <w:sz w:val="20"/>
                <w:szCs w:val="20"/>
              </w:rPr>
            </w:pPr>
          </w:p>
        </w:tc>
        <w:tc>
          <w:tcPr>
            <w:tcW w:w="331" w:type="pct"/>
            <w:tcBorders>
              <w:top w:val="nil"/>
              <w:left w:val="nil"/>
              <w:bottom w:val="nil"/>
              <w:right w:val="nil"/>
            </w:tcBorders>
            <w:shd w:val="clear" w:color="auto" w:fill="auto"/>
            <w:noWrap/>
            <w:vAlign w:val="bottom"/>
            <w:hideMark/>
          </w:tcPr>
          <w:p w14:paraId="6A594C69" w14:textId="77777777" w:rsidR="003A0332" w:rsidRDefault="003A0332" w:rsidP="003A0332">
            <w:pPr>
              <w:rPr>
                <w:sz w:val="20"/>
                <w:szCs w:val="20"/>
              </w:rPr>
            </w:pPr>
          </w:p>
        </w:tc>
        <w:tc>
          <w:tcPr>
            <w:tcW w:w="798" w:type="pct"/>
            <w:tcBorders>
              <w:top w:val="nil"/>
              <w:left w:val="nil"/>
              <w:bottom w:val="nil"/>
              <w:right w:val="nil"/>
            </w:tcBorders>
            <w:shd w:val="clear" w:color="000000" w:fill="FFFFFF"/>
            <w:noWrap/>
            <w:vAlign w:val="bottom"/>
            <w:hideMark/>
          </w:tcPr>
          <w:p w14:paraId="7ED53AF9" w14:textId="77777777" w:rsidR="003A0332" w:rsidRDefault="003A0332" w:rsidP="003A0332">
            <w:pPr>
              <w:rPr>
                <w:rFonts w:ascii="Cambria" w:hAnsi="Cambria" w:cs="Arial"/>
                <w:color w:val="000000"/>
                <w:sz w:val="18"/>
                <w:szCs w:val="18"/>
              </w:rPr>
            </w:pPr>
            <w:r>
              <w:rPr>
                <w:rFonts w:ascii="Cambria" w:hAnsi="Cambria"/>
                <w:color w:val="000000"/>
                <w:sz w:val="18"/>
              </w:rPr>
              <w:t> </w:t>
            </w:r>
          </w:p>
        </w:tc>
        <w:tc>
          <w:tcPr>
            <w:tcW w:w="331" w:type="pct"/>
            <w:tcBorders>
              <w:top w:val="nil"/>
              <w:left w:val="nil"/>
              <w:bottom w:val="nil"/>
              <w:right w:val="nil"/>
            </w:tcBorders>
            <w:shd w:val="clear" w:color="auto" w:fill="auto"/>
            <w:noWrap/>
            <w:vAlign w:val="bottom"/>
            <w:hideMark/>
          </w:tcPr>
          <w:p w14:paraId="554452B3" w14:textId="77777777" w:rsidR="003A0332" w:rsidRDefault="003A0332" w:rsidP="003A0332">
            <w:pPr>
              <w:rPr>
                <w:rFonts w:ascii="Cambria" w:hAnsi="Cambria" w:cs="Arial"/>
                <w:color w:val="000000"/>
                <w:sz w:val="18"/>
                <w:szCs w:val="18"/>
              </w:rPr>
            </w:pPr>
          </w:p>
        </w:tc>
        <w:tc>
          <w:tcPr>
            <w:tcW w:w="508" w:type="pct"/>
            <w:tcBorders>
              <w:top w:val="nil"/>
              <w:left w:val="nil"/>
              <w:bottom w:val="nil"/>
              <w:right w:val="nil"/>
            </w:tcBorders>
            <w:shd w:val="clear" w:color="auto" w:fill="auto"/>
            <w:noWrap/>
            <w:vAlign w:val="bottom"/>
            <w:hideMark/>
          </w:tcPr>
          <w:p w14:paraId="39257AC3" w14:textId="77777777" w:rsidR="003A0332" w:rsidRDefault="003A0332" w:rsidP="003A0332">
            <w:pPr>
              <w:jc w:val="center"/>
              <w:rPr>
                <w:sz w:val="20"/>
                <w:szCs w:val="20"/>
              </w:rPr>
            </w:pPr>
          </w:p>
        </w:tc>
        <w:tc>
          <w:tcPr>
            <w:tcW w:w="507" w:type="pct"/>
            <w:tcBorders>
              <w:top w:val="nil"/>
              <w:left w:val="nil"/>
              <w:bottom w:val="nil"/>
              <w:right w:val="nil"/>
            </w:tcBorders>
            <w:shd w:val="clear" w:color="auto" w:fill="auto"/>
            <w:noWrap/>
            <w:vAlign w:val="bottom"/>
            <w:hideMark/>
          </w:tcPr>
          <w:p w14:paraId="6DE36D98" w14:textId="77777777" w:rsidR="003A0332" w:rsidRDefault="003A0332" w:rsidP="003A0332">
            <w:pPr>
              <w:rPr>
                <w:sz w:val="20"/>
                <w:szCs w:val="20"/>
              </w:rPr>
            </w:pPr>
          </w:p>
        </w:tc>
      </w:tr>
      <w:tr w:rsidR="003A0332" w14:paraId="64238735" w14:textId="77777777" w:rsidTr="003A0332">
        <w:trPr>
          <w:trHeight w:val="228"/>
        </w:trPr>
        <w:tc>
          <w:tcPr>
            <w:tcW w:w="1729" w:type="pct"/>
            <w:tcBorders>
              <w:top w:val="nil"/>
              <w:left w:val="nil"/>
              <w:bottom w:val="nil"/>
              <w:right w:val="nil"/>
            </w:tcBorders>
            <w:shd w:val="clear" w:color="auto" w:fill="auto"/>
            <w:noWrap/>
            <w:vAlign w:val="bottom"/>
            <w:hideMark/>
          </w:tcPr>
          <w:p w14:paraId="4540488E" w14:textId="77777777" w:rsidR="003A0332" w:rsidRDefault="003A0332" w:rsidP="003A0332">
            <w:pPr>
              <w:rPr>
                <w:rFonts w:ascii="Cambria" w:hAnsi="Cambria" w:cs="Arial"/>
                <w:color w:val="000000"/>
                <w:sz w:val="18"/>
                <w:szCs w:val="18"/>
              </w:rPr>
            </w:pPr>
            <w:r>
              <w:rPr>
                <w:rFonts w:ascii="Cambria" w:hAnsi="Cambria"/>
                <w:color w:val="000000"/>
                <w:sz w:val="18"/>
              </w:rPr>
              <w:t>Autres revenus</w:t>
            </w:r>
          </w:p>
        </w:tc>
        <w:tc>
          <w:tcPr>
            <w:tcW w:w="796" w:type="pct"/>
            <w:tcBorders>
              <w:top w:val="nil"/>
              <w:left w:val="nil"/>
              <w:bottom w:val="nil"/>
              <w:right w:val="nil"/>
            </w:tcBorders>
            <w:shd w:val="clear" w:color="auto" w:fill="auto"/>
            <w:noWrap/>
            <w:vAlign w:val="bottom"/>
            <w:hideMark/>
          </w:tcPr>
          <w:p w14:paraId="4E2C4AFF" w14:textId="77777777" w:rsidR="003A0332" w:rsidRDefault="003A0332" w:rsidP="003A0332">
            <w:pPr>
              <w:jc w:val="right"/>
              <w:rPr>
                <w:rFonts w:ascii="Cambria" w:hAnsi="Cambria" w:cs="Arial"/>
                <w:color w:val="000000"/>
                <w:sz w:val="18"/>
                <w:szCs w:val="18"/>
              </w:rPr>
            </w:pPr>
            <w:r>
              <w:rPr>
                <w:rFonts w:ascii="Cambria" w:hAnsi="Cambria"/>
                <w:color w:val="000000"/>
                <w:sz w:val="18"/>
              </w:rPr>
              <w:t>378 086</w:t>
            </w:r>
          </w:p>
        </w:tc>
        <w:tc>
          <w:tcPr>
            <w:tcW w:w="331" w:type="pct"/>
            <w:tcBorders>
              <w:top w:val="nil"/>
              <w:left w:val="nil"/>
              <w:bottom w:val="nil"/>
              <w:right w:val="nil"/>
            </w:tcBorders>
            <w:shd w:val="clear" w:color="auto" w:fill="auto"/>
            <w:noWrap/>
            <w:vAlign w:val="bottom"/>
            <w:hideMark/>
          </w:tcPr>
          <w:p w14:paraId="1446098F"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3%</w:t>
            </w:r>
          </w:p>
        </w:tc>
        <w:tc>
          <w:tcPr>
            <w:tcW w:w="798" w:type="pct"/>
            <w:tcBorders>
              <w:top w:val="nil"/>
              <w:left w:val="nil"/>
              <w:bottom w:val="nil"/>
              <w:right w:val="nil"/>
            </w:tcBorders>
            <w:shd w:val="clear" w:color="000000" w:fill="FFFFFF"/>
            <w:noWrap/>
            <w:vAlign w:val="bottom"/>
            <w:hideMark/>
          </w:tcPr>
          <w:p w14:paraId="5DE95C29" w14:textId="77777777" w:rsidR="003A0332" w:rsidRDefault="003A0332" w:rsidP="003A0332">
            <w:pPr>
              <w:jc w:val="right"/>
              <w:rPr>
                <w:rFonts w:ascii="Cambria" w:hAnsi="Cambria" w:cs="Arial"/>
                <w:color w:val="000000"/>
                <w:sz w:val="18"/>
                <w:szCs w:val="18"/>
              </w:rPr>
            </w:pPr>
            <w:r>
              <w:rPr>
                <w:rFonts w:ascii="Cambria" w:hAnsi="Cambria"/>
                <w:color w:val="000000"/>
                <w:sz w:val="18"/>
              </w:rPr>
              <w:t>998 921</w:t>
            </w:r>
          </w:p>
        </w:tc>
        <w:tc>
          <w:tcPr>
            <w:tcW w:w="331" w:type="pct"/>
            <w:tcBorders>
              <w:top w:val="nil"/>
              <w:left w:val="nil"/>
              <w:bottom w:val="nil"/>
              <w:right w:val="nil"/>
            </w:tcBorders>
            <w:shd w:val="clear" w:color="auto" w:fill="auto"/>
            <w:noWrap/>
            <w:vAlign w:val="bottom"/>
            <w:hideMark/>
          </w:tcPr>
          <w:p w14:paraId="5C8166FC"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11%</w:t>
            </w:r>
          </w:p>
        </w:tc>
        <w:tc>
          <w:tcPr>
            <w:tcW w:w="508" w:type="pct"/>
            <w:tcBorders>
              <w:top w:val="nil"/>
              <w:left w:val="nil"/>
              <w:bottom w:val="nil"/>
              <w:right w:val="nil"/>
            </w:tcBorders>
            <w:shd w:val="clear" w:color="auto" w:fill="auto"/>
            <w:noWrap/>
            <w:vAlign w:val="bottom"/>
            <w:hideMark/>
          </w:tcPr>
          <w:p w14:paraId="6B58C66F" w14:textId="77777777" w:rsidR="003A0332" w:rsidRDefault="003A0332" w:rsidP="003A0332">
            <w:pPr>
              <w:jc w:val="right"/>
              <w:rPr>
                <w:rFonts w:ascii="Cambria" w:hAnsi="Cambria" w:cs="Arial"/>
                <w:color w:val="000000"/>
                <w:sz w:val="18"/>
                <w:szCs w:val="18"/>
              </w:rPr>
            </w:pPr>
            <w:r>
              <w:rPr>
                <w:rFonts w:ascii="Cambria" w:hAnsi="Cambria"/>
                <w:color w:val="000000"/>
                <w:sz w:val="18"/>
              </w:rPr>
              <w:t>(620 835)</w:t>
            </w:r>
          </w:p>
        </w:tc>
        <w:tc>
          <w:tcPr>
            <w:tcW w:w="507" w:type="pct"/>
            <w:tcBorders>
              <w:top w:val="nil"/>
              <w:left w:val="nil"/>
              <w:bottom w:val="nil"/>
              <w:right w:val="nil"/>
            </w:tcBorders>
            <w:shd w:val="clear" w:color="auto" w:fill="auto"/>
            <w:noWrap/>
            <w:vAlign w:val="bottom"/>
            <w:hideMark/>
          </w:tcPr>
          <w:p w14:paraId="47C177F3" w14:textId="77777777" w:rsidR="003A0332" w:rsidRDefault="003A0332" w:rsidP="003A0332">
            <w:pPr>
              <w:jc w:val="right"/>
              <w:rPr>
                <w:rFonts w:ascii="Cambria" w:hAnsi="Cambria" w:cs="Arial"/>
                <w:color w:val="000000"/>
                <w:sz w:val="18"/>
                <w:szCs w:val="18"/>
              </w:rPr>
            </w:pPr>
            <w:r>
              <w:rPr>
                <w:rFonts w:ascii="Cambria" w:hAnsi="Cambria"/>
                <w:color w:val="000000"/>
                <w:sz w:val="18"/>
              </w:rPr>
              <w:t>-62%</w:t>
            </w:r>
          </w:p>
        </w:tc>
      </w:tr>
      <w:tr w:rsidR="003A0332" w14:paraId="763DF874" w14:textId="77777777" w:rsidTr="003A0332">
        <w:trPr>
          <w:trHeight w:val="228"/>
        </w:trPr>
        <w:tc>
          <w:tcPr>
            <w:tcW w:w="1729" w:type="pct"/>
            <w:tcBorders>
              <w:top w:val="nil"/>
              <w:left w:val="nil"/>
              <w:bottom w:val="nil"/>
              <w:right w:val="nil"/>
            </w:tcBorders>
            <w:shd w:val="clear" w:color="auto" w:fill="auto"/>
            <w:noWrap/>
            <w:vAlign w:val="bottom"/>
            <w:hideMark/>
          </w:tcPr>
          <w:p w14:paraId="4206E59A" w14:textId="77777777" w:rsidR="003A0332" w:rsidRDefault="003A0332" w:rsidP="003A0332">
            <w:pPr>
              <w:jc w:val="right"/>
              <w:rPr>
                <w:rFonts w:ascii="Cambria" w:hAnsi="Cambria" w:cs="Arial"/>
                <w:color w:val="000000"/>
                <w:sz w:val="18"/>
                <w:szCs w:val="18"/>
              </w:rPr>
            </w:pPr>
          </w:p>
        </w:tc>
        <w:tc>
          <w:tcPr>
            <w:tcW w:w="796" w:type="pct"/>
            <w:tcBorders>
              <w:top w:val="nil"/>
              <w:left w:val="nil"/>
              <w:bottom w:val="nil"/>
              <w:right w:val="nil"/>
            </w:tcBorders>
            <w:shd w:val="clear" w:color="auto" w:fill="auto"/>
            <w:noWrap/>
            <w:vAlign w:val="bottom"/>
            <w:hideMark/>
          </w:tcPr>
          <w:p w14:paraId="1DA32D9F" w14:textId="77777777" w:rsidR="003A0332" w:rsidRDefault="003A0332" w:rsidP="003A0332">
            <w:pPr>
              <w:rPr>
                <w:sz w:val="20"/>
                <w:szCs w:val="20"/>
              </w:rPr>
            </w:pPr>
          </w:p>
        </w:tc>
        <w:tc>
          <w:tcPr>
            <w:tcW w:w="331" w:type="pct"/>
            <w:tcBorders>
              <w:top w:val="nil"/>
              <w:left w:val="nil"/>
              <w:bottom w:val="nil"/>
              <w:right w:val="nil"/>
            </w:tcBorders>
            <w:shd w:val="clear" w:color="auto" w:fill="auto"/>
            <w:noWrap/>
            <w:vAlign w:val="bottom"/>
            <w:hideMark/>
          </w:tcPr>
          <w:p w14:paraId="1819FD16" w14:textId="77777777" w:rsidR="003A0332" w:rsidRDefault="003A0332" w:rsidP="003A0332">
            <w:pPr>
              <w:rPr>
                <w:sz w:val="20"/>
                <w:szCs w:val="20"/>
              </w:rPr>
            </w:pPr>
          </w:p>
        </w:tc>
        <w:tc>
          <w:tcPr>
            <w:tcW w:w="798" w:type="pct"/>
            <w:tcBorders>
              <w:top w:val="nil"/>
              <w:left w:val="nil"/>
              <w:bottom w:val="nil"/>
              <w:right w:val="nil"/>
            </w:tcBorders>
            <w:shd w:val="clear" w:color="000000" w:fill="FFFFFF"/>
            <w:noWrap/>
            <w:vAlign w:val="bottom"/>
            <w:hideMark/>
          </w:tcPr>
          <w:p w14:paraId="380F040B" w14:textId="77777777" w:rsidR="003A0332" w:rsidRDefault="003A0332" w:rsidP="003A0332">
            <w:pPr>
              <w:rPr>
                <w:rFonts w:ascii="Cambria" w:hAnsi="Cambria" w:cs="Arial"/>
                <w:color w:val="000000"/>
                <w:sz w:val="18"/>
                <w:szCs w:val="18"/>
              </w:rPr>
            </w:pPr>
            <w:r>
              <w:rPr>
                <w:rFonts w:ascii="Cambria" w:hAnsi="Cambria"/>
                <w:color w:val="000000"/>
                <w:sz w:val="18"/>
              </w:rPr>
              <w:t> </w:t>
            </w:r>
          </w:p>
        </w:tc>
        <w:tc>
          <w:tcPr>
            <w:tcW w:w="331" w:type="pct"/>
            <w:tcBorders>
              <w:top w:val="nil"/>
              <w:left w:val="nil"/>
              <w:bottom w:val="nil"/>
              <w:right w:val="nil"/>
            </w:tcBorders>
            <w:shd w:val="clear" w:color="auto" w:fill="auto"/>
            <w:noWrap/>
            <w:vAlign w:val="bottom"/>
            <w:hideMark/>
          </w:tcPr>
          <w:p w14:paraId="331AE5AD" w14:textId="77777777" w:rsidR="003A0332" w:rsidRDefault="003A0332" w:rsidP="003A0332">
            <w:pPr>
              <w:rPr>
                <w:rFonts w:ascii="Cambria" w:hAnsi="Cambria" w:cs="Arial"/>
                <w:color w:val="000000"/>
                <w:sz w:val="18"/>
                <w:szCs w:val="18"/>
              </w:rPr>
            </w:pPr>
          </w:p>
        </w:tc>
        <w:tc>
          <w:tcPr>
            <w:tcW w:w="508" w:type="pct"/>
            <w:tcBorders>
              <w:top w:val="nil"/>
              <w:left w:val="nil"/>
              <w:bottom w:val="nil"/>
              <w:right w:val="nil"/>
            </w:tcBorders>
            <w:shd w:val="clear" w:color="auto" w:fill="auto"/>
            <w:noWrap/>
            <w:vAlign w:val="bottom"/>
            <w:hideMark/>
          </w:tcPr>
          <w:p w14:paraId="29E9E2DC" w14:textId="77777777" w:rsidR="003A0332" w:rsidRDefault="003A0332" w:rsidP="003A0332">
            <w:pPr>
              <w:jc w:val="center"/>
              <w:rPr>
                <w:sz w:val="20"/>
                <w:szCs w:val="20"/>
              </w:rPr>
            </w:pPr>
          </w:p>
        </w:tc>
        <w:tc>
          <w:tcPr>
            <w:tcW w:w="507" w:type="pct"/>
            <w:tcBorders>
              <w:top w:val="nil"/>
              <w:left w:val="nil"/>
              <w:bottom w:val="nil"/>
              <w:right w:val="nil"/>
            </w:tcBorders>
            <w:shd w:val="clear" w:color="auto" w:fill="auto"/>
            <w:noWrap/>
            <w:vAlign w:val="bottom"/>
            <w:hideMark/>
          </w:tcPr>
          <w:p w14:paraId="0CB0D091" w14:textId="77777777" w:rsidR="003A0332" w:rsidRDefault="003A0332" w:rsidP="003A0332">
            <w:pPr>
              <w:rPr>
                <w:sz w:val="20"/>
                <w:szCs w:val="20"/>
              </w:rPr>
            </w:pPr>
          </w:p>
        </w:tc>
      </w:tr>
      <w:tr w:rsidR="003A0332" w14:paraId="689CCAA0" w14:textId="77777777" w:rsidTr="003A0332">
        <w:trPr>
          <w:trHeight w:val="228"/>
        </w:trPr>
        <w:tc>
          <w:tcPr>
            <w:tcW w:w="1729" w:type="pct"/>
            <w:tcBorders>
              <w:top w:val="nil"/>
              <w:left w:val="nil"/>
              <w:bottom w:val="nil"/>
              <w:right w:val="nil"/>
            </w:tcBorders>
            <w:shd w:val="clear" w:color="auto" w:fill="auto"/>
            <w:noWrap/>
            <w:vAlign w:val="bottom"/>
            <w:hideMark/>
          </w:tcPr>
          <w:p w14:paraId="427179AB" w14:textId="3C27F9D3" w:rsidR="003A0332" w:rsidRDefault="003A0332" w:rsidP="003A0332">
            <w:pPr>
              <w:rPr>
                <w:rFonts w:ascii="Cambria" w:hAnsi="Cambria" w:cs="Arial"/>
                <w:color w:val="000000"/>
                <w:sz w:val="18"/>
                <w:szCs w:val="18"/>
              </w:rPr>
            </w:pPr>
            <w:r>
              <w:rPr>
                <w:rFonts w:ascii="Cambria" w:hAnsi="Cambria"/>
                <w:color w:val="000000"/>
                <w:sz w:val="18"/>
              </w:rPr>
              <w:t>Coûts des matières premières et consommables</w:t>
            </w:r>
          </w:p>
        </w:tc>
        <w:tc>
          <w:tcPr>
            <w:tcW w:w="796" w:type="pct"/>
            <w:tcBorders>
              <w:top w:val="nil"/>
              <w:left w:val="nil"/>
              <w:bottom w:val="nil"/>
              <w:right w:val="nil"/>
            </w:tcBorders>
            <w:shd w:val="clear" w:color="auto" w:fill="auto"/>
            <w:noWrap/>
            <w:vAlign w:val="bottom"/>
            <w:hideMark/>
          </w:tcPr>
          <w:p w14:paraId="165574F5" w14:textId="77777777" w:rsidR="003A0332" w:rsidRDefault="003A0332" w:rsidP="003A0332">
            <w:pPr>
              <w:jc w:val="right"/>
              <w:rPr>
                <w:rFonts w:ascii="Cambria" w:hAnsi="Cambria" w:cs="Arial"/>
                <w:color w:val="000000"/>
                <w:sz w:val="18"/>
                <w:szCs w:val="18"/>
              </w:rPr>
            </w:pPr>
            <w:r>
              <w:rPr>
                <w:rFonts w:ascii="Cambria" w:hAnsi="Cambria"/>
                <w:color w:val="000000"/>
                <w:sz w:val="18"/>
              </w:rPr>
              <w:t>(5 209 797)</w:t>
            </w:r>
          </w:p>
        </w:tc>
        <w:tc>
          <w:tcPr>
            <w:tcW w:w="331" w:type="pct"/>
            <w:tcBorders>
              <w:top w:val="nil"/>
              <w:left w:val="nil"/>
              <w:bottom w:val="nil"/>
              <w:right w:val="nil"/>
            </w:tcBorders>
            <w:shd w:val="clear" w:color="auto" w:fill="auto"/>
            <w:noWrap/>
            <w:vAlign w:val="bottom"/>
            <w:hideMark/>
          </w:tcPr>
          <w:p w14:paraId="67749AB1"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45%</w:t>
            </w:r>
          </w:p>
        </w:tc>
        <w:tc>
          <w:tcPr>
            <w:tcW w:w="798" w:type="pct"/>
            <w:tcBorders>
              <w:top w:val="nil"/>
              <w:left w:val="nil"/>
              <w:bottom w:val="nil"/>
              <w:right w:val="nil"/>
            </w:tcBorders>
            <w:shd w:val="clear" w:color="000000" w:fill="FFFFFF"/>
            <w:noWrap/>
            <w:vAlign w:val="bottom"/>
            <w:hideMark/>
          </w:tcPr>
          <w:p w14:paraId="7F5F6146" w14:textId="77777777" w:rsidR="003A0332" w:rsidRDefault="003A0332" w:rsidP="003A0332">
            <w:pPr>
              <w:jc w:val="right"/>
              <w:rPr>
                <w:rFonts w:ascii="Cambria" w:hAnsi="Cambria" w:cs="Arial"/>
                <w:color w:val="000000"/>
                <w:sz w:val="18"/>
                <w:szCs w:val="18"/>
              </w:rPr>
            </w:pPr>
            <w:r>
              <w:rPr>
                <w:rFonts w:ascii="Cambria" w:hAnsi="Cambria"/>
                <w:color w:val="000000"/>
                <w:sz w:val="18"/>
              </w:rPr>
              <w:t>(5 897 644)</w:t>
            </w:r>
          </w:p>
        </w:tc>
        <w:tc>
          <w:tcPr>
            <w:tcW w:w="331" w:type="pct"/>
            <w:tcBorders>
              <w:top w:val="nil"/>
              <w:left w:val="nil"/>
              <w:bottom w:val="nil"/>
              <w:right w:val="nil"/>
            </w:tcBorders>
            <w:shd w:val="clear" w:color="auto" w:fill="auto"/>
            <w:noWrap/>
            <w:vAlign w:val="bottom"/>
            <w:hideMark/>
          </w:tcPr>
          <w:p w14:paraId="0923A6A1"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67%</w:t>
            </w:r>
          </w:p>
        </w:tc>
        <w:tc>
          <w:tcPr>
            <w:tcW w:w="508" w:type="pct"/>
            <w:tcBorders>
              <w:top w:val="nil"/>
              <w:left w:val="nil"/>
              <w:bottom w:val="nil"/>
              <w:right w:val="nil"/>
            </w:tcBorders>
            <w:shd w:val="clear" w:color="auto" w:fill="auto"/>
            <w:noWrap/>
            <w:vAlign w:val="bottom"/>
            <w:hideMark/>
          </w:tcPr>
          <w:p w14:paraId="37BC2D0E" w14:textId="77777777" w:rsidR="003A0332" w:rsidRDefault="003A0332" w:rsidP="003A0332">
            <w:pPr>
              <w:jc w:val="right"/>
              <w:rPr>
                <w:rFonts w:ascii="Cambria" w:hAnsi="Cambria" w:cs="Arial"/>
                <w:color w:val="000000"/>
                <w:sz w:val="18"/>
                <w:szCs w:val="18"/>
              </w:rPr>
            </w:pPr>
            <w:r>
              <w:rPr>
                <w:rFonts w:ascii="Cambria" w:hAnsi="Cambria"/>
                <w:color w:val="000000"/>
                <w:sz w:val="18"/>
              </w:rPr>
              <w:t>687 847</w:t>
            </w:r>
          </w:p>
        </w:tc>
        <w:tc>
          <w:tcPr>
            <w:tcW w:w="507" w:type="pct"/>
            <w:tcBorders>
              <w:top w:val="nil"/>
              <w:left w:val="nil"/>
              <w:bottom w:val="nil"/>
              <w:right w:val="nil"/>
            </w:tcBorders>
            <w:shd w:val="clear" w:color="auto" w:fill="auto"/>
            <w:noWrap/>
            <w:vAlign w:val="bottom"/>
            <w:hideMark/>
          </w:tcPr>
          <w:p w14:paraId="49193F43" w14:textId="77777777" w:rsidR="003A0332" w:rsidRDefault="003A0332" w:rsidP="003A0332">
            <w:pPr>
              <w:jc w:val="right"/>
              <w:rPr>
                <w:rFonts w:ascii="Cambria" w:hAnsi="Cambria" w:cs="Arial"/>
                <w:color w:val="000000"/>
                <w:sz w:val="18"/>
                <w:szCs w:val="18"/>
              </w:rPr>
            </w:pPr>
            <w:r>
              <w:rPr>
                <w:rFonts w:ascii="Cambria" w:hAnsi="Cambria"/>
                <w:color w:val="000000"/>
                <w:sz w:val="18"/>
              </w:rPr>
              <w:t>-12%</w:t>
            </w:r>
          </w:p>
        </w:tc>
      </w:tr>
      <w:tr w:rsidR="003A0332" w14:paraId="3262230E" w14:textId="77777777" w:rsidTr="003A0332">
        <w:trPr>
          <w:trHeight w:val="228"/>
        </w:trPr>
        <w:tc>
          <w:tcPr>
            <w:tcW w:w="1729" w:type="pct"/>
            <w:tcBorders>
              <w:top w:val="nil"/>
              <w:left w:val="nil"/>
              <w:bottom w:val="nil"/>
              <w:right w:val="nil"/>
            </w:tcBorders>
            <w:shd w:val="clear" w:color="auto" w:fill="auto"/>
            <w:noWrap/>
            <w:vAlign w:val="bottom"/>
            <w:hideMark/>
          </w:tcPr>
          <w:p w14:paraId="62163B6F" w14:textId="77777777" w:rsidR="003A0332" w:rsidRDefault="003A0332" w:rsidP="003A0332">
            <w:pPr>
              <w:rPr>
                <w:rFonts w:ascii="Cambria" w:hAnsi="Cambria" w:cs="Arial"/>
                <w:color w:val="000000"/>
                <w:sz w:val="18"/>
                <w:szCs w:val="18"/>
              </w:rPr>
            </w:pPr>
            <w:r>
              <w:rPr>
                <w:rFonts w:ascii="Cambria" w:hAnsi="Cambria"/>
                <w:color w:val="000000"/>
                <w:sz w:val="18"/>
              </w:rPr>
              <w:t>Coûts de services</w:t>
            </w:r>
          </w:p>
        </w:tc>
        <w:tc>
          <w:tcPr>
            <w:tcW w:w="796" w:type="pct"/>
            <w:tcBorders>
              <w:top w:val="nil"/>
              <w:left w:val="nil"/>
              <w:bottom w:val="nil"/>
              <w:right w:val="nil"/>
            </w:tcBorders>
            <w:shd w:val="clear" w:color="auto" w:fill="auto"/>
            <w:noWrap/>
            <w:vAlign w:val="bottom"/>
            <w:hideMark/>
          </w:tcPr>
          <w:p w14:paraId="09F2ECF7" w14:textId="77777777" w:rsidR="003A0332" w:rsidRDefault="003A0332" w:rsidP="003A0332">
            <w:pPr>
              <w:jc w:val="right"/>
              <w:rPr>
                <w:rFonts w:ascii="Cambria" w:hAnsi="Cambria" w:cs="Arial"/>
                <w:color w:val="000000"/>
                <w:sz w:val="18"/>
                <w:szCs w:val="18"/>
              </w:rPr>
            </w:pPr>
            <w:r>
              <w:rPr>
                <w:rFonts w:ascii="Cambria" w:hAnsi="Cambria"/>
                <w:color w:val="000000"/>
                <w:sz w:val="18"/>
              </w:rPr>
              <w:t>(692 387)</w:t>
            </w:r>
          </w:p>
        </w:tc>
        <w:tc>
          <w:tcPr>
            <w:tcW w:w="331" w:type="pct"/>
            <w:tcBorders>
              <w:top w:val="nil"/>
              <w:left w:val="nil"/>
              <w:bottom w:val="nil"/>
              <w:right w:val="nil"/>
            </w:tcBorders>
            <w:shd w:val="clear" w:color="auto" w:fill="auto"/>
            <w:noWrap/>
            <w:vAlign w:val="bottom"/>
            <w:hideMark/>
          </w:tcPr>
          <w:p w14:paraId="477978D3"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6%</w:t>
            </w:r>
          </w:p>
        </w:tc>
        <w:tc>
          <w:tcPr>
            <w:tcW w:w="798" w:type="pct"/>
            <w:tcBorders>
              <w:top w:val="nil"/>
              <w:left w:val="nil"/>
              <w:bottom w:val="nil"/>
              <w:right w:val="nil"/>
            </w:tcBorders>
            <w:shd w:val="clear" w:color="000000" w:fill="FFFFFF"/>
            <w:noWrap/>
            <w:vAlign w:val="bottom"/>
            <w:hideMark/>
          </w:tcPr>
          <w:p w14:paraId="1A1D203B" w14:textId="77777777" w:rsidR="003A0332" w:rsidRDefault="003A0332" w:rsidP="003A0332">
            <w:pPr>
              <w:jc w:val="right"/>
              <w:rPr>
                <w:rFonts w:ascii="Cambria" w:hAnsi="Cambria" w:cs="Arial"/>
                <w:color w:val="000000"/>
                <w:sz w:val="18"/>
                <w:szCs w:val="18"/>
              </w:rPr>
            </w:pPr>
            <w:r>
              <w:rPr>
                <w:rFonts w:ascii="Cambria" w:hAnsi="Cambria"/>
                <w:color w:val="000000"/>
                <w:sz w:val="18"/>
              </w:rPr>
              <w:t>(611 843)</w:t>
            </w:r>
          </w:p>
        </w:tc>
        <w:tc>
          <w:tcPr>
            <w:tcW w:w="331" w:type="pct"/>
            <w:tcBorders>
              <w:top w:val="nil"/>
              <w:left w:val="nil"/>
              <w:bottom w:val="nil"/>
              <w:right w:val="nil"/>
            </w:tcBorders>
            <w:shd w:val="clear" w:color="auto" w:fill="auto"/>
            <w:noWrap/>
            <w:vAlign w:val="bottom"/>
            <w:hideMark/>
          </w:tcPr>
          <w:p w14:paraId="6A6A2849"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7%</w:t>
            </w:r>
          </w:p>
        </w:tc>
        <w:tc>
          <w:tcPr>
            <w:tcW w:w="508" w:type="pct"/>
            <w:tcBorders>
              <w:top w:val="nil"/>
              <w:left w:val="nil"/>
              <w:bottom w:val="nil"/>
              <w:right w:val="nil"/>
            </w:tcBorders>
            <w:shd w:val="clear" w:color="auto" w:fill="auto"/>
            <w:noWrap/>
            <w:vAlign w:val="bottom"/>
            <w:hideMark/>
          </w:tcPr>
          <w:p w14:paraId="059862D9" w14:textId="77777777" w:rsidR="003A0332" w:rsidRDefault="003A0332" w:rsidP="003A0332">
            <w:pPr>
              <w:jc w:val="right"/>
              <w:rPr>
                <w:rFonts w:ascii="Cambria" w:hAnsi="Cambria" w:cs="Arial"/>
                <w:color w:val="000000"/>
                <w:sz w:val="18"/>
                <w:szCs w:val="18"/>
              </w:rPr>
            </w:pPr>
            <w:r>
              <w:rPr>
                <w:rFonts w:ascii="Cambria" w:hAnsi="Cambria"/>
                <w:color w:val="000000"/>
                <w:sz w:val="18"/>
              </w:rPr>
              <w:t>(80 545)</w:t>
            </w:r>
          </w:p>
        </w:tc>
        <w:tc>
          <w:tcPr>
            <w:tcW w:w="507" w:type="pct"/>
            <w:tcBorders>
              <w:top w:val="nil"/>
              <w:left w:val="nil"/>
              <w:bottom w:val="nil"/>
              <w:right w:val="nil"/>
            </w:tcBorders>
            <w:shd w:val="clear" w:color="auto" w:fill="auto"/>
            <w:noWrap/>
            <w:vAlign w:val="bottom"/>
            <w:hideMark/>
          </w:tcPr>
          <w:p w14:paraId="4214C8A4" w14:textId="77777777" w:rsidR="003A0332" w:rsidRDefault="003A0332" w:rsidP="003A0332">
            <w:pPr>
              <w:jc w:val="right"/>
              <w:rPr>
                <w:rFonts w:ascii="Cambria" w:hAnsi="Cambria" w:cs="Arial"/>
                <w:color w:val="000000"/>
                <w:sz w:val="18"/>
                <w:szCs w:val="18"/>
              </w:rPr>
            </w:pPr>
            <w:r>
              <w:rPr>
                <w:rFonts w:ascii="Cambria" w:hAnsi="Cambria"/>
                <w:color w:val="000000"/>
                <w:sz w:val="18"/>
              </w:rPr>
              <w:t>13%</w:t>
            </w:r>
          </w:p>
        </w:tc>
      </w:tr>
      <w:tr w:rsidR="003A0332" w14:paraId="6809C73B" w14:textId="77777777" w:rsidTr="003A0332">
        <w:trPr>
          <w:trHeight w:val="228"/>
        </w:trPr>
        <w:tc>
          <w:tcPr>
            <w:tcW w:w="1729" w:type="pct"/>
            <w:tcBorders>
              <w:top w:val="nil"/>
              <w:left w:val="nil"/>
              <w:bottom w:val="nil"/>
              <w:right w:val="nil"/>
            </w:tcBorders>
            <w:shd w:val="clear" w:color="auto" w:fill="auto"/>
            <w:noWrap/>
            <w:vAlign w:val="bottom"/>
            <w:hideMark/>
          </w:tcPr>
          <w:p w14:paraId="79E7A401" w14:textId="77777777" w:rsidR="003A0332" w:rsidRDefault="003A0332" w:rsidP="003A0332">
            <w:pPr>
              <w:rPr>
                <w:rFonts w:ascii="Cambria" w:hAnsi="Cambria" w:cs="Arial"/>
                <w:color w:val="000000"/>
                <w:sz w:val="18"/>
                <w:szCs w:val="18"/>
              </w:rPr>
            </w:pPr>
            <w:r>
              <w:rPr>
                <w:rFonts w:ascii="Cambria" w:hAnsi="Cambria"/>
                <w:color w:val="000000"/>
                <w:sz w:val="18"/>
              </w:rPr>
              <w:t>Charges de personnel</w:t>
            </w:r>
          </w:p>
        </w:tc>
        <w:tc>
          <w:tcPr>
            <w:tcW w:w="796" w:type="pct"/>
            <w:tcBorders>
              <w:top w:val="nil"/>
              <w:left w:val="nil"/>
              <w:bottom w:val="nil"/>
              <w:right w:val="nil"/>
            </w:tcBorders>
            <w:shd w:val="clear" w:color="auto" w:fill="auto"/>
            <w:noWrap/>
            <w:vAlign w:val="bottom"/>
            <w:hideMark/>
          </w:tcPr>
          <w:p w14:paraId="468BA4FC" w14:textId="77777777" w:rsidR="003A0332" w:rsidRDefault="003A0332" w:rsidP="003A0332">
            <w:pPr>
              <w:jc w:val="right"/>
              <w:rPr>
                <w:rFonts w:ascii="Cambria" w:hAnsi="Cambria" w:cs="Arial"/>
                <w:color w:val="000000"/>
                <w:sz w:val="18"/>
                <w:szCs w:val="18"/>
              </w:rPr>
            </w:pPr>
            <w:r>
              <w:rPr>
                <w:rFonts w:ascii="Cambria" w:hAnsi="Cambria"/>
                <w:color w:val="000000"/>
                <w:sz w:val="18"/>
              </w:rPr>
              <w:t>(1 960 403)</w:t>
            </w:r>
          </w:p>
        </w:tc>
        <w:tc>
          <w:tcPr>
            <w:tcW w:w="331" w:type="pct"/>
            <w:tcBorders>
              <w:top w:val="nil"/>
              <w:left w:val="nil"/>
              <w:bottom w:val="nil"/>
              <w:right w:val="nil"/>
            </w:tcBorders>
            <w:shd w:val="clear" w:color="auto" w:fill="auto"/>
            <w:noWrap/>
            <w:vAlign w:val="bottom"/>
            <w:hideMark/>
          </w:tcPr>
          <w:p w14:paraId="764543AA"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17%</w:t>
            </w:r>
          </w:p>
        </w:tc>
        <w:tc>
          <w:tcPr>
            <w:tcW w:w="798" w:type="pct"/>
            <w:tcBorders>
              <w:top w:val="nil"/>
              <w:left w:val="nil"/>
              <w:bottom w:val="nil"/>
              <w:right w:val="nil"/>
            </w:tcBorders>
            <w:shd w:val="clear" w:color="000000" w:fill="FFFFFF"/>
            <w:noWrap/>
            <w:vAlign w:val="bottom"/>
            <w:hideMark/>
          </w:tcPr>
          <w:p w14:paraId="5A41D514" w14:textId="77777777" w:rsidR="003A0332" w:rsidRDefault="003A0332" w:rsidP="003A0332">
            <w:pPr>
              <w:jc w:val="right"/>
              <w:rPr>
                <w:rFonts w:ascii="Cambria" w:hAnsi="Cambria" w:cs="Arial"/>
                <w:color w:val="000000"/>
                <w:sz w:val="18"/>
                <w:szCs w:val="18"/>
              </w:rPr>
            </w:pPr>
            <w:r>
              <w:rPr>
                <w:rFonts w:ascii="Cambria" w:hAnsi="Cambria"/>
                <w:color w:val="000000"/>
                <w:sz w:val="18"/>
              </w:rPr>
              <w:t>(1 570 671)</w:t>
            </w:r>
          </w:p>
        </w:tc>
        <w:tc>
          <w:tcPr>
            <w:tcW w:w="331" w:type="pct"/>
            <w:tcBorders>
              <w:top w:val="nil"/>
              <w:left w:val="nil"/>
              <w:bottom w:val="nil"/>
              <w:right w:val="nil"/>
            </w:tcBorders>
            <w:shd w:val="clear" w:color="auto" w:fill="auto"/>
            <w:noWrap/>
            <w:vAlign w:val="bottom"/>
            <w:hideMark/>
          </w:tcPr>
          <w:p w14:paraId="2A985814"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18%</w:t>
            </w:r>
          </w:p>
        </w:tc>
        <w:tc>
          <w:tcPr>
            <w:tcW w:w="508" w:type="pct"/>
            <w:tcBorders>
              <w:top w:val="nil"/>
              <w:left w:val="nil"/>
              <w:bottom w:val="nil"/>
              <w:right w:val="nil"/>
            </w:tcBorders>
            <w:shd w:val="clear" w:color="auto" w:fill="auto"/>
            <w:noWrap/>
            <w:vAlign w:val="bottom"/>
            <w:hideMark/>
          </w:tcPr>
          <w:p w14:paraId="3177BBC0" w14:textId="77777777" w:rsidR="003A0332" w:rsidRDefault="003A0332" w:rsidP="003A0332">
            <w:pPr>
              <w:jc w:val="right"/>
              <w:rPr>
                <w:rFonts w:ascii="Cambria" w:hAnsi="Cambria" w:cs="Arial"/>
                <w:color w:val="000000"/>
                <w:sz w:val="18"/>
                <w:szCs w:val="18"/>
              </w:rPr>
            </w:pPr>
            <w:r>
              <w:rPr>
                <w:rFonts w:ascii="Cambria" w:hAnsi="Cambria"/>
                <w:color w:val="000000"/>
                <w:sz w:val="18"/>
              </w:rPr>
              <w:t>(389 731)</w:t>
            </w:r>
          </w:p>
        </w:tc>
        <w:tc>
          <w:tcPr>
            <w:tcW w:w="507" w:type="pct"/>
            <w:tcBorders>
              <w:top w:val="nil"/>
              <w:left w:val="nil"/>
              <w:bottom w:val="nil"/>
              <w:right w:val="nil"/>
            </w:tcBorders>
            <w:shd w:val="clear" w:color="auto" w:fill="auto"/>
            <w:noWrap/>
            <w:vAlign w:val="bottom"/>
            <w:hideMark/>
          </w:tcPr>
          <w:p w14:paraId="596A8F56" w14:textId="77777777" w:rsidR="003A0332" w:rsidRDefault="003A0332" w:rsidP="003A0332">
            <w:pPr>
              <w:jc w:val="right"/>
              <w:rPr>
                <w:rFonts w:ascii="Cambria" w:hAnsi="Cambria" w:cs="Arial"/>
                <w:color w:val="000000"/>
                <w:sz w:val="18"/>
                <w:szCs w:val="18"/>
              </w:rPr>
            </w:pPr>
            <w:r>
              <w:rPr>
                <w:rFonts w:ascii="Cambria" w:hAnsi="Cambria"/>
                <w:color w:val="000000"/>
                <w:sz w:val="18"/>
              </w:rPr>
              <w:t>25%</w:t>
            </w:r>
          </w:p>
        </w:tc>
      </w:tr>
      <w:tr w:rsidR="003A0332" w14:paraId="21690334" w14:textId="77777777" w:rsidTr="003A0332">
        <w:trPr>
          <w:trHeight w:val="228"/>
        </w:trPr>
        <w:tc>
          <w:tcPr>
            <w:tcW w:w="1729" w:type="pct"/>
            <w:tcBorders>
              <w:top w:val="nil"/>
              <w:left w:val="nil"/>
              <w:bottom w:val="nil"/>
              <w:right w:val="nil"/>
            </w:tcBorders>
            <w:shd w:val="clear" w:color="auto" w:fill="auto"/>
            <w:noWrap/>
            <w:vAlign w:val="bottom"/>
            <w:hideMark/>
          </w:tcPr>
          <w:p w14:paraId="5A2D1F56" w14:textId="77777777" w:rsidR="003A0332" w:rsidRDefault="003A0332" w:rsidP="003A0332">
            <w:pPr>
              <w:rPr>
                <w:rFonts w:ascii="Cambria" w:hAnsi="Cambria" w:cs="Arial"/>
                <w:color w:val="000000"/>
                <w:sz w:val="18"/>
                <w:szCs w:val="18"/>
              </w:rPr>
            </w:pPr>
            <w:r>
              <w:rPr>
                <w:rFonts w:ascii="Cambria" w:hAnsi="Cambria"/>
                <w:color w:val="000000"/>
                <w:sz w:val="18"/>
              </w:rPr>
              <w:t>Autres coûts d’exploitation</w:t>
            </w:r>
          </w:p>
        </w:tc>
        <w:tc>
          <w:tcPr>
            <w:tcW w:w="796" w:type="pct"/>
            <w:tcBorders>
              <w:top w:val="nil"/>
              <w:left w:val="nil"/>
              <w:bottom w:val="single" w:sz="4" w:space="0" w:color="auto"/>
              <w:right w:val="nil"/>
            </w:tcBorders>
            <w:shd w:val="clear" w:color="auto" w:fill="auto"/>
            <w:noWrap/>
            <w:vAlign w:val="bottom"/>
            <w:hideMark/>
          </w:tcPr>
          <w:p w14:paraId="10181E95" w14:textId="77777777" w:rsidR="003A0332" w:rsidRDefault="003A0332" w:rsidP="003A0332">
            <w:pPr>
              <w:jc w:val="right"/>
              <w:rPr>
                <w:rFonts w:ascii="Cambria" w:hAnsi="Cambria" w:cs="Arial"/>
                <w:color w:val="000000"/>
                <w:sz w:val="18"/>
                <w:szCs w:val="18"/>
              </w:rPr>
            </w:pPr>
            <w:r>
              <w:rPr>
                <w:rFonts w:ascii="Cambria" w:hAnsi="Cambria"/>
                <w:color w:val="000000"/>
                <w:sz w:val="18"/>
              </w:rPr>
              <w:t>(109 975)</w:t>
            </w:r>
          </w:p>
        </w:tc>
        <w:tc>
          <w:tcPr>
            <w:tcW w:w="331" w:type="pct"/>
            <w:tcBorders>
              <w:top w:val="nil"/>
              <w:left w:val="nil"/>
              <w:bottom w:val="single" w:sz="4" w:space="0" w:color="auto"/>
              <w:right w:val="nil"/>
            </w:tcBorders>
            <w:shd w:val="clear" w:color="auto" w:fill="auto"/>
            <w:noWrap/>
            <w:vAlign w:val="bottom"/>
            <w:hideMark/>
          </w:tcPr>
          <w:p w14:paraId="0859E2AB"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1%</w:t>
            </w:r>
          </w:p>
        </w:tc>
        <w:tc>
          <w:tcPr>
            <w:tcW w:w="798" w:type="pct"/>
            <w:tcBorders>
              <w:top w:val="nil"/>
              <w:left w:val="nil"/>
              <w:bottom w:val="single" w:sz="4" w:space="0" w:color="auto"/>
              <w:right w:val="nil"/>
            </w:tcBorders>
            <w:shd w:val="clear" w:color="000000" w:fill="FFFFFF"/>
            <w:noWrap/>
            <w:vAlign w:val="bottom"/>
            <w:hideMark/>
          </w:tcPr>
          <w:p w14:paraId="7B5977DC" w14:textId="77777777" w:rsidR="003A0332" w:rsidRDefault="003A0332" w:rsidP="003A0332">
            <w:pPr>
              <w:jc w:val="right"/>
              <w:rPr>
                <w:rFonts w:ascii="Cambria" w:hAnsi="Cambria" w:cs="Arial"/>
                <w:color w:val="000000"/>
                <w:sz w:val="18"/>
                <w:szCs w:val="18"/>
              </w:rPr>
            </w:pPr>
            <w:r>
              <w:rPr>
                <w:rFonts w:ascii="Cambria" w:hAnsi="Cambria"/>
                <w:color w:val="000000"/>
                <w:sz w:val="18"/>
              </w:rPr>
              <w:t>(98 568)</w:t>
            </w:r>
          </w:p>
        </w:tc>
        <w:tc>
          <w:tcPr>
            <w:tcW w:w="331" w:type="pct"/>
            <w:tcBorders>
              <w:top w:val="nil"/>
              <w:left w:val="nil"/>
              <w:bottom w:val="single" w:sz="4" w:space="0" w:color="auto"/>
              <w:right w:val="nil"/>
            </w:tcBorders>
            <w:shd w:val="clear" w:color="auto" w:fill="auto"/>
            <w:noWrap/>
            <w:vAlign w:val="bottom"/>
            <w:hideMark/>
          </w:tcPr>
          <w:p w14:paraId="3258268A"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1%</w:t>
            </w:r>
          </w:p>
        </w:tc>
        <w:tc>
          <w:tcPr>
            <w:tcW w:w="508" w:type="pct"/>
            <w:tcBorders>
              <w:top w:val="nil"/>
              <w:left w:val="nil"/>
              <w:bottom w:val="single" w:sz="4" w:space="0" w:color="auto"/>
              <w:right w:val="nil"/>
            </w:tcBorders>
            <w:shd w:val="clear" w:color="auto" w:fill="auto"/>
            <w:noWrap/>
            <w:vAlign w:val="bottom"/>
            <w:hideMark/>
          </w:tcPr>
          <w:p w14:paraId="7ACB3A18" w14:textId="77777777" w:rsidR="003A0332" w:rsidRDefault="003A0332" w:rsidP="003A0332">
            <w:pPr>
              <w:jc w:val="right"/>
              <w:rPr>
                <w:rFonts w:ascii="Cambria" w:hAnsi="Cambria" w:cs="Arial"/>
                <w:color w:val="000000"/>
                <w:sz w:val="18"/>
                <w:szCs w:val="18"/>
              </w:rPr>
            </w:pPr>
            <w:r>
              <w:rPr>
                <w:rFonts w:ascii="Cambria" w:hAnsi="Cambria"/>
                <w:color w:val="000000"/>
                <w:sz w:val="18"/>
              </w:rPr>
              <w:t>(11 407)</w:t>
            </w:r>
          </w:p>
        </w:tc>
        <w:tc>
          <w:tcPr>
            <w:tcW w:w="507" w:type="pct"/>
            <w:tcBorders>
              <w:top w:val="nil"/>
              <w:left w:val="nil"/>
              <w:bottom w:val="single" w:sz="4" w:space="0" w:color="auto"/>
              <w:right w:val="nil"/>
            </w:tcBorders>
            <w:shd w:val="clear" w:color="auto" w:fill="auto"/>
            <w:noWrap/>
            <w:vAlign w:val="bottom"/>
            <w:hideMark/>
          </w:tcPr>
          <w:p w14:paraId="6180B33D" w14:textId="77777777" w:rsidR="003A0332" w:rsidRDefault="003A0332" w:rsidP="003A0332">
            <w:pPr>
              <w:jc w:val="right"/>
              <w:rPr>
                <w:rFonts w:ascii="Cambria" w:hAnsi="Cambria" w:cs="Arial"/>
                <w:color w:val="000000"/>
                <w:sz w:val="18"/>
                <w:szCs w:val="18"/>
              </w:rPr>
            </w:pPr>
            <w:r>
              <w:rPr>
                <w:rFonts w:ascii="Cambria" w:hAnsi="Cambria"/>
                <w:color w:val="000000"/>
                <w:sz w:val="18"/>
              </w:rPr>
              <w:t>12%</w:t>
            </w:r>
          </w:p>
        </w:tc>
      </w:tr>
      <w:tr w:rsidR="003A0332" w14:paraId="01995E48" w14:textId="77777777" w:rsidTr="003A0332">
        <w:trPr>
          <w:trHeight w:val="228"/>
        </w:trPr>
        <w:tc>
          <w:tcPr>
            <w:tcW w:w="1729" w:type="pct"/>
            <w:tcBorders>
              <w:top w:val="nil"/>
              <w:left w:val="nil"/>
              <w:bottom w:val="nil"/>
              <w:right w:val="nil"/>
            </w:tcBorders>
            <w:shd w:val="clear" w:color="auto" w:fill="auto"/>
            <w:noWrap/>
            <w:vAlign w:val="bottom"/>
            <w:hideMark/>
          </w:tcPr>
          <w:p w14:paraId="54ACA5C6" w14:textId="77777777" w:rsidR="003A0332" w:rsidRDefault="003A0332" w:rsidP="003A0332">
            <w:pPr>
              <w:outlineLvl w:val="0"/>
              <w:rPr>
                <w:rFonts w:ascii="Cambria" w:hAnsi="Cambria" w:cs="Arial"/>
                <w:b/>
                <w:bCs/>
                <w:color w:val="000000"/>
                <w:sz w:val="18"/>
                <w:szCs w:val="18"/>
              </w:rPr>
            </w:pPr>
            <w:bookmarkStart w:id="6" w:name="_Toc101455464"/>
            <w:bookmarkStart w:id="7" w:name="_Toc112768592"/>
            <w:r>
              <w:rPr>
                <w:rFonts w:ascii="Cambria" w:hAnsi="Cambria"/>
                <w:b/>
                <w:color w:val="000000"/>
                <w:sz w:val="18"/>
              </w:rPr>
              <w:t>EBITDA</w:t>
            </w:r>
            <w:bookmarkEnd w:id="6"/>
            <w:bookmarkEnd w:id="7"/>
          </w:p>
        </w:tc>
        <w:tc>
          <w:tcPr>
            <w:tcW w:w="796" w:type="pct"/>
            <w:tcBorders>
              <w:top w:val="nil"/>
              <w:left w:val="nil"/>
              <w:bottom w:val="nil"/>
              <w:right w:val="nil"/>
            </w:tcBorders>
            <w:shd w:val="clear" w:color="auto" w:fill="auto"/>
            <w:noWrap/>
            <w:vAlign w:val="bottom"/>
            <w:hideMark/>
          </w:tcPr>
          <w:p w14:paraId="7E608C7F" w14:textId="77777777" w:rsidR="003A0332" w:rsidRDefault="003A0332" w:rsidP="003A0332">
            <w:pPr>
              <w:jc w:val="right"/>
              <w:outlineLvl w:val="0"/>
              <w:rPr>
                <w:rFonts w:ascii="Cambria" w:hAnsi="Cambria" w:cs="Arial"/>
                <w:b/>
                <w:bCs/>
                <w:color w:val="000000"/>
                <w:sz w:val="18"/>
                <w:szCs w:val="18"/>
              </w:rPr>
            </w:pPr>
            <w:bookmarkStart w:id="8" w:name="_Toc101455465"/>
            <w:bookmarkStart w:id="9" w:name="_Toc112768593"/>
            <w:r>
              <w:rPr>
                <w:rFonts w:ascii="Cambria" w:hAnsi="Cambria"/>
                <w:b/>
                <w:color w:val="000000"/>
                <w:sz w:val="18"/>
              </w:rPr>
              <w:t>3 955 320</w:t>
            </w:r>
            <w:bookmarkEnd w:id="8"/>
            <w:bookmarkEnd w:id="9"/>
          </w:p>
        </w:tc>
        <w:tc>
          <w:tcPr>
            <w:tcW w:w="331" w:type="pct"/>
            <w:tcBorders>
              <w:top w:val="nil"/>
              <w:left w:val="nil"/>
              <w:bottom w:val="nil"/>
              <w:right w:val="nil"/>
            </w:tcBorders>
            <w:shd w:val="clear" w:color="auto" w:fill="auto"/>
            <w:noWrap/>
            <w:vAlign w:val="bottom"/>
            <w:hideMark/>
          </w:tcPr>
          <w:p w14:paraId="58FACFBC" w14:textId="77777777" w:rsidR="003A0332" w:rsidRDefault="003A0332" w:rsidP="003A0332">
            <w:pPr>
              <w:jc w:val="center"/>
              <w:outlineLvl w:val="0"/>
              <w:rPr>
                <w:rFonts w:ascii="Cambria" w:hAnsi="Cambria" w:cs="Arial"/>
                <w:b/>
                <w:bCs/>
                <w:color w:val="000000"/>
                <w:sz w:val="16"/>
                <w:szCs w:val="16"/>
              </w:rPr>
            </w:pPr>
            <w:bookmarkStart w:id="10" w:name="_Toc101455466"/>
            <w:bookmarkStart w:id="11" w:name="_Toc112768594"/>
            <w:r>
              <w:rPr>
                <w:rFonts w:ascii="Cambria" w:hAnsi="Cambria"/>
                <w:b/>
                <w:color w:val="000000"/>
                <w:sz w:val="16"/>
              </w:rPr>
              <w:t>34%</w:t>
            </w:r>
            <w:bookmarkEnd w:id="10"/>
            <w:bookmarkEnd w:id="11"/>
          </w:p>
        </w:tc>
        <w:tc>
          <w:tcPr>
            <w:tcW w:w="798" w:type="pct"/>
            <w:tcBorders>
              <w:top w:val="nil"/>
              <w:left w:val="nil"/>
              <w:bottom w:val="nil"/>
              <w:right w:val="nil"/>
            </w:tcBorders>
            <w:shd w:val="clear" w:color="000000" w:fill="FFFFFF"/>
            <w:noWrap/>
            <w:vAlign w:val="bottom"/>
            <w:hideMark/>
          </w:tcPr>
          <w:p w14:paraId="290032D8" w14:textId="77777777" w:rsidR="003A0332" w:rsidRDefault="003A0332" w:rsidP="003A0332">
            <w:pPr>
              <w:jc w:val="right"/>
              <w:outlineLvl w:val="0"/>
              <w:rPr>
                <w:rFonts w:ascii="Cambria" w:hAnsi="Cambria" w:cs="Arial"/>
                <w:b/>
                <w:bCs/>
                <w:color w:val="000000"/>
                <w:sz w:val="18"/>
                <w:szCs w:val="18"/>
              </w:rPr>
            </w:pPr>
            <w:bookmarkStart w:id="12" w:name="_Toc101455467"/>
            <w:bookmarkStart w:id="13" w:name="_Toc112768595"/>
            <w:r>
              <w:rPr>
                <w:rFonts w:ascii="Cambria" w:hAnsi="Cambria"/>
                <w:b/>
                <w:color w:val="000000"/>
                <w:sz w:val="18"/>
              </w:rPr>
              <w:t>1 602 984</w:t>
            </w:r>
            <w:bookmarkEnd w:id="12"/>
            <w:bookmarkEnd w:id="13"/>
          </w:p>
        </w:tc>
        <w:tc>
          <w:tcPr>
            <w:tcW w:w="331" w:type="pct"/>
            <w:tcBorders>
              <w:top w:val="nil"/>
              <w:left w:val="nil"/>
              <w:bottom w:val="nil"/>
              <w:right w:val="nil"/>
            </w:tcBorders>
            <w:shd w:val="clear" w:color="auto" w:fill="auto"/>
            <w:noWrap/>
            <w:vAlign w:val="bottom"/>
            <w:hideMark/>
          </w:tcPr>
          <w:p w14:paraId="07AB5041" w14:textId="77777777" w:rsidR="003A0332" w:rsidRDefault="003A0332" w:rsidP="003A0332">
            <w:pPr>
              <w:jc w:val="center"/>
              <w:outlineLvl w:val="0"/>
              <w:rPr>
                <w:rFonts w:ascii="Cambria" w:hAnsi="Cambria" w:cs="Arial"/>
                <w:b/>
                <w:bCs/>
                <w:color w:val="000000"/>
                <w:sz w:val="16"/>
                <w:szCs w:val="16"/>
              </w:rPr>
            </w:pPr>
            <w:bookmarkStart w:id="14" w:name="_Toc101455468"/>
            <w:bookmarkStart w:id="15" w:name="_Toc112768596"/>
            <w:r>
              <w:rPr>
                <w:rFonts w:ascii="Cambria" w:hAnsi="Cambria"/>
                <w:b/>
                <w:color w:val="000000"/>
                <w:sz w:val="16"/>
              </w:rPr>
              <w:t>18%</w:t>
            </w:r>
            <w:bookmarkEnd w:id="14"/>
            <w:bookmarkEnd w:id="15"/>
          </w:p>
        </w:tc>
        <w:tc>
          <w:tcPr>
            <w:tcW w:w="508" w:type="pct"/>
            <w:tcBorders>
              <w:top w:val="nil"/>
              <w:left w:val="nil"/>
              <w:bottom w:val="nil"/>
              <w:right w:val="nil"/>
            </w:tcBorders>
            <w:shd w:val="clear" w:color="auto" w:fill="auto"/>
            <w:noWrap/>
            <w:vAlign w:val="bottom"/>
            <w:hideMark/>
          </w:tcPr>
          <w:p w14:paraId="5232818A" w14:textId="77777777" w:rsidR="003A0332" w:rsidRDefault="003A0332" w:rsidP="003A0332">
            <w:pPr>
              <w:jc w:val="right"/>
              <w:outlineLvl w:val="0"/>
              <w:rPr>
                <w:rFonts w:ascii="Cambria" w:hAnsi="Cambria" w:cs="Arial"/>
                <w:b/>
                <w:bCs/>
                <w:color w:val="000000"/>
                <w:sz w:val="18"/>
                <w:szCs w:val="18"/>
              </w:rPr>
            </w:pPr>
            <w:bookmarkStart w:id="16" w:name="_Toc101455469"/>
            <w:bookmarkStart w:id="17" w:name="_Toc112768597"/>
            <w:r>
              <w:rPr>
                <w:rFonts w:ascii="Cambria" w:hAnsi="Cambria"/>
                <w:b/>
                <w:color w:val="000000"/>
                <w:sz w:val="18"/>
              </w:rPr>
              <w:t>2 352 336</w:t>
            </w:r>
            <w:bookmarkEnd w:id="16"/>
            <w:bookmarkEnd w:id="17"/>
          </w:p>
        </w:tc>
        <w:tc>
          <w:tcPr>
            <w:tcW w:w="507" w:type="pct"/>
            <w:tcBorders>
              <w:top w:val="nil"/>
              <w:left w:val="nil"/>
              <w:bottom w:val="nil"/>
              <w:right w:val="nil"/>
            </w:tcBorders>
            <w:shd w:val="clear" w:color="auto" w:fill="auto"/>
            <w:noWrap/>
            <w:vAlign w:val="bottom"/>
            <w:hideMark/>
          </w:tcPr>
          <w:p w14:paraId="76A06040" w14:textId="77777777" w:rsidR="003A0332" w:rsidRDefault="003A0332" w:rsidP="003A0332">
            <w:pPr>
              <w:jc w:val="right"/>
              <w:outlineLvl w:val="0"/>
              <w:rPr>
                <w:rFonts w:ascii="Cambria" w:hAnsi="Cambria" w:cs="Arial"/>
                <w:b/>
                <w:bCs/>
                <w:color w:val="000000"/>
                <w:sz w:val="18"/>
                <w:szCs w:val="18"/>
              </w:rPr>
            </w:pPr>
            <w:bookmarkStart w:id="18" w:name="_Toc101455470"/>
            <w:bookmarkStart w:id="19" w:name="_Toc112768598"/>
            <w:r>
              <w:rPr>
                <w:rFonts w:ascii="Cambria" w:hAnsi="Cambria"/>
                <w:b/>
                <w:color w:val="000000"/>
                <w:sz w:val="18"/>
              </w:rPr>
              <w:t>147%</w:t>
            </w:r>
            <w:bookmarkEnd w:id="18"/>
            <w:bookmarkEnd w:id="19"/>
          </w:p>
        </w:tc>
      </w:tr>
      <w:tr w:rsidR="003A0332" w14:paraId="5E5314D2" w14:textId="77777777" w:rsidTr="003A0332">
        <w:trPr>
          <w:trHeight w:val="228"/>
        </w:trPr>
        <w:tc>
          <w:tcPr>
            <w:tcW w:w="1729" w:type="pct"/>
            <w:tcBorders>
              <w:top w:val="nil"/>
              <w:left w:val="nil"/>
              <w:bottom w:val="nil"/>
              <w:right w:val="nil"/>
            </w:tcBorders>
            <w:shd w:val="clear" w:color="auto" w:fill="auto"/>
            <w:noWrap/>
            <w:vAlign w:val="bottom"/>
            <w:hideMark/>
          </w:tcPr>
          <w:p w14:paraId="73C29A57" w14:textId="77777777" w:rsidR="003A0332" w:rsidRDefault="003A0332" w:rsidP="003A0332">
            <w:pPr>
              <w:jc w:val="right"/>
              <w:outlineLvl w:val="0"/>
              <w:rPr>
                <w:rFonts w:ascii="Cambria" w:hAnsi="Cambria" w:cs="Arial"/>
                <w:b/>
                <w:bCs/>
                <w:color w:val="000000"/>
                <w:sz w:val="18"/>
                <w:szCs w:val="18"/>
              </w:rPr>
            </w:pPr>
          </w:p>
        </w:tc>
        <w:tc>
          <w:tcPr>
            <w:tcW w:w="796" w:type="pct"/>
            <w:tcBorders>
              <w:top w:val="nil"/>
              <w:left w:val="nil"/>
              <w:bottom w:val="nil"/>
              <w:right w:val="nil"/>
            </w:tcBorders>
            <w:shd w:val="clear" w:color="auto" w:fill="auto"/>
            <w:noWrap/>
            <w:vAlign w:val="bottom"/>
            <w:hideMark/>
          </w:tcPr>
          <w:p w14:paraId="0BA7DF91" w14:textId="77777777" w:rsidR="003A0332" w:rsidRDefault="003A0332" w:rsidP="003A0332">
            <w:pPr>
              <w:outlineLvl w:val="0"/>
              <w:rPr>
                <w:sz w:val="20"/>
                <w:szCs w:val="20"/>
              </w:rPr>
            </w:pPr>
          </w:p>
        </w:tc>
        <w:tc>
          <w:tcPr>
            <w:tcW w:w="331" w:type="pct"/>
            <w:tcBorders>
              <w:top w:val="nil"/>
              <w:left w:val="nil"/>
              <w:bottom w:val="nil"/>
              <w:right w:val="nil"/>
            </w:tcBorders>
            <w:shd w:val="clear" w:color="auto" w:fill="auto"/>
            <w:noWrap/>
            <w:vAlign w:val="bottom"/>
            <w:hideMark/>
          </w:tcPr>
          <w:p w14:paraId="4238622B" w14:textId="77777777" w:rsidR="003A0332" w:rsidRDefault="003A0332" w:rsidP="003A0332">
            <w:pPr>
              <w:outlineLvl w:val="0"/>
              <w:rPr>
                <w:sz w:val="20"/>
                <w:szCs w:val="20"/>
              </w:rPr>
            </w:pPr>
          </w:p>
        </w:tc>
        <w:tc>
          <w:tcPr>
            <w:tcW w:w="798" w:type="pct"/>
            <w:tcBorders>
              <w:top w:val="nil"/>
              <w:left w:val="nil"/>
              <w:bottom w:val="nil"/>
              <w:right w:val="nil"/>
            </w:tcBorders>
            <w:shd w:val="clear" w:color="000000" w:fill="FFFFFF"/>
            <w:noWrap/>
            <w:vAlign w:val="bottom"/>
            <w:hideMark/>
          </w:tcPr>
          <w:p w14:paraId="081AD0B5" w14:textId="77777777" w:rsidR="003A0332" w:rsidRDefault="003A0332" w:rsidP="003A0332">
            <w:pPr>
              <w:outlineLvl w:val="0"/>
              <w:rPr>
                <w:rFonts w:ascii="Cambria" w:hAnsi="Cambria" w:cs="Arial"/>
                <w:color w:val="000000"/>
                <w:sz w:val="18"/>
                <w:szCs w:val="18"/>
              </w:rPr>
            </w:pPr>
            <w:r>
              <w:rPr>
                <w:rFonts w:ascii="Cambria" w:hAnsi="Cambria"/>
                <w:color w:val="000000"/>
                <w:sz w:val="18"/>
              </w:rPr>
              <w:t> </w:t>
            </w:r>
          </w:p>
        </w:tc>
        <w:tc>
          <w:tcPr>
            <w:tcW w:w="331" w:type="pct"/>
            <w:tcBorders>
              <w:top w:val="nil"/>
              <w:left w:val="nil"/>
              <w:bottom w:val="nil"/>
              <w:right w:val="nil"/>
            </w:tcBorders>
            <w:shd w:val="clear" w:color="auto" w:fill="auto"/>
            <w:noWrap/>
            <w:vAlign w:val="bottom"/>
            <w:hideMark/>
          </w:tcPr>
          <w:p w14:paraId="07C5755E" w14:textId="77777777" w:rsidR="003A0332" w:rsidRDefault="003A0332" w:rsidP="003A0332">
            <w:pPr>
              <w:outlineLvl w:val="0"/>
              <w:rPr>
                <w:rFonts w:ascii="Cambria" w:hAnsi="Cambria" w:cs="Arial"/>
                <w:color w:val="000000"/>
                <w:sz w:val="18"/>
                <w:szCs w:val="18"/>
              </w:rPr>
            </w:pPr>
          </w:p>
        </w:tc>
        <w:tc>
          <w:tcPr>
            <w:tcW w:w="508" w:type="pct"/>
            <w:tcBorders>
              <w:top w:val="nil"/>
              <w:left w:val="nil"/>
              <w:bottom w:val="nil"/>
              <w:right w:val="nil"/>
            </w:tcBorders>
            <w:shd w:val="clear" w:color="auto" w:fill="auto"/>
            <w:noWrap/>
            <w:vAlign w:val="bottom"/>
            <w:hideMark/>
          </w:tcPr>
          <w:p w14:paraId="3D3440CF" w14:textId="77777777" w:rsidR="003A0332" w:rsidRDefault="003A0332" w:rsidP="003A0332">
            <w:pPr>
              <w:outlineLvl w:val="0"/>
              <w:rPr>
                <w:sz w:val="20"/>
                <w:szCs w:val="20"/>
              </w:rPr>
            </w:pPr>
          </w:p>
        </w:tc>
        <w:tc>
          <w:tcPr>
            <w:tcW w:w="507" w:type="pct"/>
            <w:tcBorders>
              <w:top w:val="nil"/>
              <w:left w:val="nil"/>
              <w:bottom w:val="nil"/>
              <w:right w:val="nil"/>
            </w:tcBorders>
            <w:shd w:val="clear" w:color="auto" w:fill="auto"/>
            <w:noWrap/>
            <w:vAlign w:val="bottom"/>
            <w:hideMark/>
          </w:tcPr>
          <w:p w14:paraId="18A71EBE" w14:textId="77777777" w:rsidR="003A0332" w:rsidRDefault="003A0332" w:rsidP="003A0332">
            <w:pPr>
              <w:outlineLvl w:val="0"/>
              <w:rPr>
                <w:sz w:val="20"/>
                <w:szCs w:val="20"/>
              </w:rPr>
            </w:pPr>
          </w:p>
        </w:tc>
      </w:tr>
      <w:tr w:rsidR="003A0332" w14:paraId="27EBA48D" w14:textId="77777777" w:rsidTr="003A0332">
        <w:trPr>
          <w:trHeight w:val="228"/>
        </w:trPr>
        <w:tc>
          <w:tcPr>
            <w:tcW w:w="1729" w:type="pct"/>
            <w:tcBorders>
              <w:top w:val="nil"/>
              <w:left w:val="nil"/>
              <w:bottom w:val="nil"/>
              <w:right w:val="nil"/>
            </w:tcBorders>
            <w:shd w:val="clear" w:color="auto" w:fill="auto"/>
            <w:noWrap/>
            <w:vAlign w:val="bottom"/>
            <w:hideMark/>
          </w:tcPr>
          <w:p w14:paraId="3452A62A" w14:textId="77777777" w:rsidR="003A0332" w:rsidRDefault="003A0332" w:rsidP="003A0332">
            <w:pPr>
              <w:rPr>
                <w:rFonts w:ascii="Cambria" w:hAnsi="Cambria" w:cs="Arial"/>
                <w:color w:val="000000"/>
                <w:sz w:val="18"/>
                <w:szCs w:val="18"/>
              </w:rPr>
            </w:pPr>
            <w:r>
              <w:rPr>
                <w:rFonts w:ascii="Cambria" w:hAnsi="Cambria"/>
                <w:color w:val="000000"/>
                <w:sz w:val="18"/>
              </w:rPr>
              <w:t>Amortissements et dépréciations</w:t>
            </w:r>
          </w:p>
        </w:tc>
        <w:tc>
          <w:tcPr>
            <w:tcW w:w="796" w:type="pct"/>
            <w:tcBorders>
              <w:top w:val="nil"/>
              <w:left w:val="nil"/>
              <w:bottom w:val="single" w:sz="4" w:space="0" w:color="auto"/>
              <w:right w:val="nil"/>
            </w:tcBorders>
            <w:shd w:val="clear" w:color="auto" w:fill="auto"/>
            <w:noWrap/>
            <w:vAlign w:val="bottom"/>
            <w:hideMark/>
          </w:tcPr>
          <w:p w14:paraId="61BD65FC" w14:textId="77777777" w:rsidR="003A0332" w:rsidRDefault="003A0332" w:rsidP="003A0332">
            <w:pPr>
              <w:jc w:val="right"/>
              <w:rPr>
                <w:rFonts w:ascii="Cambria" w:hAnsi="Cambria" w:cs="Arial"/>
                <w:color w:val="000000"/>
                <w:sz w:val="18"/>
                <w:szCs w:val="18"/>
              </w:rPr>
            </w:pPr>
            <w:r>
              <w:rPr>
                <w:rFonts w:ascii="Cambria" w:hAnsi="Cambria"/>
                <w:color w:val="000000"/>
                <w:sz w:val="18"/>
              </w:rPr>
              <w:t>(916 378)</w:t>
            </w:r>
          </w:p>
        </w:tc>
        <w:tc>
          <w:tcPr>
            <w:tcW w:w="331" w:type="pct"/>
            <w:tcBorders>
              <w:top w:val="nil"/>
              <w:left w:val="nil"/>
              <w:bottom w:val="single" w:sz="4" w:space="0" w:color="auto"/>
              <w:right w:val="nil"/>
            </w:tcBorders>
            <w:shd w:val="clear" w:color="auto" w:fill="auto"/>
            <w:noWrap/>
            <w:vAlign w:val="bottom"/>
            <w:hideMark/>
          </w:tcPr>
          <w:p w14:paraId="39FE4E63"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1%</w:t>
            </w:r>
          </w:p>
        </w:tc>
        <w:tc>
          <w:tcPr>
            <w:tcW w:w="798" w:type="pct"/>
            <w:tcBorders>
              <w:top w:val="nil"/>
              <w:left w:val="nil"/>
              <w:bottom w:val="single" w:sz="4" w:space="0" w:color="auto"/>
              <w:right w:val="nil"/>
            </w:tcBorders>
            <w:shd w:val="clear" w:color="000000" w:fill="FFFFFF"/>
            <w:noWrap/>
            <w:vAlign w:val="bottom"/>
            <w:hideMark/>
          </w:tcPr>
          <w:p w14:paraId="6C11FDA2" w14:textId="77777777" w:rsidR="003A0332" w:rsidRDefault="003A0332" w:rsidP="003A0332">
            <w:pPr>
              <w:jc w:val="right"/>
              <w:rPr>
                <w:rFonts w:ascii="Cambria" w:hAnsi="Cambria" w:cs="Arial"/>
                <w:color w:val="000000"/>
                <w:sz w:val="18"/>
                <w:szCs w:val="18"/>
              </w:rPr>
            </w:pPr>
            <w:r>
              <w:rPr>
                <w:rFonts w:ascii="Cambria" w:hAnsi="Cambria"/>
                <w:color w:val="000000"/>
                <w:sz w:val="18"/>
              </w:rPr>
              <w:t>(705 669)</w:t>
            </w:r>
          </w:p>
        </w:tc>
        <w:tc>
          <w:tcPr>
            <w:tcW w:w="331" w:type="pct"/>
            <w:tcBorders>
              <w:top w:val="nil"/>
              <w:left w:val="nil"/>
              <w:bottom w:val="single" w:sz="4" w:space="0" w:color="auto"/>
              <w:right w:val="nil"/>
            </w:tcBorders>
            <w:shd w:val="clear" w:color="auto" w:fill="auto"/>
            <w:noWrap/>
            <w:vAlign w:val="bottom"/>
            <w:hideMark/>
          </w:tcPr>
          <w:p w14:paraId="093C2F9C"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1%</w:t>
            </w:r>
          </w:p>
        </w:tc>
        <w:tc>
          <w:tcPr>
            <w:tcW w:w="508" w:type="pct"/>
            <w:tcBorders>
              <w:top w:val="nil"/>
              <w:left w:val="nil"/>
              <w:bottom w:val="single" w:sz="4" w:space="0" w:color="auto"/>
              <w:right w:val="nil"/>
            </w:tcBorders>
            <w:shd w:val="clear" w:color="auto" w:fill="auto"/>
            <w:noWrap/>
            <w:vAlign w:val="bottom"/>
            <w:hideMark/>
          </w:tcPr>
          <w:p w14:paraId="64FB1B9B" w14:textId="77777777" w:rsidR="003A0332" w:rsidRDefault="003A0332" w:rsidP="003A0332">
            <w:pPr>
              <w:jc w:val="right"/>
              <w:rPr>
                <w:rFonts w:ascii="Cambria" w:hAnsi="Cambria" w:cs="Arial"/>
                <w:color w:val="000000"/>
                <w:sz w:val="18"/>
                <w:szCs w:val="18"/>
              </w:rPr>
            </w:pPr>
            <w:r>
              <w:rPr>
                <w:rFonts w:ascii="Cambria" w:hAnsi="Cambria"/>
                <w:color w:val="000000"/>
                <w:sz w:val="18"/>
              </w:rPr>
              <w:t>(210 709)</w:t>
            </w:r>
          </w:p>
        </w:tc>
        <w:tc>
          <w:tcPr>
            <w:tcW w:w="507" w:type="pct"/>
            <w:tcBorders>
              <w:top w:val="nil"/>
              <w:left w:val="nil"/>
              <w:bottom w:val="single" w:sz="4" w:space="0" w:color="auto"/>
              <w:right w:val="nil"/>
            </w:tcBorders>
            <w:shd w:val="clear" w:color="auto" w:fill="auto"/>
            <w:noWrap/>
            <w:vAlign w:val="bottom"/>
            <w:hideMark/>
          </w:tcPr>
          <w:p w14:paraId="105F0265" w14:textId="77777777" w:rsidR="003A0332" w:rsidRDefault="003A0332" w:rsidP="003A0332">
            <w:pPr>
              <w:jc w:val="right"/>
              <w:rPr>
                <w:rFonts w:ascii="Cambria" w:hAnsi="Cambria" w:cs="Arial"/>
                <w:color w:val="000000"/>
                <w:sz w:val="18"/>
                <w:szCs w:val="18"/>
              </w:rPr>
            </w:pPr>
            <w:r>
              <w:rPr>
                <w:rFonts w:ascii="Cambria" w:hAnsi="Cambria"/>
                <w:color w:val="000000"/>
                <w:sz w:val="18"/>
              </w:rPr>
              <w:t>30%</w:t>
            </w:r>
          </w:p>
        </w:tc>
      </w:tr>
      <w:tr w:rsidR="003A0332" w14:paraId="04C830AF" w14:textId="77777777" w:rsidTr="003A0332">
        <w:trPr>
          <w:trHeight w:val="228"/>
        </w:trPr>
        <w:tc>
          <w:tcPr>
            <w:tcW w:w="1729" w:type="pct"/>
            <w:tcBorders>
              <w:top w:val="nil"/>
              <w:left w:val="nil"/>
              <w:bottom w:val="nil"/>
              <w:right w:val="nil"/>
            </w:tcBorders>
            <w:shd w:val="clear" w:color="auto" w:fill="auto"/>
            <w:noWrap/>
            <w:vAlign w:val="bottom"/>
            <w:hideMark/>
          </w:tcPr>
          <w:p w14:paraId="1614701F" w14:textId="77777777" w:rsidR="003A0332" w:rsidRDefault="003A0332" w:rsidP="003A0332">
            <w:pPr>
              <w:rPr>
                <w:rFonts w:ascii="Cambria" w:hAnsi="Cambria" w:cs="Arial"/>
                <w:b/>
                <w:bCs/>
                <w:color w:val="000000"/>
                <w:sz w:val="18"/>
                <w:szCs w:val="18"/>
              </w:rPr>
            </w:pPr>
            <w:r>
              <w:rPr>
                <w:rFonts w:ascii="Cambria" w:hAnsi="Cambria"/>
                <w:b/>
                <w:color w:val="000000"/>
                <w:sz w:val="18"/>
              </w:rPr>
              <w:t>EBIT</w:t>
            </w:r>
          </w:p>
        </w:tc>
        <w:tc>
          <w:tcPr>
            <w:tcW w:w="796" w:type="pct"/>
            <w:tcBorders>
              <w:top w:val="nil"/>
              <w:left w:val="nil"/>
              <w:bottom w:val="nil"/>
              <w:right w:val="nil"/>
            </w:tcBorders>
            <w:shd w:val="clear" w:color="auto" w:fill="auto"/>
            <w:noWrap/>
            <w:vAlign w:val="bottom"/>
            <w:hideMark/>
          </w:tcPr>
          <w:p w14:paraId="291DFFE6" w14:textId="77777777" w:rsidR="003A0332" w:rsidRDefault="003A0332" w:rsidP="003A0332">
            <w:pPr>
              <w:jc w:val="right"/>
              <w:rPr>
                <w:rFonts w:ascii="Cambria" w:hAnsi="Cambria" w:cs="Arial"/>
                <w:b/>
                <w:bCs/>
                <w:color w:val="000000"/>
                <w:sz w:val="18"/>
                <w:szCs w:val="18"/>
              </w:rPr>
            </w:pPr>
            <w:r>
              <w:rPr>
                <w:rFonts w:ascii="Cambria" w:hAnsi="Cambria"/>
                <w:b/>
                <w:color w:val="000000"/>
                <w:sz w:val="18"/>
              </w:rPr>
              <w:t>3 038 942</w:t>
            </w:r>
          </w:p>
        </w:tc>
        <w:tc>
          <w:tcPr>
            <w:tcW w:w="331" w:type="pct"/>
            <w:tcBorders>
              <w:top w:val="nil"/>
              <w:left w:val="nil"/>
              <w:bottom w:val="nil"/>
              <w:right w:val="nil"/>
            </w:tcBorders>
            <w:shd w:val="clear" w:color="auto" w:fill="auto"/>
            <w:noWrap/>
            <w:vAlign w:val="bottom"/>
            <w:hideMark/>
          </w:tcPr>
          <w:p w14:paraId="7EEEDB97" w14:textId="77777777" w:rsidR="003A0332" w:rsidRDefault="003A0332" w:rsidP="003A0332">
            <w:pPr>
              <w:jc w:val="center"/>
              <w:rPr>
                <w:rFonts w:ascii="Cambria" w:hAnsi="Cambria" w:cs="Arial"/>
                <w:b/>
                <w:bCs/>
                <w:color w:val="000000"/>
                <w:sz w:val="16"/>
                <w:szCs w:val="16"/>
              </w:rPr>
            </w:pPr>
            <w:r>
              <w:rPr>
                <w:rFonts w:ascii="Cambria" w:hAnsi="Cambria"/>
                <w:b/>
                <w:color w:val="000000"/>
                <w:sz w:val="16"/>
              </w:rPr>
              <w:t>26%</w:t>
            </w:r>
          </w:p>
        </w:tc>
        <w:tc>
          <w:tcPr>
            <w:tcW w:w="798" w:type="pct"/>
            <w:tcBorders>
              <w:top w:val="nil"/>
              <w:left w:val="nil"/>
              <w:bottom w:val="nil"/>
              <w:right w:val="nil"/>
            </w:tcBorders>
            <w:shd w:val="clear" w:color="000000" w:fill="FFFFFF"/>
            <w:noWrap/>
            <w:vAlign w:val="bottom"/>
            <w:hideMark/>
          </w:tcPr>
          <w:p w14:paraId="2C6B232C" w14:textId="77777777" w:rsidR="003A0332" w:rsidRDefault="003A0332" w:rsidP="003A0332">
            <w:pPr>
              <w:jc w:val="right"/>
              <w:rPr>
                <w:rFonts w:ascii="Cambria" w:hAnsi="Cambria" w:cs="Arial"/>
                <w:b/>
                <w:bCs/>
                <w:color w:val="000000"/>
                <w:sz w:val="18"/>
                <w:szCs w:val="18"/>
              </w:rPr>
            </w:pPr>
            <w:r>
              <w:rPr>
                <w:rFonts w:ascii="Cambria" w:hAnsi="Cambria"/>
                <w:b/>
                <w:color w:val="000000"/>
                <w:sz w:val="18"/>
              </w:rPr>
              <w:t>897 315</w:t>
            </w:r>
          </w:p>
        </w:tc>
        <w:tc>
          <w:tcPr>
            <w:tcW w:w="331" w:type="pct"/>
            <w:tcBorders>
              <w:top w:val="nil"/>
              <w:left w:val="nil"/>
              <w:bottom w:val="nil"/>
              <w:right w:val="nil"/>
            </w:tcBorders>
            <w:shd w:val="clear" w:color="auto" w:fill="auto"/>
            <w:noWrap/>
            <w:vAlign w:val="bottom"/>
            <w:hideMark/>
          </w:tcPr>
          <w:p w14:paraId="25311771" w14:textId="77777777" w:rsidR="003A0332" w:rsidRDefault="003A0332" w:rsidP="003A0332">
            <w:pPr>
              <w:jc w:val="center"/>
              <w:rPr>
                <w:rFonts w:ascii="Cambria" w:hAnsi="Cambria" w:cs="Arial"/>
                <w:b/>
                <w:bCs/>
                <w:color w:val="000000"/>
                <w:sz w:val="16"/>
                <w:szCs w:val="16"/>
              </w:rPr>
            </w:pPr>
            <w:r>
              <w:rPr>
                <w:rFonts w:ascii="Cambria" w:hAnsi="Cambria"/>
                <w:b/>
                <w:color w:val="000000"/>
                <w:sz w:val="16"/>
              </w:rPr>
              <w:t>10%</w:t>
            </w:r>
          </w:p>
        </w:tc>
        <w:tc>
          <w:tcPr>
            <w:tcW w:w="508" w:type="pct"/>
            <w:tcBorders>
              <w:top w:val="nil"/>
              <w:left w:val="nil"/>
              <w:bottom w:val="nil"/>
              <w:right w:val="nil"/>
            </w:tcBorders>
            <w:shd w:val="clear" w:color="auto" w:fill="auto"/>
            <w:noWrap/>
            <w:vAlign w:val="bottom"/>
            <w:hideMark/>
          </w:tcPr>
          <w:p w14:paraId="675D1653" w14:textId="77777777" w:rsidR="003A0332" w:rsidRDefault="003A0332" w:rsidP="003A0332">
            <w:pPr>
              <w:jc w:val="right"/>
              <w:rPr>
                <w:rFonts w:ascii="Cambria" w:hAnsi="Cambria" w:cs="Arial"/>
                <w:b/>
                <w:bCs/>
                <w:color w:val="000000"/>
                <w:sz w:val="18"/>
                <w:szCs w:val="18"/>
              </w:rPr>
            </w:pPr>
            <w:r>
              <w:rPr>
                <w:rFonts w:ascii="Cambria" w:hAnsi="Cambria"/>
                <w:b/>
                <w:color w:val="000000"/>
                <w:sz w:val="18"/>
              </w:rPr>
              <w:t>2 141 627</w:t>
            </w:r>
          </w:p>
        </w:tc>
        <w:tc>
          <w:tcPr>
            <w:tcW w:w="507" w:type="pct"/>
            <w:tcBorders>
              <w:top w:val="nil"/>
              <w:left w:val="nil"/>
              <w:bottom w:val="nil"/>
              <w:right w:val="nil"/>
            </w:tcBorders>
            <w:shd w:val="clear" w:color="auto" w:fill="auto"/>
            <w:noWrap/>
            <w:vAlign w:val="bottom"/>
            <w:hideMark/>
          </w:tcPr>
          <w:p w14:paraId="792E6AE8" w14:textId="77777777" w:rsidR="003A0332" w:rsidRDefault="003A0332" w:rsidP="003A0332">
            <w:pPr>
              <w:jc w:val="right"/>
              <w:rPr>
                <w:rFonts w:ascii="Cambria" w:hAnsi="Cambria" w:cs="Arial"/>
                <w:b/>
                <w:bCs/>
                <w:color w:val="000000"/>
                <w:sz w:val="18"/>
                <w:szCs w:val="18"/>
              </w:rPr>
            </w:pPr>
            <w:r>
              <w:rPr>
                <w:rFonts w:ascii="Cambria" w:hAnsi="Cambria"/>
                <w:b/>
                <w:color w:val="000000"/>
                <w:sz w:val="18"/>
              </w:rPr>
              <w:t>239%</w:t>
            </w:r>
          </w:p>
        </w:tc>
      </w:tr>
      <w:tr w:rsidR="003A0332" w14:paraId="3F0040FB" w14:textId="77777777" w:rsidTr="003A0332">
        <w:trPr>
          <w:trHeight w:val="228"/>
        </w:trPr>
        <w:tc>
          <w:tcPr>
            <w:tcW w:w="1729" w:type="pct"/>
            <w:tcBorders>
              <w:top w:val="nil"/>
              <w:left w:val="nil"/>
              <w:bottom w:val="nil"/>
              <w:right w:val="nil"/>
            </w:tcBorders>
            <w:shd w:val="clear" w:color="auto" w:fill="auto"/>
            <w:noWrap/>
            <w:vAlign w:val="bottom"/>
            <w:hideMark/>
          </w:tcPr>
          <w:p w14:paraId="0F005A5B" w14:textId="77777777" w:rsidR="003A0332" w:rsidRDefault="003A0332" w:rsidP="003A0332">
            <w:pPr>
              <w:jc w:val="right"/>
              <w:rPr>
                <w:rFonts w:ascii="Cambria" w:hAnsi="Cambria" w:cs="Arial"/>
                <w:b/>
                <w:bCs/>
                <w:color w:val="000000"/>
                <w:sz w:val="18"/>
                <w:szCs w:val="18"/>
              </w:rPr>
            </w:pPr>
          </w:p>
        </w:tc>
        <w:tc>
          <w:tcPr>
            <w:tcW w:w="796" w:type="pct"/>
            <w:tcBorders>
              <w:top w:val="nil"/>
              <w:left w:val="nil"/>
              <w:bottom w:val="nil"/>
              <w:right w:val="nil"/>
            </w:tcBorders>
            <w:shd w:val="clear" w:color="auto" w:fill="auto"/>
            <w:noWrap/>
            <w:vAlign w:val="bottom"/>
            <w:hideMark/>
          </w:tcPr>
          <w:p w14:paraId="1B97120E" w14:textId="77777777" w:rsidR="003A0332" w:rsidRDefault="003A0332" w:rsidP="003A0332">
            <w:pPr>
              <w:rPr>
                <w:sz w:val="20"/>
                <w:szCs w:val="20"/>
              </w:rPr>
            </w:pPr>
          </w:p>
        </w:tc>
        <w:tc>
          <w:tcPr>
            <w:tcW w:w="331" w:type="pct"/>
            <w:tcBorders>
              <w:top w:val="nil"/>
              <w:left w:val="nil"/>
              <w:bottom w:val="nil"/>
              <w:right w:val="nil"/>
            </w:tcBorders>
            <w:shd w:val="clear" w:color="auto" w:fill="auto"/>
            <w:noWrap/>
            <w:vAlign w:val="bottom"/>
            <w:hideMark/>
          </w:tcPr>
          <w:p w14:paraId="0D9C5105" w14:textId="77777777" w:rsidR="003A0332" w:rsidRDefault="003A0332" w:rsidP="003A0332">
            <w:pPr>
              <w:rPr>
                <w:sz w:val="20"/>
                <w:szCs w:val="20"/>
              </w:rPr>
            </w:pPr>
          </w:p>
        </w:tc>
        <w:tc>
          <w:tcPr>
            <w:tcW w:w="798" w:type="pct"/>
            <w:tcBorders>
              <w:top w:val="nil"/>
              <w:left w:val="nil"/>
              <w:bottom w:val="nil"/>
              <w:right w:val="nil"/>
            </w:tcBorders>
            <w:shd w:val="clear" w:color="000000" w:fill="FFFFFF"/>
            <w:noWrap/>
            <w:vAlign w:val="bottom"/>
            <w:hideMark/>
          </w:tcPr>
          <w:p w14:paraId="40DCED8E" w14:textId="77777777" w:rsidR="003A0332" w:rsidRDefault="003A0332" w:rsidP="003A0332">
            <w:pPr>
              <w:rPr>
                <w:rFonts w:ascii="Cambria" w:hAnsi="Cambria" w:cs="Arial"/>
                <w:color w:val="000000"/>
                <w:sz w:val="18"/>
                <w:szCs w:val="18"/>
              </w:rPr>
            </w:pPr>
            <w:r>
              <w:rPr>
                <w:rFonts w:ascii="Cambria" w:hAnsi="Cambria"/>
                <w:color w:val="000000"/>
                <w:sz w:val="18"/>
              </w:rPr>
              <w:t> </w:t>
            </w:r>
          </w:p>
        </w:tc>
        <w:tc>
          <w:tcPr>
            <w:tcW w:w="331" w:type="pct"/>
            <w:tcBorders>
              <w:top w:val="nil"/>
              <w:left w:val="nil"/>
              <w:bottom w:val="nil"/>
              <w:right w:val="nil"/>
            </w:tcBorders>
            <w:shd w:val="clear" w:color="auto" w:fill="auto"/>
            <w:noWrap/>
            <w:vAlign w:val="bottom"/>
            <w:hideMark/>
          </w:tcPr>
          <w:p w14:paraId="76923806" w14:textId="77777777" w:rsidR="003A0332" w:rsidRDefault="003A0332" w:rsidP="003A0332">
            <w:pPr>
              <w:rPr>
                <w:rFonts w:ascii="Cambria" w:hAnsi="Cambria" w:cs="Arial"/>
                <w:color w:val="000000"/>
                <w:sz w:val="18"/>
                <w:szCs w:val="18"/>
              </w:rPr>
            </w:pPr>
          </w:p>
        </w:tc>
        <w:tc>
          <w:tcPr>
            <w:tcW w:w="508" w:type="pct"/>
            <w:tcBorders>
              <w:top w:val="nil"/>
              <w:left w:val="nil"/>
              <w:bottom w:val="nil"/>
              <w:right w:val="nil"/>
            </w:tcBorders>
            <w:shd w:val="clear" w:color="auto" w:fill="auto"/>
            <w:noWrap/>
            <w:vAlign w:val="bottom"/>
            <w:hideMark/>
          </w:tcPr>
          <w:p w14:paraId="627C3D68" w14:textId="77777777" w:rsidR="003A0332" w:rsidRDefault="003A0332" w:rsidP="003A0332">
            <w:pPr>
              <w:rPr>
                <w:sz w:val="20"/>
                <w:szCs w:val="20"/>
              </w:rPr>
            </w:pPr>
          </w:p>
        </w:tc>
        <w:tc>
          <w:tcPr>
            <w:tcW w:w="507" w:type="pct"/>
            <w:tcBorders>
              <w:top w:val="nil"/>
              <w:left w:val="nil"/>
              <w:bottom w:val="nil"/>
              <w:right w:val="nil"/>
            </w:tcBorders>
            <w:shd w:val="clear" w:color="auto" w:fill="auto"/>
            <w:noWrap/>
            <w:vAlign w:val="bottom"/>
            <w:hideMark/>
          </w:tcPr>
          <w:p w14:paraId="534CA91B" w14:textId="77777777" w:rsidR="003A0332" w:rsidRDefault="003A0332" w:rsidP="003A0332">
            <w:pPr>
              <w:rPr>
                <w:sz w:val="20"/>
                <w:szCs w:val="20"/>
              </w:rPr>
            </w:pPr>
          </w:p>
        </w:tc>
      </w:tr>
      <w:tr w:rsidR="003A0332" w14:paraId="19B49B50" w14:textId="77777777" w:rsidTr="008A28F5">
        <w:trPr>
          <w:trHeight w:val="549"/>
        </w:trPr>
        <w:tc>
          <w:tcPr>
            <w:tcW w:w="1729" w:type="pct"/>
            <w:tcBorders>
              <w:top w:val="nil"/>
              <w:left w:val="nil"/>
              <w:bottom w:val="nil"/>
              <w:right w:val="nil"/>
            </w:tcBorders>
            <w:shd w:val="clear" w:color="auto" w:fill="auto"/>
            <w:noWrap/>
            <w:vAlign w:val="bottom"/>
            <w:hideMark/>
          </w:tcPr>
          <w:p w14:paraId="07C9C4AA" w14:textId="77777777" w:rsidR="003A0332" w:rsidRDefault="003A0332" w:rsidP="003A0332">
            <w:pPr>
              <w:rPr>
                <w:rFonts w:ascii="Cambria" w:hAnsi="Cambria" w:cs="Arial"/>
                <w:sz w:val="18"/>
                <w:szCs w:val="18"/>
              </w:rPr>
            </w:pPr>
            <w:r>
              <w:rPr>
                <w:rFonts w:ascii="Cambria" w:hAnsi="Cambria"/>
                <w:sz w:val="18"/>
              </w:rPr>
              <w:t>Résultat de la gestion financière</w:t>
            </w:r>
          </w:p>
        </w:tc>
        <w:tc>
          <w:tcPr>
            <w:tcW w:w="796" w:type="pct"/>
            <w:tcBorders>
              <w:top w:val="nil"/>
              <w:left w:val="nil"/>
              <w:bottom w:val="single" w:sz="4" w:space="0" w:color="auto"/>
              <w:right w:val="nil"/>
            </w:tcBorders>
            <w:shd w:val="clear" w:color="auto" w:fill="auto"/>
            <w:noWrap/>
            <w:vAlign w:val="bottom"/>
            <w:hideMark/>
          </w:tcPr>
          <w:p w14:paraId="628A5B50" w14:textId="77777777" w:rsidR="003A0332" w:rsidRDefault="003A0332" w:rsidP="003A0332">
            <w:pPr>
              <w:jc w:val="right"/>
              <w:rPr>
                <w:rFonts w:ascii="Cambria" w:hAnsi="Cambria" w:cs="Arial"/>
                <w:color w:val="000000"/>
                <w:sz w:val="18"/>
                <w:szCs w:val="18"/>
              </w:rPr>
            </w:pPr>
            <w:r>
              <w:rPr>
                <w:rFonts w:ascii="Cambria" w:hAnsi="Cambria"/>
                <w:color w:val="000000"/>
                <w:sz w:val="18"/>
              </w:rPr>
              <w:t>(232 005)</w:t>
            </w:r>
          </w:p>
        </w:tc>
        <w:tc>
          <w:tcPr>
            <w:tcW w:w="331" w:type="pct"/>
            <w:tcBorders>
              <w:top w:val="nil"/>
              <w:left w:val="nil"/>
              <w:bottom w:val="single" w:sz="4" w:space="0" w:color="auto"/>
              <w:right w:val="nil"/>
            </w:tcBorders>
            <w:shd w:val="clear" w:color="auto" w:fill="auto"/>
            <w:noWrap/>
            <w:vAlign w:val="bottom"/>
            <w:hideMark/>
          </w:tcPr>
          <w:p w14:paraId="70DDF6AF"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2%</w:t>
            </w:r>
          </w:p>
        </w:tc>
        <w:tc>
          <w:tcPr>
            <w:tcW w:w="798" w:type="pct"/>
            <w:tcBorders>
              <w:top w:val="nil"/>
              <w:left w:val="nil"/>
              <w:bottom w:val="single" w:sz="4" w:space="0" w:color="auto"/>
              <w:right w:val="nil"/>
            </w:tcBorders>
            <w:shd w:val="clear" w:color="000000" w:fill="FFFFFF"/>
            <w:noWrap/>
            <w:vAlign w:val="bottom"/>
            <w:hideMark/>
          </w:tcPr>
          <w:p w14:paraId="0E4D83A0" w14:textId="77777777" w:rsidR="003A0332" w:rsidRDefault="003A0332" w:rsidP="003A0332">
            <w:pPr>
              <w:jc w:val="right"/>
              <w:rPr>
                <w:rFonts w:ascii="Cambria" w:hAnsi="Cambria" w:cs="Arial"/>
                <w:color w:val="000000"/>
                <w:sz w:val="18"/>
                <w:szCs w:val="18"/>
              </w:rPr>
            </w:pPr>
            <w:r>
              <w:rPr>
                <w:rFonts w:ascii="Cambria" w:hAnsi="Cambria"/>
                <w:color w:val="000000"/>
                <w:sz w:val="18"/>
              </w:rPr>
              <w:t>(148 760)</w:t>
            </w:r>
          </w:p>
        </w:tc>
        <w:tc>
          <w:tcPr>
            <w:tcW w:w="331" w:type="pct"/>
            <w:tcBorders>
              <w:top w:val="nil"/>
              <w:left w:val="nil"/>
              <w:bottom w:val="single" w:sz="4" w:space="0" w:color="auto"/>
              <w:right w:val="nil"/>
            </w:tcBorders>
            <w:shd w:val="clear" w:color="auto" w:fill="auto"/>
            <w:noWrap/>
            <w:vAlign w:val="bottom"/>
            <w:hideMark/>
          </w:tcPr>
          <w:p w14:paraId="4EBF41E7"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2%</w:t>
            </w:r>
          </w:p>
        </w:tc>
        <w:tc>
          <w:tcPr>
            <w:tcW w:w="508" w:type="pct"/>
            <w:tcBorders>
              <w:top w:val="nil"/>
              <w:left w:val="nil"/>
              <w:bottom w:val="single" w:sz="4" w:space="0" w:color="auto"/>
              <w:right w:val="nil"/>
            </w:tcBorders>
            <w:shd w:val="clear" w:color="auto" w:fill="auto"/>
            <w:noWrap/>
            <w:vAlign w:val="bottom"/>
            <w:hideMark/>
          </w:tcPr>
          <w:p w14:paraId="1A501E47" w14:textId="77777777" w:rsidR="003A0332" w:rsidRDefault="003A0332" w:rsidP="003A0332">
            <w:pPr>
              <w:jc w:val="right"/>
              <w:rPr>
                <w:rFonts w:ascii="Cambria" w:hAnsi="Cambria" w:cs="Arial"/>
                <w:color w:val="000000"/>
                <w:sz w:val="18"/>
                <w:szCs w:val="18"/>
              </w:rPr>
            </w:pPr>
            <w:r>
              <w:rPr>
                <w:rFonts w:ascii="Cambria" w:hAnsi="Cambria"/>
                <w:color w:val="000000"/>
                <w:sz w:val="18"/>
              </w:rPr>
              <w:t>(83 245)</w:t>
            </w:r>
          </w:p>
        </w:tc>
        <w:tc>
          <w:tcPr>
            <w:tcW w:w="507" w:type="pct"/>
            <w:tcBorders>
              <w:top w:val="nil"/>
              <w:left w:val="nil"/>
              <w:bottom w:val="single" w:sz="4" w:space="0" w:color="auto"/>
              <w:right w:val="nil"/>
            </w:tcBorders>
            <w:shd w:val="clear" w:color="auto" w:fill="auto"/>
            <w:noWrap/>
            <w:vAlign w:val="bottom"/>
            <w:hideMark/>
          </w:tcPr>
          <w:p w14:paraId="0EA637BA" w14:textId="77777777" w:rsidR="003A0332" w:rsidRDefault="003A0332" w:rsidP="003A0332">
            <w:pPr>
              <w:jc w:val="right"/>
              <w:rPr>
                <w:rFonts w:ascii="Cambria" w:hAnsi="Cambria" w:cs="Arial"/>
                <w:color w:val="000000"/>
                <w:sz w:val="18"/>
                <w:szCs w:val="18"/>
              </w:rPr>
            </w:pPr>
            <w:r>
              <w:rPr>
                <w:rFonts w:ascii="Cambria" w:hAnsi="Cambria"/>
                <w:color w:val="000000"/>
                <w:sz w:val="18"/>
              </w:rPr>
              <w:t>56%</w:t>
            </w:r>
          </w:p>
        </w:tc>
      </w:tr>
      <w:tr w:rsidR="003A0332" w14:paraId="1ED91C30" w14:textId="77777777" w:rsidTr="003A0332">
        <w:trPr>
          <w:trHeight w:val="228"/>
        </w:trPr>
        <w:tc>
          <w:tcPr>
            <w:tcW w:w="1729" w:type="pct"/>
            <w:tcBorders>
              <w:top w:val="nil"/>
              <w:left w:val="nil"/>
              <w:bottom w:val="nil"/>
              <w:right w:val="nil"/>
            </w:tcBorders>
            <w:shd w:val="clear" w:color="auto" w:fill="auto"/>
            <w:noWrap/>
            <w:vAlign w:val="bottom"/>
            <w:hideMark/>
          </w:tcPr>
          <w:p w14:paraId="40B6FD24" w14:textId="77777777" w:rsidR="003A0332" w:rsidRDefault="003A0332" w:rsidP="003A0332">
            <w:pPr>
              <w:rPr>
                <w:rFonts w:ascii="Cambria" w:hAnsi="Cambria" w:cs="Arial"/>
                <w:b/>
                <w:bCs/>
                <w:sz w:val="18"/>
                <w:szCs w:val="18"/>
              </w:rPr>
            </w:pPr>
            <w:r>
              <w:rPr>
                <w:rFonts w:ascii="Cambria" w:hAnsi="Cambria"/>
                <w:b/>
                <w:sz w:val="18"/>
              </w:rPr>
              <w:lastRenderedPageBreak/>
              <w:t>RÉSULTAT AVANT IMPÔTS</w:t>
            </w:r>
          </w:p>
        </w:tc>
        <w:tc>
          <w:tcPr>
            <w:tcW w:w="796" w:type="pct"/>
            <w:tcBorders>
              <w:top w:val="nil"/>
              <w:left w:val="nil"/>
              <w:bottom w:val="nil"/>
              <w:right w:val="nil"/>
            </w:tcBorders>
            <w:shd w:val="clear" w:color="auto" w:fill="auto"/>
            <w:noWrap/>
            <w:vAlign w:val="bottom"/>
            <w:hideMark/>
          </w:tcPr>
          <w:p w14:paraId="471A26F1" w14:textId="77777777" w:rsidR="003A0332" w:rsidRDefault="003A0332" w:rsidP="003A0332">
            <w:pPr>
              <w:jc w:val="right"/>
              <w:rPr>
                <w:rFonts w:ascii="Cambria" w:hAnsi="Cambria" w:cs="Arial"/>
                <w:b/>
                <w:bCs/>
                <w:color w:val="000000"/>
                <w:sz w:val="18"/>
                <w:szCs w:val="18"/>
              </w:rPr>
            </w:pPr>
            <w:r>
              <w:rPr>
                <w:rFonts w:ascii="Cambria" w:hAnsi="Cambria"/>
                <w:b/>
                <w:color w:val="000000"/>
                <w:sz w:val="18"/>
              </w:rPr>
              <w:t>2 806 937</w:t>
            </w:r>
          </w:p>
        </w:tc>
        <w:tc>
          <w:tcPr>
            <w:tcW w:w="331" w:type="pct"/>
            <w:tcBorders>
              <w:top w:val="nil"/>
              <w:left w:val="nil"/>
              <w:bottom w:val="nil"/>
              <w:right w:val="nil"/>
            </w:tcBorders>
            <w:shd w:val="clear" w:color="auto" w:fill="auto"/>
            <w:noWrap/>
            <w:vAlign w:val="bottom"/>
            <w:hideMark/>
          </w:tcPr>
          <w:p w14:paraId="5154D5B9" w14:textId="77777777" w:rsidR="003A0332" w:rsidRDefault="003A0332" w:rsidP="003A0332">
            <w:pPr>
              <w:jc w:val="center"/>
              <w:rPr>
                <w:rFonts w:ascii="Cambria" w:hAnsi="Cambria" w:cs="Arial"/>
                <w:b/>
                <w:bCs/>
                <w:color w:val="000000"/>
                <w:sz w:val="16"/>
                <w:szCs w:val="16"/>
              </w:rPr>
            </w:pPr>
            <w:r>
              <w:rPr>
                <w:rFonts w:ascii="Cambria" w:hAnsi="Cambria"/>
                <w:b/>
                <w:color w:val="000000"/>
                <w:sz w:val="16"/>
              </w:rPr>
              <w:t>24%</w:t>
            </w:r>
          </w:p>
        </w:tc>
        <w:tc>
          <w:tcPr>
            <w:tcW w:w="798" w:type="pct"/>
            <w:tcBorders>
              <w:top w:val="nil"/>
              <w:left w:val="nil"/>
              <w:bottom w:val="nil"/>
              <w:right w:val="nil"/>
            </w:tcBorders>
            <w:shd w:val="clear" w:color="000000" w:fill="FFFFFF"/>
            <w:noWrap/>
            <w:vAlign w:val="bottom"/>
            <w:hideMark/>
          </w:tcPr>
          <w:p w14:paraId="3E9802CF" w14:textId="77777777" w:rsidR="003A0332" w:rsidRDefault="003A0332" w:rsidP="003A0332">
            <w:pPr>
              <w:jc w:val="right"/>
              <w:rPr>
                <w:rFonts w:ascii="Cambria" w:hAnsi="Cambria" w:cs="Arial"/>
                <w:b/>
                <w:bCs/>
                <w:color w:val="000000"/>
                <w:sz w:val="18"/>
                <w:szCs w:val="18"/>
              </w:rPr>
            </w:pPr>
            <w:r>
              <w:rPr>
                <w:rFonts w:ascii="Cambria" w:hAnsi="Cambria"/>
                <w:b/>
                <w:color w:val="000000"/>
                <w:sz w:val="18"/>
              </w:rPr>
              <w:t>748 555</w:t>
            </w:r>
          </w:p>
        </w:tc>
        <w:tc>
          <w:tcPr>
            <w:tcW w:w="331" w:type="pct"/>
            <w:tcBorders>
              <w:top w:val="nil"/>
              <w:left w:val="nil"/>
              <w:bottom w:val="nil"/>
              <w:right w:val="nil"/>
            </w:tcBorders>
            <w:shd w:val="clear" w:color="auto" w:fill="auto"/>
            <w:noWrap/>
            <w:vAlign w:val="bottom"/>
            <w:hideMark/>
          </w:tcPr>
          <w:p w14:paraId="68B0888D" w14:textId="77777777" w:rsidR="003A0332" w:rsidRDefault="003A0332" w:rsidP="003A0332">
            <w:pPr>
              <w:jc w:val="center"/>
              <w:rPr>
                <w:rFonts w:ascii="Cambria" w:hAnsi="Cambria" w:cs="Arial"/>
                <w:b/>
                <w:bCs/>
                <w:color w:val="000000"/>
                <w:sz w:val="16"/>
                <w:szCs w:val="16"/>
              </w:rPr>
            </w:pPr>
            <w:r>
              <w:rPr>
                <w:rFonts w:ascii="Cambria" w:hAnsi="Cambria"/>
                <w:b/>
                <w:color w:val="000000"/>
                <w:sz w:val="16"/>
              </w:rPr>
              <w:t>6%</w:t>
            </w:r>
          </w:p>
        </w:tc>
        <w:tc>
          <w:tcPr>
            <w:tcW w:w="508" w:type="pct"/>
            <w:tcBorders>
              <w:top w:val="nil"/>
              <w:left w:val="nil"/>
              <w:bottom w:val="nil"/>
              <w:right w:val="nil"/>
            </w:tcBorders>
            <w:shd w:val="clear" w:color="auto" w:fill="auto"/>
            <w:noWrap/>
            <w:vAlign w:val="bottom"/>
            <w:hideMark/>
          </w:tcPr>
          <w:p w14:paraId="577382C1" w14:textId="77777777" w:rsidR="003A0332" w:rsidRDefault="003A0332" w:rsidP="003A0332">
            <w:pPr>
              <w:jc w:val="right"/>
              <w:rPr>
                <w:rFonts w:ascii="Cambria" w:hAnsi="Cambria" w:cs="Arial"/>
                <w:b/>
                <w:bCs/>
                <w:color w:val="000000"/>
                <w:sz w:val="18"/>
                <w:szCs w:val="18"/>
              </w:rPr>
            </w:pPr>
            <w:r>
              <w:rPr>
                <w:rFonts w:ascii="Cambria" w:hAnsi="Cambria"/>
                <w:b/>
                <w:color w:val="000000"/>
                <w:sz w:val="18"/>
              </w:rPr>
              <w:t>2 058 381</w:t>
            </w:r>
          </w:p>
        </w:tc>
        <w:tc>
          <w:tcPr>
            <w:tcW w:w="507" w:type="pct"/>
            <w:tcBorders>
              <w:top w:val="nil"/>
              <w:left w:val="nil"/>
              <w:bottom w:val="nil"/>
              <w:right w:val="nil"/>
            </w:tcBorders>
            <w:shd w:val="clear" w:color="auto" w:fill="auto"/>
            <w:noWrap/>
            <w:vAlign w:val="bottom"/>
            <w:hideMark/>
          </w:tcPr>
          <w:p w14:paraId="056C17C9" w14:textId="77777777" w:rsidR="003A0332" w:rsidRDefault="003A0332" w:rsidP="003A0332">
            <w:pPr>
              <w:jc w:val="right"/>
              <w:rPr>
                <w:rFonts w:ascii="Cambria" w:hAnsi="Cambria" w:cs="Arial"/>
                <w:b/>
                <w:bCs/>
                <w:color w:val="000000"/>
                <w:sz w:val="18"/>
                <w:szCs w:val="18"/>
              </w:rPr>
            </w:pPr>
            <w:r>
              <w:rPr>
                <w:rFonts w:ascii="Cambria" w:hAnsi="Cambria"/>
                <w:b/>
                <w:color w:val="000000"/>
                <w:sz w:val="18"/>
              </w:rPr>
              <w:t>275%</w:t>
            </w:r>
          </w:p>
        </w:tc>
      </w:tr>
      <w:tr w:rsidR="003A0332" w14:paraId="49572E12" w14:textId="77777777" w:rsidTr="003A0332">
        <w:trPr>
          <w:trHeight w:val="228"/>
        </w:trPr>
        <w:tc>
          <w:tcPr>
            <w:tcW w:w="1729" w:type="pct"/>
            <w:tcBorders>
              <w:top w:val="nil"/>
              <w:left w:val="nil"/>
              <w:bottom w:val="nil"/>
              <w:right w:val="nil"/>
            </w:tcBorders>
            <w:shd w:val="clear" w:color="auto" w:fill="auto"/>
            <w:noWrap/>
            <w:vAlign w:val="bottom"/>
            <w:hideMark/>
          </w:tcPr>
          <w:p w14:paraId="0A1B30B0" w14:textId="77777777" w:rsidR="003A0332" w:rsidRDefault="003A0332" w:rsidP="003A0332">
            <w:pPr>
              <w:jc w:val="right"/>
              <w:rPr>
                <w:rFonts w:ascii="Cambria" w:hAnsi="Cambria" w:cs="Arial"/>
                <w:b/>
                <w:bCs/>
                <w:color w:val="000000"/>
                <w:sz w:val="18"/>
                <w:szCs w:val="18"/>
              </w:rPr>
            </w:pPr>
          </w:p>
        </w:tc>
        <w:tc>
          <w:tcPr>
            <w:tcW w:w="796" w:type="pct"/>
            <w:tcBorders>
              <w:top w:val="nil"/>
              <w:left w:val="nil"/>
              <w:bottom w:val="nil"/>
              <w:right w:val="nil"/>
            </w:tcBorders>
            <w:shd w:val="clear" w:color="auto" w:fill="auto"/>
            <w:noWrap/>
            <w:vAlign w:val="bottom"/>
            <w:hideMark/>
          </w:tcPr>
          <w:p w14:paraId="50277BD8" w14:textId="77777777" w:rsidR="003A0332" w:rsidRDefault="003A0332" w:rsidP="003A0332">
            <w:pPr>
              <w:rPr>
                <w:sz w:val="20"/>
                <w:szCs w:val="20"/>
              </w:rPr>
            </w:pPr>
          </w:p>
        </w:tc>
        <w:tc>
          <w:tcPr>
            <w:tcW w:w="331" w:type="pct"/>
            <w:tcBorders>
              <w:top w:val="nil"/>
              <w:left w:val="nil"/>
              <w:bottom w:val="nil"/>
              <w:right w:val="nil"/>
            </w:tcBorders>
            <w:shd w:val="clear" w:color="auto" w:fill="auto"/>
            <w:noWrap/>
            <w:vAlign w:val="bottom"/>
            <w:hideMark/>
          </w:tcPr>
          <w:p w14:paraId="15C6F83F" w14:textId="77777777" w:rsidR="003A0332" w:rsidRDefault="003A0332" w:rsidP="003A0332">
            <w:pPr>
              <w:rPr>
                <w:sz w:val="20"/>
                <w:szCs w:val="20"/>
              </w:rPr>
            </w:pPr>
          </w:p>
        </w:tc>
        <w:tc>
          <w:tcPr>
            <w:tcW w:w="798" w:type="pct"/>
            <w:tcBorders>
              <w:top w:val="nil"/>
              <w:left w:val="nil"/>
              <w:bottom w:val="nil"/>
              <w:right w:val="nil"/>
            </w:tcBorders>
            <w:shd w:val="clear" w:color="000000" w:fill="FFFFFF"/>
            <w:noWrap/>
            <w:vAlign w:val="bottom"/>
            <w:hideMark/>
          </w:tcPr>
          <w:p w14:paraId="0D2E3626" w14:textId="77777777" w:rsidR="003A0332" w:rsidRDefault="003A0332" w:rsidP="003A0332">
            <w:pPr>
              <w:rPr>
                <w:rFonts w:ascii="Cambria" w:hAnsi="Cambria" w:cs="Arial"/>
                <w:color w:val="000000"/>
                <w:sz w:val="18"/>
                <w:szCs w:val="18"/>
              </w:rPr>
            </w:pPr>
            <w:r>
              <w:rPr>
                <w:rFonts w:ascii="Cambria" w:hAnsi="Cambria"/>
                <w:color w:val="000000"/>
                <w:sz w:val="18"/>
              </w:rPr>
              <w:t> </w:t>
            </w:r>
          </w:p>
        </w:tc>
        <w:tc>
          <w:tcPr>
            <w:tcW w:w="331" w:type="pct"/>
            <w:tcBorders>
              <w:top w:val="nil"/>
              <w:left w:val="nil"/>
              <w:bottom w:val="nil"/>
              <w:right w:val="nil"/>
            </w:tcBorders>
            <w:shd w:val="clear" w:color="auto" w:fill="auto"/>
            <w:noWrap/>
            <w:vAlign w:val="bottom"/>
            <w:hideMark/>
          </w:tcPr>
          <w:p w14:paraId="40DFF831" w14:textId="77777777" w:rsidR="003A0332" w:rsidRDefault="003A0332" w:rsidP="003A0332">
            <w:pPr>
              <w:rPr>
                <w:rFonts w:ascii="Cambria" w:hAnsi="Cambria" w:cs="Arial"/>
                <w:color w:val="000000"/>
                <w:sz w:val="18"/>
                <w:szCs w:val="18"/>
              </w:rPr>
            </w:pPr>
          </w:p>
        </w:tc>
        <w:tc>
          <w:tcPr>
            <w:tcW w:w="508" w:type="pct"/>
            <w:tcBorders>
              <w:top w:val="nil"/>
              <w:left w:val="nil"/>
              <w:bottom w:val="nil"/>
              <w:right w:val="nil"/>
            </w:tcBorders>
            <w:shd w:val="clear" w:color="auto" w:fill="auto"/>
            <w:noWrap/>
            <w:vAlign w:val="bottom"/>
            <w:hideMark/>
          </w:tcPr>
          <w:p w14:paraId="6B4145F7" w14:textId="77777777" w:rsidR="003A0332" w:rsidRDefault="003A0332" w:rsidP="003A0332">
            <w:pPr>
              <w:rPr>
                <w:sz w:val="20"/>
                <w:szCs w:val="20"/>
              </w:rPr>
            </w:pPr>
          </w:p>
        </w:tc>
        <w:tc>
          <w:tcPr>
            <w:tcW w:w="507" w:type="pct"/>
            <w:tcBorders>
              <w:top w:val="nil"/>
              <w:left w:val="nil"/>
              <w:bottom w:val="nil"/>
              <w:right w:val="nil"/>
            </w:tcBorders>
            <w:shd w:val="clear" w:color="auto" w:fill="auto"/>
            <w:noWrap/>
            <w:vAlign w:val="bottom"/>
            <w:hideMark/>
          </w:tcPr>
          <w:p w14:paraId="42261096" w14:textId="77777777" w:rsidR="003A0332" w:rsidRDefault="003A0332" w:rsidP="003A0332">
            <w:pPr>
              <w:rPr>
                <w:sz w:val="20"/>
                <w:szCs w:val="20"/>
              </w:rPr>
            </w:pPr>
          </w:p>
        </w:tc>
      </w:tr>
      <w:tr w:rsidR="003A0332" w14:paraId="638657CD" w14:textId="77777777" w:rsidTr="003A0332">
        <w:trPr>
          <w:trHeight w:val="228"/>
        </w:trPr>
        <w:tc>
          <w:tcPr>
            <w:tcW w:w="1729" w:type="pct"/>
            <w:tcBorders>
              <w:top w:val="nil"/>
              <w:left w:val="nil"/>
              <w:bottom w:val="nil"/>
              <w:right w:val="nil"/>
            </w:tcBorders>
            <w:shd w:val="clear" w:color="auto" w:fill="auto"/>
            <w:noWrap/>
            <w:vAlign w:val="bottom"/>
            <w:hideMark/>
          </w:tcPr>
          <w:p w14:paraId="308F51BD" w14:textId="77777777" w:rsidR="003A0332" w:rsidRDefault="003A0332" w:rsidP="003A0332">
            <w:pPr>
              <w:rPr>
                <w:rFonts w:ascii="Cambria" w:hAnsi="Cambria" w:cs="Arial"/>
                <w:sz w:val="18"/>
                <w:szCs w:val="18"/>
              </w:rPr>
            </w:pPr>
            <w:r>
              <w:rPr>
                <w:rFonts w:ascii="Cambria" w:hAnsi="Cambria"/>
                <w:sz w:val="18"/>
              </w:rPr>
              <w:t>Impôts sur le revenu</w:t>
            </w:r>
          </w:p>
        </w:tc>
        <w:tc>
          <w:tcPr>
            <w:tcW w:w="796" w:type="pct"/>
            <w:tcBorders>
              <w:top w:val="nil"/>
              <w:left w:val="nil"/>
              <w:bottom w:val="single" w:sz="4" w:space="0" w:color="auto"/>
              <w:right w:val="nil"/>
            </w:tcBorders>
            <w:shd w:val="clear" w:color="auto" w:fill="auto"/>
            <w:noWrap/>
            <w:vAlign w:val="bottom"/>
            <w:hideMark/>
          </w:tcPr>
          <w:p w14:paraId="053F9A67" w14:textId="77777777" w:rsidR="003A0332" w:rsidRDefault="003A0332" w:rsidP="003A0332">
            <w:pPr>
              <w:jc w:val="right"/>
              <w:rPr>
                <w:rFonts w:ascii="Cambria" w:hAnsi="Cambria" w:cs="Arial"/>
                <w:color w:val="000000"/>
                <w:sz w:val="18"/>
                <w:szCs w:val="18"/>
              </w:rPr>
            </w:pPr>
            <w:r>
              <w:rPr>
                <w:rFonts w:ascii="Cambria" w:hAnsi="Cambria"/>
                <w:color w:val="000000"/>
                <w:sz w:val="18"/>
              </w:rPr>
              <w:t>(678 267)</w:t>
            </w:r>
          </w:p>
        </w:tc>
        <w:tc>
          <w:tcPr>
            <w:tcW w:w="331" w:type="pct"/>
            <w:tcBorders>
              <w:top w:val="nil"/>
              <w:left w:val="nil"/>
              <w:bottom w:val="single" w:sz="4" w:space="0" w:color="auto"/>
              <w:right w:val="nil"/>
            </w:tcBorders>
            <w:shd w:val="clear" w:color="auto" w:fill="auto"/>
            <w:noWrap/>
            <w:vAlign w:val="bottom"/>
            <w:hideMark/>
          </w:tcPr>
          <w:p w14:paraId="7413139E"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1%</w:t>
            </w:r>
          </w:p>
        </w:tc>
        <w:tc>
          <w:tcPr>
            <w:tcW w:w="798" w:type="pct"/>
            <w:tcBorders>
              <w:top w:val="nil"/>
              <w:left w:val="nil"/>
              <w:bottom w:val="single" w:sz="4" w:space="0" w:color="auto"/>
              <w:right w:val="nil"/>
            </w:tcBorders>
            <w:shd w:val="clear" w:color="000000" w:fill="FFFFFF"/>
            <w:noWrap/>
            <w:vAlign w:val="bottom"/>
            <w:hideMark/>
          </w:tcPr>
          <w:p w14:paraId="1AE48910" w14:textId="77777777" w:rsidR="003A0332" w:rsidRDefault="003A0332" w:rsidP="003A0332">
            <w:pPr>
              <w:jc w:val="right"/>
              <w:rPr>
                <w:rFonts w:ascii="Cambria" w:hAnsi="Cambria" w:cs="Arial"/>
                <w:color w:val="000000"/>
                <w:sz w:val="18"/>
                <w:szCs w:val="18"/>
              </w:rPr>
            </w:pPr>
            <w:r>
              <w:rPr>
                <w:rFonts w:ascii="Cambria" w:hAnsi="Cambria"/>
                <w:color w:val="000000"/>
                <w:sz w:val="18"/>
              </w:rPr>
              <w:t>(132 868)</w:t>
            </w:r>
          </w:p>
        </w:tc>
        <w:tc>
          <w:tcPr>
            <w:tcW w:w="331" w:type="pct"/>
            <w:tcBorders>
              <w:top w:val="nil"/>
              <w:left w:val="nil"/>
              <w:bottom w:val="single" w:sz="4" w:space="0" w:color="auto"/>
              <w:right w:val="nil"/>
            </w:tcBorders>
            <w:shd w:val="clear" w:color="auto" w:fill="auto"/>
            <w:noWrap/>
            <w:vAlign w:val="bottom"/>
            <w:hideMark/>
          </w:tcPr>
          <w:p w14:paraId="4C6AFD9C" w14:textId="77777777" w:rsidR="003A0332" w:rsidRDefault="003A0332" w:rsidP="003A0332">
            <w:pPr>
              <w:jc w:val="center"/>
              <w:rPr>
                <w:rFonts w:ascii="Cambria" w:hAnsi="Cambria" w:cs="Arial"/>
                <w:i/>
                <w:iCs/>
                <w:color w:val="000000"/>
                <w:sz w:val="16"/>
                <w:szCs w:val="16"/>
              </w:rPr>
            </w:pPr>
            <w:r>
              <w:rPr>
                <w:rFonts w:ascii="Cambria" w:hAnsi="Cambria"/>
                <w:i/>
                <w:color w:val="000000"/>
                <w:sz w:val="16"/>
              </w:rPr>
              <w:t>1%</w:t>
            </w:r>
          </w:p>
        </w:tc>
        <w:tc>
          <w:tcPr>
            <w:tcW w:w="508" w:type="pct"/>
            <w:tcBorders>
              <w:top w:val="nil"/>
              <w:left w:val="nil"/>
              <w:bottom w:val="single" w:sz="4" w:space="0" w:color="auto"/>
              <w:right w:val="nil"/>
            </w:tcBorders>
            <w:shd w:val="clear" w:color="auto" w:fill="auto"/>
            <w:noWrap/>
            <w:vAlign w:val="bottom"/>
            <w:hideMark/>
          </w:tcPr>
          <w:p w14:paraId="3F90187F" w14:textId="77777777" w:rsidR="003A0332" w:rsidRDefault="003A0332" w:rsidP="003A0332">
            <w:pPr>
              <w:jc w:val="right"/>
              <w:rPr>
                <w:rFonts w:ascii="Cambria" w:hAnsi="Cambria" w:cs="Arial"/>
                <w:color w:val="000000"/>
                <w:sz w:val="18"/>
                <w:szCs w:val="18"/>
              </w:rPr>
            </w:pPr>
            <w:r>
              <w:rPr>
                <w:rFonts w:ascii="Cambria" w:hAnsi="Cambria"/>
                <w:color w:val="000000"/>
                <w:sz w:val="18"/>
              </w:rPr>
              <w:t>(545 399)</w:t>
            </w:r>
          </w:p>
        </w:tc>
        <w:tc>
          <w:tcPr>
            <w:tcW w:w="507" w:type="pct"/>
            <w:tcBorders>
              <w:top w:val="nil"/>
              <w:left w:val="nil"/>
              <w:bottom w:val="single" w:sz="4" w:space="0" w:color="auto"/>
              <w:right w:val="nil"/>
            </w:tcBorders>
            <w:shd w:val="clear" w:color="auto" w:fill="auto"/>
            <w:noWrap/>
            <w:vAlign w:val="bottom"/>
            <w:hideMark/>
          </w:tcPr>
          <w:p w14:paraId="16089D47" w14:textId="77777777" w:rsidR="003A0332" w:rsidRDefault="003A0332" w:rsidP="003A0332">
            <w:pPr>
              <w:jc w:val="right"/>
              <w:rPr>
                <w:rFonts w:ascii="Cambria" w:hAnsi="Cambria" w:cs="Arial"/>
                <w:color w:val="000000"/>
                <w:sz w:val="18"/>
                <w:szCs w:val="18"/>
              </w:rPr>
            </w:pPr>
            <w:r>
              <w:rPr>
                <w:rFonts w:ascii="Cambria" w:hAnsi="Cambria"/>
                <w:color w:val="000000"/>
                <w:sz w:val="18"/>
              </w:rPr>
              <w:t>410%</w:t>
            </w:r>
          </w:p>
        </w:tc>
      </w:tr>
      <w:tr w:rsidR="003A0332" w14:paraId="78C318A9" w14:textId="77777777" w:rsidTr="003A0332">
        <w:trPr>
          <w:trHeight w:val="240"/>
        </w:trPr>
        <w:tc>
          <w:tcPr>
            <w:tcW w:w="1729" w:type="pct"/>
            <w:tcBorders>
              <w:top w:val="nil"/>
              <w:left w:val="nil"/>
              <w:bottom w:val="nil"/>
              <w:right w:val="nil"/>
            </w:tcBorders>
            <w:shd w:val="clear" w:color="auto" w:fill="auto"/>
            <w:noWrap/>
            <w:vAlign w:val="bottom"/>
            <w:hideMark/>
          </w:tcPr>
          <w:p w14:paraId="33E3375A" w14:textId="77777777" w:rsidR="003A0332" w:rsidRDefault="003A0332" w:rsidP="003A0332">
            <w:pPr>
              <w:rPr>
                <w:rFonts w:ascii="Cambria" w:hAnsi="Cambria" w:cs="Arial"/>
                <w:b/>
                <w:bCs/>
                <w:sz w:val="18"/>
                <w:szCs w:val="18"/>
              </w:rPr>
            </w:pPr>
            <w:r>
              <w:rPr>
                <w:rFonts w:ascii="Cambria" w:hAnsi="Cambria"/>
                <w:b/>
                <w:sz w:val="18"/>
              </w:rPr>
              <w:t>RÉSULTAT POUR LA PÉRIODE</w:t>
            </w:r>
          </w:p>
        </w:tc>
        <w:tc>
          <w:tcPr>
            <w:tcW w:w="796" w:type="pct"/>
            <w:tcBorders>
              <w:top w:val="nil"/>
              <w:left w:val="nil"/>
              <w:bottom w:val="single" w:sz="8" w:space="0" w:color="auto"/>
              <w:right w:val="nil"/>
            </w:tcBorders>
            <w:shd w:val="clear" w:color="auto" w:fill="auto"/>
            <w:noWrap/>
            <w:vAlign w:val="bottom"/>
            <w:hideMark/>
          </w:tcPr>
          <w:p w14:paraId="2ECF5668" w14:textId="77777777" w:rsidR="003A0332" w:rsidRDefault="003A0332" w:rsidP="003A0332">
            <w:pPr>
              <w:jc w:val="right"/>
              <w:rPr>
                <w:rFonts w:ascii="Cambria" w:hAnsi="Cambria" w:cs="Arial"/>
                <w:b/>
                <w:bCs/>
                <w:color w:val="000000"/>
                <w:sz w:val="18"/>
                <w:szCs w:val="18"/>
              </w:rPr>
            </w:pPr>
            <w:r>
              <w:rPr>
                <w:rFonts w:ascii="Cambria" w:hAnsi="Cambria"/>
                <w:b/>
                <w:color w:val="000000"/>
                <w:sz w:val="18"/>
              </w:rPr>
              <w:t>2 128 669</w:t>
            </w:r>
          </w:p>
        </w:tc>
        <w:tc>
          <w:tcPr>
            <w:tcW w:w="331" w:type="pct"/>
            <w:tcBorders>
              <w:top w:val="nil"/>
              <w:left w:val="nil"/>
              <w:bottom w:val="single" w:sz="8" w:space="0" w:color="auto"/>
              <w:right w:val="nil"/>
            </w:tcBorders>
            <w:shd w:val="clear" w:color="auto" w:fill="auto"/>
            <w:noWrap/>
            <w:vAlign w:val="bottom"/>
            <w:hideMark/>
          </w:tcPr>
          <w:p w14:paraId="63329E09" w14:textId="77777777" w:rsidR="003A0332" w:rsidRDefault="003A0332" w:rsidP="003A0332">
            <w:pPr>
              <w:jc w:val="center"/>
              <w:rPr>
                <w:rFonts w:ascii="Cambria" w:hAnsi="Cambria" w:cs="Arial"/>
                <w:b/>
                <w:bCs/>
                <w:color w:val="000000"/>
                <w:sz w:val="16"/>
                <w:szCs w:val="16"/>
              </w:rPr>
            </w:pPr>
            <w:r>
              <w:rPr>
                <w:rFonts w:ascii="Cambria" w:hAnsi="Cambria"/>
                <w:b/>
                <w:color w:val="000000"/>
                <w:sz w:val="16"/>
              </w:rPr>
              <w:t>18%</w:t>
            </w:r>
          </w:p>
        </w:tc>
        <w:tc>
          <w:tcPr>
            <w:tcW w:w="798" w:type="pct"/>
            <w:tcBorders>
              <w:top w:val="nil"/>
              <w:left w:val="nil"/>
              <w:bottom w:val="single" w:sz="8" w:space="0" w:color="auto"/>
              <w:right w:val="nil"/>
            </w:tcBorders>
            <w:shd w:val="clear" w:color="000000" w:fill="FFFFFF"/>
            <w:noWrap/>
            <w:vAlign w:val="bottom"/>
            <w:hideMark/>
          </w:tcPr>
          <w:p w14:paraId="27E59956" w14:textId="77777777" w:rsidR="003A0332" w:rsidRDefault="003A0332" w:rsidP="003A0332">
            <w:pPr>
              <w:jc w:val="right"/>
              <w:rPr>
                <w:rFonts w:ascii="Cambria" w:hAnsi="Cambria" w:cs="Arial"/>
                <w:b/>
                <w:bCs/>
                <w:color w:val="000000"/>
                <w:sz w:val="18"/>
                <w:szCs w:val="18"/>
              </w:rPr>
            </w:pPr>
            <w:r>
              <w:rPr>
                <w:rFonts w:ascii="Cambria" w:hAnsi="Cambria"/>
                <w:b/>
                <w:color w:val="000000"/>
                <w:sz w:val="18"/>
              </w:rPr>
              <w:t>615 687</w:t>
            </w:r>
          </w:p>
        </w:tc>
        <w:tc>
          <w:tcPr>
            <w:tcW w:w="331" w:type="pct"/>
            <w:tcBorders>
              <w:top w:val="nil"/>
              <w:left w:val="nil"/>
              <w:bottom w:val="single" w:sz="8" w:space="0" w:color="auto"/>
              <w:right w:val="nil"/>
            </w:tcBorders>
            <w:shd w:val="clear" w:color="auto" w:fill="auto"/>
            <w:noWrap/>
            <w:vAlign w:val="bottom"/>
            <w:hideMark/>
          </w:tcPr>
          <w:p w14:paraId="2E383875" w14:textId="77777777" w:rsidR="003A0332" w:rsidRDefault="003A0332" w:rsidP="003A0332">
            <w:pPr>
              <w:jc w:val="center"/>
              <w:rPr>
                <w:rFonts w:ascii="Cambria" w:hAnsi="Cambria" w:cs="Arial"/>
                <w:b/>
                <w:bCs/>
                <w:color w:val="000000"/>
                <w:sz w:val="16"/>
                <w:szCs w:val="16"/>
              </w:rPr>
            </w:pPr>
            <w:r>
              <w:rPr>
                <w:rFonts w:ascii="Cambria" w:hAnsi="Cambria"/>
                <w:b/>
                <w:color w:val="000000"/>
                <w:sz w:val="16"/>
              </w:rPr>
              <w:t>5%</w:t>
            </w:r>
          </w:p>
        </w:tc>
        <w:tc>
          <w:tcPr>
            <w:tcW w:w="508" w:type="pct"/>
            <w:tcBorders>
              <w:top w:val="nil"/>
              <w:left w:val="nil"/>
              <w:bottom w:val="single" w:sz="8" w:space="0" w:color="auto"/>
              <w:right w:val="nil"/>
            </w:tcBorders>
            <w:shd w:val="clear" w:color="auto" w:fill="auto"/>
            <w:noWrap/>
            <w:vAlign w:val="bottom"/>
            <w:hideMark/>
          </w:tcPr>
          <w:p w14:paraId="3DDAAD88" w14:textId="77777777" w:rsidR="003A0332" w:rsidRDefault="003A0332" w:rsidP="003A0332">
            <w:pPr>
              <w:jc w:val="right"/>
              <w:rPr>
                <w:rFonts w:ascii="Cambria" w:hAnsi="Cambria" w:cs="Arial"/>
                <w:b/>
                <w:bCs/>
                <w:color w:val="000000"/>
                <w:sz w:val="18"/>
                <w:szCs w:val="18"/>
              </w:rPr>
            </w:pPr>
            <w:r>
              <w:rPr>
                <w:rFonts w:ascii="Cambria" w:hAnsi="Cambria"/>
                <w:b/>
                <w:color w:val="000000"/>
                <w:sz w:val="18"/>
              </w:rPr>
              <w:t>1 512 982</w:t>
            </w:r>
          </w:p>
        </w:tc>
        <w:tc>
          <w:tcPr>
            <w:tcW w:w="507" w:type="pct"/>
            <w:tcBorders>
              <w:top w:val="nil"/>
              <w:left w:val="nil"/>
              <w:bottom w:val="single" w:sz="8" w:space="0" w:color="auto"/>
              <w:right w:val="nil"/>
            </w:tcBorders>
            <w:shd w:val="clear" w:color="auto" w:fill="auto"/>
            <w:noWrap/>
            <w:vAlign w:val="bottom"/>
            <w:hideMark/>
          </w:tcPr>
          <w:p w14:paraId="094009C2" w14:textId="77777777" w:rsidR="003A0332" w:rsidRDefault="003A0332" w:rsidP="003A0332">
            <w:pPr>
              <w:jc w:val="right"/>
              <w:rPr>
                <w:rFonts w:ascii="Cambria" w:hAnsi="Cambria" w:cs="Arial"/>
                <w:b/>
                <w:bCs/>
                <w:color w:val="000000"/>
                <w:sz w:val="18"/>
                <w:szCs w:val="18"/>
              </w:rPr>
            </w:pPr>
            <w:r>
              <w:rPr>
                <w:rFonts w:ascii="Cambria" w:hAnsi="Cambria"/>
                <w:b/>
                <w:color w:val="000000"/>
                <w:sz w:val="18"/>
              </w:rPr>
              <w:t>246%</w:t>
            </w:r>
          </w:p>
        </w:tc>
      </w:tr>
    </w:tbl>
    <w:p w14:paraId="4A685E1F" w14:textId="77777777" w:rsidR="003A0332" w:rsidRDefault="003A0332" w:rsidP="00F75C34">
      <w:pPr>
        <w:spacing w:after="200" w:line="276" w:lineRule="auto"/>
        <w:jc w:val="both"/>
        <w:rPr>
          <w:rFonts w:ascii="Cambria" w:hAnsi="Cambria"/>
          <w:sz w:val="22"/>
          <w:szCs w:val="22"/>
        </w:rPr>
      </w:pPr>
    </w:p>
    <w:p w14:paraId="6DC6DD35" w14:textId="6E2638AC" w:rsidR="000A6008" w:rsidRPr="00C17031" w:rsidRDefault="00E12111" w:rsidP="000A6008">
      <w:pPr>
        <w:spacing w:after="200" w:line="276" w:lineRule="auto"/>
        <w:jc w:val="both"/>
        <w:rPr>
          <w:rFonts w:ascii="Cambria" w:hAnsi="Cambria" w:cs="Arial"/>
          <w:sz w:val="22"/>
          <w:szCs w:val="22"/>
        </w:rPr>
      </w:pPr>
      <w:r>
        <w:rPr>
          <w:rFonts w:ascii="Cambria" w:hAnsi="Cambria"/>
          <w:sz w:val="22"/>
        </w:rPr>
        <w:t>Nous rappelons que le poste autres produits comprend principalement des subventions publiques pour 277 000 euros reçues de la part de la Région des Pouilles au titre des emprunts contractés pour faire face à la crise de la pandémie, de même que le coût du personnel a été positivement influencé par le bénéfice du CIGS (fonds extraordinaire de garantie des salaires), bien qu'en augmentation par rapport à l'année précédente.</w:t>
      </w:r>
    </w:p>
    <w:p w14:paraId="012125C8" w14:textId="63EFDAB1" w:rsidR="00AE22B9" w:rsidRPr="00C17031" w:rsidRDefault="00AE22B9" w:rsidP="000A6008">
      <w:pPr>
        <w:spacing w:after="200" w:line="276" w:lineRule="auto"/>
        <w:jc w:val="both"/>
        <w:rPr>
          <w:rFonts w:ascii="Cambria" w:hAnsi="Cambria" w:cs="Arial"/>
          <w:sz w:val="22"/>
          <w:szCs w:val="22"/>
        </w:rPr>
      </w:pPr>
      <w:r>
        <w:rPr>
          <w:rFonts w:ascii="Cambria" w:hAnsi="Cambria"/>
          <w:sz w:val="22"/>
        </w:rPr>
        <w:t>Les coûts des services ont augmenté de 81 000 euros et sont en ligne avec l'augmentation des ventes de la période de référence.</w:t>
      </w:r>
    </w:p>
    <w:p w14:paraId="6FB30FF1" w14:textId="0AF873E1" w:rsidR="00AE22B9" w:rsidRPr="00C17031" w:rsidRDefault="00AE22B9" w:rsidP="000A6008">
      <w:pPr>
        <w:spacing w:after="200" w:line="276" w:lineRule="auto"/>
        <w:jc w:val="both"/>
        <w:rPr>
          <w:rFonts w:ascii="Cambria" w:hAnsi="Cambria" w:cs="Arial"/>
          <w:sz w:val="22"/>
          <w:szCs w:val="22"/>
        </w:rPr>
      </w:pPr>
      <w:r>
        <w:rPr>
          <w:rFonts w:ascii="Cambria" w:hAnsi="Cambria"/>
          <w:sz w:val="22"/>
        </w:rPr>
        <w:t>Le solde de la gestion financière, une charge en 2020 de 232 000 euros, est principalement affecté par les intérêts sur les hypothèques et les prêts contractés par Take Off, ainsi que par les charges financières sur les contrats de droits d'utilisation et par l'effet des différences de change reconnues par Over pendant la période de référence.</w:t>
      </w:r>
    </w:p>
    <w:p w14:paraId="437789C9" w14:textId="286AD286" w:rsidR="00F75C34" w:rsidRPr="001B6D59" w:rsidRDefault="00F75C34" w:rsidP="001B6D59">
      <w:pPr>
        <w:pStyle w:val="Titolo2"/>
        <w:spacing w:line="360" w:lineRule="auto"/>
        <w:ind w:left="0"/>
        <w:jc w:val="left"/>
        <w:rPr>
          <w:i w:val="0"/>
        </w:rPr>
      </w:pPr>
      <w:bookmarkStart w:id="20" w:name="_Toc112768599"/>
      <w:r>
        <w:rPr>
          <w:i w:val="0"/>
        </w:rPr>
        <w:t>Principales données de l'état de la situation financière</w:t>
      </w:r>
      <w:bookmarkEnd w:id="20"/>
    </w:p>
    <w:p w14:paraId="5BEDC55A" w14:textId="2295B401" w:rsidR="00203683" w:rsidRDefault="00F94B18" w:rsidP="00203683">
      <w:pPr>
        <w:spacing w:after="200" w:line="276" w:lineRule="auto"/>
        <w:jc w:val="both"/>
        <w:rPr>
          <w:rFonts w:ascii="Cambria" w:hAnsi="Cambria"/>
          <w:sz w:val="22"/>
          <w:szCs w:val="22"/>
        </w:rPr>
      </w:pPr>
      <w:r>
        <w:rPr>
          <w:rFonts w:ascii="Cambria" w:hAnsi="Cambria"/>
          <w:sz w:val="22"/>
        </w:rPr>
        <w:t>L'état de la situation financière agrégée du Groupe, comparé à celui du 31 décembre 2020, est le suivant :</w:t>
      </w:r>
    </w:p>
    <w:tbl>
      <w:tblPr>
        <w:tblW w:w="5000" w:type="pct"/>
        <w:tblCellMar>
          <w:left w:w="70" w:type="dxa"/>
          <w:right w:w="70" w:type="dxa"/>
        </w:tblCellMar>
        <w:tblLook w:val="04A0" w:firstRow="1" w:lastRow="0" w:firstColumn="1" w:lastColumn="0" w:noHBand="0" w:noVBand="1"/>
      </w:tblPr>
      <w:tblGrid>
        <w:gridCol w:w="5799"/>
        <w:gridCol w:w="1852"/>
        <w:gridCol w:w="1987"/>
      </w:tblGrid>
      <w:tr w:rsidR="001E338F" w14:paraId="2F93AD2F" w14:textId="77777777" w:rsidTr="000E77CE">
        <w:trPr>
          <w:trHeight w:val="443"/>
        </w:trPr>
        <w:tc>
          <w:tcPr>
            <w:tcW w:w="3008" w:type="pct"/>
            <w:tcBorders>
              <w:top w:val="single" w:sz="4" w:space="0" w:color="0070C0"/>
              <w:left w:val="nil"/>
              <w:bottom w:val="single" w:sz="8" w:space="0" w:color="0070C0"/>
              <w:right w:val="nil"/>
            </w:tcBorders>
            <w:shd w:val="clear" w:color="auto" w:fill="auto"/>
            <w:noWrap/>
            <w:vAlign w:val="bottom"/>
            <w:hideMark/>
          </w:tcPr>
          <w:p w14:paraId="53CD47FD" w14:textId="77777777" w:rsidR="001E338F" w:rsidRDefault="001E338F">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961" w:type="pct"/>
            <w:tcBorders>
              <w:top w:val="single" w:sz="4" w:space="0" w:color="0070C0"/>
              <w:left w:val="nil"/>
              <w:bottom w:val="single" w:sz="8" w:space="0" w:color="0070C0"/>
              <w:right w:val="nil"/>
            </w:tcBorders>
            <w:shd w:val="clear" w:color="auto" w:fill="auto"/>
            <w:vAlign w:val="bottom"/>
            <w:hideMark/>
          </w:tcPr>
          <w:p w14:paraId="054FA65B" w14:textId="77777777" w:rsidR="001E338F" w:rsidRDefault="001E338F">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1031" w:type="pct"/>
            <w:tcBorders>
              <w:top w:val="single" w:sz="4" w:space="0" w:color="0070C0"/>
              <w:left w:val="nil"/>
              <w:bottom w:val="single" w:sz="8" w:space="0" w:color="0070C0"/>
              <w:right w:val="nil"/>
            </w:tcBorders>
            <w:shd w:val="clear" w:color="auto" w:fill="auto"/>
            <w:vAlign w:val="bottom"/>
            <w:hideMark/>
          </w:tcPr>
          <w:p w14:paraId="5BADA4AF" w14:textId="77777777" w:rsidR="001E338F" w:rsidRDefault="001E338F">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r>
      <w:tr w:rsidR="001E338F" w14:paraId="70DC69A6" w14:textId="77777777" w:rsidTr="000E77CE">
        <w:trPr>
          <w:trHeight w:val="204"/>
        </w:trPr>
        <w:tc>
          <w:tcPr>
            <w:tcW w:w="3008" w:type="pct"/>
            <w:tcBorders>
              <w:top w:val="nil"/>
              <w:left w:val="nil"/>
              <w:bottom w:val="nil"/>
              <w:right w:val="nil"/>
            </w:tcBorders>
            <w:shd w:val="clear" w:color="auto" w:fill="auto"/>
            <w:noWrap/>
            <w:vAlign w:val="bottom"/>
            <w:hideMark/>
          </w:tcPr>
          <w:p w14:paraId="4F67B539" w14:textId="77777777" w:rsidR="001E338F" w:rsidRDefault="001E338F">
            <w:pPr>
              <w:rPr>
                <w:rFonts w:ascii="Cambria" w:hAnsi="Cambria" w:cs="Arial"/>
                <w:color w:val="000000"/>
                <w:sz w:val="18"/>
                <w:szCs w:val="18"/>
              </w:rPr>
            </w:pPr>
            <w:r>
              <w:rPr>
                <w:rFonts w:ascii="Cambria" w:hAnsi="Cambria"/>
                <w:color w:val="000000"/>
                <w:sz w:val="18"/>
              </w:rPr>
              <w:t>Immobilisations corporelles</w:t>
            </w:r>
          </w:p>
        </w:tc>
        <w:tc>
          <w:tcPr>
            <w:tcW w:w="961" w:type="pct"/>
            <w:tcBorders>
              <w:top w:val="nil"/>
              <w:left w:val="nil"/>
              <w:bottom w:val="nil"/>
              <w:right w:val="nil"/>
            </w:tcBorders>
            <w:shd w:val="clear" w:color="auto" w:fill="auto"/>
            <w:noWrap/>
            <w:vAlign w:val="bottom"/>
            <w:hideMark/>
          </w:tcPr>
          <w:p w14:paraId="58A01AAE" w14:textId="77777777" w:rsidR="001E338F" w:rsidRDefault="001E338F">
            <w:pPr>
              <w:jc w:val="right"/>
              <w:rPr>
                <w:rFonts w:ascii="Cambria" w:hAnsi="Cambria" w:cs="Arial"/>
                <w:color w:val="000000"/>
                <w:sz w:val="18"/>
                <w:szCs w:val="18"/>
              </w:rPr>
            </w:pPr>
            <w:r>
              <w:rPr>
                <w:rFonts w:ascii="Cambria" w:hAnsi="Cambria"/>
                <w:color w:val="000000"/>
                <w:sz w:val="18"/>
              </w:rPr>
              <w:t>1 328 086</w:t>
            </w:r>
          </w:p>
        </w:tc>
        <w:tc>
          <w:tcPr>
            <w:tcW w:w="1031" w:type="pct"/>
            <w:tcBorders>
              <w:top w:val="nil"/>
              <w:left w:val="nil"/>
              <w:bottom w:val="nil"/>
              <w:right w:val="nil"/>
            </w:tcBorders>
            <w:shd w:val="clear" w:color="auto" w:fill="auto"/>
            <w:noWrap/>
            <w:vAlign w:val="bottom"/>
            <w:hideMark/>
          </w:tcPr>
          <w:p w14:paraId="112C7049" w14:textId="77777777" w:rsidR="001E338F" w:rsidRDefault="001E338F">
            <w:pPr>
              <w:jc w:val="right"/>
              <w:rPr>
                <w:rFonts w:ascii="Cambria" w:hAnsi="Cambria" w:cs="Arial"/>
                <w:color w:val="000000"/>
                <w:sz w:val="18"/>
                <w:szCs w:val="18"/>
              </w:rPr>
            </w:pPr>
            <w:r>
              <w:rPr>
                <w:rFonts w:ascii="Cambria" w:hAnsi="Cambria"/>
                <w:color w:val="000000"/>
                <w:sz w:val="18"/>
              </w:rPr>
              <w:t>1 961 109</w:t>
            </w:r>
          </w:p>
        </w:tc>
      </w:tr>
      <w:tr w:rsidR="001E338F" w14:paraId="3B3A066A" w14:textId="77777777" w:rsidTr="000E77CE">
        <w:trPr>
          <w:trHeight w:val="204"/>
        </w:trPr>
        <w:tc>
          <w:tcPr>
            <w:tcW w:w="3008" w:type="pct"/>
            <w:tcBorders>
              <w:top w:val="nil"/>
              <w:left w:val="nil"/>
              <w:bottom w:val="nil"/>
              <w:right w:val="nil"/>
            </w:tcBorders>
            <w:shd w:val="clear" w:color="auto" w:fill="auto"/>
            <w:noWrap/>
            <w:vAlign w:val="bottom"/>
            <w:hideMark/>
          </w:tcPr>
          <w:p w14:paraId="52CDE9EF" w14:textId="77777777" w:rsidR="001E338F" w:rsidRDefault="001E338F">
            <w:pPr>
              <w:rPr>
                <w:rFonts w:ascii="Cambria" w:hAnsi="Cambria" w:cs="Arial"/>
                <w:color w:val="000000"/>
                <w:sz w:val="18"/>
                <w:szCs w:val="18"/>
              </w:rPr>
            </w:pPr>
            <w:r>
              <w:rPr>
                <w:rFonts w:ascii="Cambria" w:hAnsi="Cambria"/>
                <w:color w:val="000000"/>
                <w:sz w:val="18"/>
              </w:rPr>
              <w:t>Immobilisations incorporelles</w:t>
            </w:r>
          </w:p>
        </w:tc>
        <w:tc>
          <w:tcPr>
            <w:tcW w:w="961" w:type="pct"/>
            <w:tcBorders>
              <w:top w:val="nil"/>
              <w:left w:val="nil"/>
              <w:bottom w:val="nil"/>
              <w:right w:val="nil"/>
            </w:tcBorders>
            <w:shd w:val="clear" w:color="auto" w:fill="auto"/>
            <w:noWrap/>
            <w:vAlign w:val="bottom"/>
            <w:hideMark/>
          </w:tcPr>
          <w:p w14:paraId="40944D91" w14:textId="77777777" w:rsidR="001E338F" w:rsidRDefault="001E338F">
            <w:pPr>
              <w:jc w:val="right"/>
              <w:rPr>
                <w:rFonts w:ascii="Cambria" w:hAnsi="Cambria" w:cs="Arial"/>
                <w:color w:val="000000"/>
                <w:sz w:val="18"/>
                <w:szCs w:val="18"/>
              </w:rPr>
            </w:pPr>
            <w:r>
              <w:rPr>
                <w:rFonts w:ascii="Cambria" w:hAnsi="Cambria"/>
                <w:color w:val="000000"/>
                <w:sz w:val="18"/>
              </w:rPr>
              <w:t>119 607</w:t>
            </w:r>
          </w:p>
        </w:tc>
        <w:tc>
          <w:tcPr>
            <w:tcW w:w="1031" w:type="pct"/>
            <w:tcBorders>
              <w:top w:val="nil"/>
              <w:left w:val="nil"/>
              <w:bottom w:val="nil"/>
              <w:right w:val="nil"/>
            </w:tcBorders>
            <w:shd w:val="clear" w:color="auto" w:fill="auto"/>
            <w:noWrap/>
            <w:vAlign w:val="bottom"/>
            <w:hideMark/>
          </w:tcPr>
          <w:p w14:paraId="1470820E" w14:textId="77777777" w:rsidR="001E338F" w:rsidRDefault="001E338F">
            <w:pPr>
              <w:jc w:val="right"/>
              <w:rPr>
                <w:rFonts w:ascii="Cambria" w:hAnsi="Cambria" w:cs="Arial"/>
                <w:color w:val="000000"/>
                <w:sz w:val="18"/>
                <w:szCs w:val="18"/>
              </w:rPr>
            </w:pPr>
            <w:r>
              <w:rPr>
                <w:rFonts w:ascii="Cambria" w:hAnsi="Cambria"/>
                <w:color w:val="000000"/>
                <w:sz w:val="18"/>
              </w:rPr>
              <w:t>15 185</w:t>
            </w:r>
          </w:p>
        </w:tc>
      </w:tr>
      <w:tr w:rsidR="001E338F" w14:paraId="6015EB85" w14:textId="77777777" w:rsidTr="000E77CE">
        <w:trPr>
          <w:trHeight w:val="204"/>
        </w:trPr>
        <w:tc>
          <w:tcPr>
            <w:tcW w:w="3008" w:type="pct"/>
            <w:tcBorders>
              <w:top w:val="nil"/>
              <w:left w:val="nil"/>
              <w:bottom w:val="nil"/>
              <w:right w:val="nil"/>
            </w:tcBorders>
            <w:shd w:val="clear" w:color="auto" w:fill="auto"/>
            <w:noWrap/>
            <w:vAlign w:val="bottom"/>
            <w:hideMark/>
          </w:tcPr>
          <w:p w14:paraId="3C14D43E" w14:textId="77777777" w:rsidR="001E338F" w:rsidRDefault="001E338F">
            <w:pPr>
              <w:rPr>
                <w:rFonts w:ascii="Cambria" w:hAnsi="Cambria" w:cs="Arial"/>
                <w:color w:val="000000"/>
                <w:sz w:val="18"/>
                <w:szCs w:val="18"/>
              </w:rPr>
            </w:pPr>
            <w:r>
              <w:rPr>
                <w:rFonts w:ascii="Cambria" w:hAnsi="Cambria"/>
                <w:color w:val="000000"/>
                <w:sz w:val="18"/>
              </w:rPr>
              <w:t>Droits d’utilisation</w:t>
            </w:r>
          </w:p>
        </w:tc>
        <w:tc>
          <w:tcPr>
            <w:tcW w:w="961" w:type="pct"/>
            <w:tcBorders>
              <w:top w:val="nil"/>
              <w:left w:val="nil"/>
              <w:bottom w:val="nil"/>
              <w:right w:val="nil"/>
            </w:tcBorders>
            <w:shd w:val="clear" w:color="auto" w:fill="auto"/>
            <w:noWrap/>
            <w:vAlign w:val="bottom"/>
            <w:hideMark/>
          </w:tcPr>
          <w:p w14:paraId="061F3029" w14:textId="77777777" w:rsidR="001E338F" w:rsidRDefault="001E338F">
            <w:pPr>
              <w:jc w:val="right"/>
              <w:rPr>
                <w:rFonts w:ascii="Cambria" w:hAnsi="Cambria" w:cs="Arial"/>
                <w:color w:val="000000"/>
                <w:sz w:val="18"/>
                <w:szCs w:val="18"/>
              </w:rPr>
            </w:pPr>
            <w:r>
              <w:rPr>
                <w:rFonts w:ascii="Cambria" w:hAnsi="Cambria"/>
                <w:color w:val="000000"/>
                <w:sz w:val="18"/>
              </w:rPr>
              <w:t>7 125 449</w:t>
            </w:r>
          </w:p>
        </w:tc>
        <w:tc>
          <w:tcPr>
            <w:tcW w:w="1031" w:type="pct"/>
            <w:tcBorders>
              <w:top w:val="nil"/>
              <w:left w:val="nil"/>
              <w:bottom w:val="nil"/>
              <w:right w:val="nil"/>
            </w:tcBorders>
            <w:shd w:val="clear" w:color="auto" w:fill="auto"/>
            <w:noWrap/>
            <w:vAlign w:val="bottom"/>
            <w:hideMark/>
          </w:tcPr>
          <w:p w14:paraId="75873C01" w14:textId="77777777" w:rsidR="001E338F" w:rsidRDefault="001E338F">
            <w:pPr>
              <w:jc w:val="right"/>
              <w:rPr>
                <w:rFonts w:ascii="Cambria" w:hAnsi="Cambria" w:cs="Arial"/>
                <w:color w:val="000000"/>
                <w:sz w:val="18"/>
                <w:szCs w:val="18"/>
              </w:rPr>
            </w:pPr>
            <w:r>
              <w:rPr>
                <w:rFonts w:ascii="Cambria" w:hAnsi="Cambria"/>
                <w:color w:val="000000"/>
                <w:sz w:val="18"/>
              </w:rPr>
              <w:t>7 789 800</w:t>
            </w:r>
          </w:p>
        </w:tc>
      </w:tr>
      <w:tr w:rsidR="001E338F" w14:paraId="1CDEF58C" w14:textId="77777777" w:rsidTr="000E77CE">
        <w:trPr>
          <w:trHeight w:val="204"/>
        </w:trPr>
        <w:tc>
          <w:tcPr>
            <w:tcW w:w="3008" w:type="pct"/>
            <w:tcBorders>
              <w:top w:val="nil"/>
              <w:left w:val="nil"/>
              <w:bottom w:val="nil"/>
              <w:right w:val="nil"/>
            </w:tcBorders>
            <w:shd w:val="clear" w:color="auto" w:fill="auto"/>
            <w:noWrap/>
            <w:vAlign w:val="bottom"/>
            <w:hideMark/>
          </w:tcPr>
          <w:p w14:paraId="10724769" w14:textId="77777777" w:rsidR="001E338F" w:rsidRDefault="001E338F">
            <w:pPr>
              <w:rPr>
                <w:rFonts w:ascii="Cambria" w:hAnsi="Cambria" w:cs="Arial"/>
                <w:color w:val="000000"/>
                <w:sz w:val="18"/>
                <w:szCs w:val="18"/>
              </w:rPr>
            </w:pPr>
            <w:r>
              <w:rPr>
                <w:rFonts w:ascii="Cambria" w:hAnsi="Cambria"/>
                <w:color w:val="000000"/>
                <w:sz w:val="18"/>
              </w:rPr>
              <w:t>Autres actifs à long terme</w:t>
            </w:r>
          </w:p>
        </w:tc>
        <w:tc>
          <w:tcPr>
            <w:tcW w:w="961" w:type="pct"/>
            <w:tcBorders>
              <w:top w:val="nil"/>
              <w:left w:val="nil"/>
              <w:bottom w:val="nil"/>
              <w:right w:val="nil"/>
            </w:tcBorders>
            <w:shd w:val="clear" w:color="auto" w:fill="auto"/>
            <w:noWrap/>
            <w:vAlign w:val="bottom"/>
            <w:hideMark/>
          </w:tcPr>
          <w:p w14:paraId="0B2A3CCC" w14:textId="77777777" w:rsidR="001E338F" w:rsidRDefault="001E338F">
            <w:pPr>
              <w:jc w:val="right"/>
              <w:rPr>
                <w:rFonts w:ascii="Cambria" w:hAnsi="Cambria" w:cs="Arial"/>
                <w:color w:val="000000"/>
                <w:sz w:val="18"/>
                <w:szCs w:val="18"/>
              </w:rPr>
            </w:pPr>
            <w:r>
              <w:rPr>
                <w:rFonts w:ascii="Cambria" w:hAnsi="Cambria"/>
                <w:color w:val="000000"/>
                <w:sz w:val="18"/>
              </w:rPr>
              <w:t>470 071</w:t>
            </w:r>
          </w:p>
        </w:tc>
        <w:tc>
          <w:tcPr>
            <w:tcW w:w="1031" w:type="pct"/>
            <w:tcBorders>
              <w:top w:val="nil"/>
              <w:left w:val="nil"/>
              <w:bottom w:val="nil"/>
              <w:right w:val="nil"/>
            </w:tcBorders>
            <w:shd w:val="clear" w:color="auto" w:fill="auto"/>
            <w:noWrap/>
            <w:vAlign w:val="bottom"/>
            <w:hideMark/>
          </w:tcPr>
          <w:p w14:paraId="6E6B13AE" w14:textId="77777777" w:rsidR="001E338F" w:rsidRDefault="001E338F">
            <w:pPr>
              <w:jc w:val="right"/>
              <w:rPr>
                <w:rFonts w:ascii="Cambria" w:hAnsi="Cambria" w:cs="Arial"/>
                <w:color w:val="000000"/>
                <w:sz w:val="18"/>
                <w:szCs w:val="18"/>
              </w:rPr>
            </w:pPr>
            <w:r>
              <w:rPr>
                <w:rFonts w:ascii="Cambria" w:hAnsi="Cambria"/>
                <w:color w:val="000000"/>
                <w:sz w:val="18"/>
              </w:rPr>
              <w:t>479 103</w:t>
            </w:r>
          </w:p>
        </w:tc>
      </w:tr>
      <w:tr w:rsidR="001E338F" w14:paraId="332156A9" w14:textId="77777777" w:rsidTr="000E77CE">
        <w:trPr>
          <w:trHeight w:val="204"/>
        </w:trPr>
        <w:tc>
          <w:tcPr>
            <w:tcW w:w="3008" w:type="pct"/>
            <w:tcBorders>
              <w:top w:val="nil"/>
              <w:left w:val="nil"/>
              <w:bottom w:val="nil"/>
              <w:right w:val="nil"/>
            </w:tcBorders>
            <w:shd w:val="clear" w:color="auto" w:fill="auto"/>
            <w:noWrap/>
            <w:vAlign w:val="bottom"/>
            <w:hideMark/>
          </w:tcPr>
          <w:p w14:paraId="307EAEBD" w14:textId="77777777" w:rsidR="001E338F" w:rsidRDefault="001E338F">
            <w:pPr>
              <w:rPr>
                <w:rFonts w:ascii="Cambria" w:hAnsi="Cambria" w:cs="Arial"/>
                <w:color w:val="000000"/>
                <w:sz w:val="18"/>
                <w:szCs w:val="18"/>
              </w:rPr>
            </w:pPr>
            <w:r>
              <w:rPr>
                <w:rFonts w:ascii="Cambria" w:hAnsi="Cambria"/>
                <w:color w:val="000000"/>
                <w:sz w:val="18"/>
              </w:rPr>
              <w:t>Actif d’impôt différé</w:t>
            </w:r>
          </w:p>
        </w:tc>
        <w:tc>
          <w:tcPr>
            <w:tcW w:w="961" w:type="pct"/>
            <w:tcBorders>
              <w:top w:val="nil"/>
              <w:left w:val="nil"/>
              <w:bottom w:val="nil"/>
              <w:right w:val="nil"/>
            </w:tcBorders>
            <w:shd w:val="clear" w:color="auto" w:fill="auto"/>
            <w:noWrap/>
            <w:vAlign w:val="bottom"/>
            <w:hideMark/>
          </w:tcPr>
          <w:p w14:paraId="070248F4" w14:textId="77777777" w:rsidR="001E338F" w:rsidRDefault="001E338F">
            <w:pPr>
              <w:jc w:val="right"/>
              <w:rPr>
                <w:rFonts w:ascii="Cambria" w:hAnsi="Cambria" w:cs="Arial"/>
                <w:color w:val="000000"/>
                <w:sz w:val="18"/>
                <w:szCs w:val="18"/>
              </w:rPr>
            </w:pPr>
            <w:r>
              <w:rPr>
                <w:rFonts w:ascii="Cambria" w:hAnsi="Cambria"/>
                <w:color w:val="000000"/>
                <w:sz w:val="18"/>
              </w:rPr>
              <w:t>1 361 408</w:t>
            </w:r>
          </w:p>
        </w:tc>
        <w:tc>
          <w:tcPr>
            <w:tcW w:w="1031" w:type="pct"/>
            <w:tcBorders>
              <w:top w:val="nil"/>
              <w:left w:val="nil"/>
              <w:bottom w:val="nil"/>
              <w:right w:val="nil"/>
            </w:tcBorders>
            <w:shd w:val="clear" w:color="auto" w:fill="auto"/>
            <w:noWrap/>
            <w:vAlign w:val="bottom"/>
            <w:hideMark/>
          </w:tcPr>
          <w:p w14:paraId="7DB56645" w14:textId="77777777" w:rsidR="001E338F" w:rsidRDefault="001E338F">
            <w:pPr>
              <w:jc w:val="right"/>
              <w:rPr>
                <w:rFonts w:ascii="Cambria" w:hAnsi="Cambria" w:cs="Arial"/>
                <w:color w:val="000000"/>
                <w:sz w:val="18"/>
                <w:szCs w:val="18"/>
              </w:rPr>
            </w:pPr>
            <w:r>
              <w:rPr>
                <w:rFonts w:ascii="Cambria" w:hAnsi="Cambria"/>
                <w:color w:val="000000"/>
                <w:sz w:val="18"/>
              </w:rPr>
              <w:t>1 543 811</w:t>
            </w:r>
          </w:p>
        </w:tc>
      </w:tr>
      <w:tr w:rsidR="001E338F" w14:paraId="04F2B214" w14:textId="77777777" w:rsidTr="000E77CE">
        <w:trPr>
          <w:trHeight w:val="204"/>
        </w:trPr>
        <w:tc>
          <w:tcPr>
            <w:tcW w:w="3008" w:type="pct"/>
            <w:tcBorders>
              <w:top w:val="nil"/>
              <w:left w:val="nil"/>
              <w:bottom w:val="nil"/>
              <w:right w:val="nil"/>
            </w:tcBorders>
            <w:shd w:val="clear" w:color="auto" w:fill="auto"/>
            <w:noWrap/>
            <w:vAlign w:val="bottom"/>
            <w:hideMark/>
          </w:tcPr>
          <w:p w14:paraId="210652F6" w14:textId="77777777" w:rsidR="001E338F" w:rsidRDefault="001E338F">
            <w:pPr>
              <w:rPr>
                <w:rFonts w:ascii="Cambria" w:hAnsi="Cambria" w:cs="Arial"/>
                <w:b/>
                <w:bCs/>
                <w:color w:val="000000"/>
                <w:sz w:val="18"/>
                <w:szCs w:val="18"/>
              </w:rPr>
            </w:pPr>
            <w:r>
              <w:rPr>
                <w:rFonts w:ascii="Cambria" w:hAnsi="Cambria"/>
                <w:b/>
                <w:color w:val="000000"/>
                <w:sz w:val="18"/>
              </w:rPr>
              <w:t>Actifs à long terme (A)</w:t>
            </w:r>
          </w:p>
        </w:tc>
        <w:tc>
          <w:tcPr>
            <w:tcW w:w="961" w:type="pct"/>
            <w:tcBorders>
              <w:top w:val="single" w:sz="4" w:space="0" w:color="auto"/>
              <w:left w:val="nil"/>
              <w:bottom w:val="nil"/>
              <w:right w:val="nil"/>
            </w:tcBorders>
            <w:shd w:val="clear" w:color="auto" w:fill="auto"/>
            <w:noWrap/>
            <w:vAlign w:val="bottom"/>
            <w:hideMark/>
          </w:tcPr>
          <w:p w14:paraId="0AA95860" w14:textId="77777777" w:rsidR="001E338F" w:rsidRDefault="001E338F">
            <w:pPr>
              <w:jc w:val="right"/>
              <w:rPr>
                <w:rFonts w:ascii="Cambria" w:hAnsi="Cambria" w:cs="Arial"/>
                <w:b/>
                <w:bCs/>
                <w:color w:val="000000"/>
                <w:sz w:val="18"/>
                <w:szCs w:val="18"/>
              </w:rPr>
            </w:pPr>
            <w:r>
              <w:rPr>
                <w:rFonts w:ascii="Cambria" w:hAnsi="Cambria"/>
                <w:b/>
                <w:color w:val="000000"/>
                <w:sz w:val="18"/>
              </w:rPr>
              <w:t>10 404 620</w:t>
            </w:r>
          </w:p>
        </w:tc>
        <w:tc>
          <w:tcPr>
            <w:tcW w:w="1031" w:type="pct"/>
            <w:tcBorders>
              <w:top w:val="single" w:sz="4" w:space="0" w:color="auto"/>
              <w:left w:val="nil"/>
              <w:bottom w:val="nil"/>
              <w:right w:val="nil"/>
            </w:tcBorders>
            <w:shd w:val="clear" w:color="auto" w:fill="auto"/>
            <w:noWrap/>
            <w:vAlign w:val="bottom"/>
            <w:hideMark/>
          </w:tcPr>
          <w:p w14:paraId="1DB00669" w14:textId="77777777" w:rsidR="001E338F" w:rsidRDefault="001E338F">
            <w:pPr>
              <w:jc w:val="right"/>
              <w:rPr>
                <w:rFonts w:ascii="Cambria" w:hAnsi="Cambria" w:cs="Arial"/>
                <w:b/>
                <w:bCs/>
                <w:color w:val="000000"/>
                <w:sz w:val="18"/>
                <w:szCs w:val="18"/>
              </w:rPr>
            </w:pPr>
            <w:r>
              <w:rPr>
                <w:rFonts w:ascii="Cambria" w:hAnsi="Cambria"/>
                <w:b/>
                <w:color w:val="000000"/>
                <w:sz w:val="18"/>
              </w:rPr>
              <w:t>11 789 008</w:t>
            </w:r>
          </w:p>
        </w:tc>
      </w:tr>
      <w:tr w:rsidR="001E338F" w14:paraId="44BD61FC" w14:textId="77777777" w:rsidTr="000E77CE">
        <w:trPr>
          <w:trHeight w:val="204"/>
        </w:trPr>
        <w:tc>
          <w:tcPr>
            <w:tcW w:w="3008" w:type="pct"/>
            <w:tcBorders>
              <w:top w:val="nil"/>
              <w:left w:val="nil"/>
              <w:bottom w:val="nil"/>
              <w:right w:val="nil"/>
            </w:tcBorders>
            <w:shd w:val="clear" w:color="auto" w:fill="auto"/>
            <w:noWrap/>
            <w:vAlign w:val="bottom"/>
            <w:hideMark/>
          </w:tcPr>
          <w:p w14:paraId="6DA66B20" w14:textId="77777777" w:rsidR="001E338F" w:rsidRDefault="001E338F">
            <w:pPr>
              <w:jc w:val="right"/>
              <w:rPr>
                <w:rFonts w:ascii="Cambria" w:hAnsi="Cambria" w:cs="Arial"/>
                <w:b/>
                <w:bCs/>
                <w:color w:val="000000"/>
                <w:sz w:val="18"/>
                <w:szCs w:val="18"/>
              </w:rPr>
            </w:pPr>
          </w:p>
        </w:tc>
        <w:tc>
          <w:tcPr>
            <w:tcW w:w="961" w:type="pct"/>
            <w:tcBorders>
              <w:top w:val="nil"/>
              <w:left w:val="nil"/>
              <w:bottom w:val="nil"/>
              <w:right w:val="nil"/>
            </w:tcBorders>
            <w:shd w:val="clear" w:color="auto" w:fill="auto"/>
            <w:noWrap/>
            <w:vAlign w:val="bottom"/>
            <w:hideMark/>
          </w:tcPr>
          <w:p w14:paraId="24689DDE" w14:textId="77777777" w:rsidR="001E338F" w:rsidRDefault="001E338F">
            <w:pPr>
              <w:rPr>
                <w:sz w:val="20"/>
                <w:szCs w:val="20"/>
              </w:rPr>
            </w:pPr>
          </w:p>
        </w:tc>
        <w:tc>
          <w:tcPr>
            <w:tcW w:w="1031" w:type="pct"/>
            <w:tcBorders>
              <w:top w:val="nil"/>
              <w:left w:val="nil"/>
              <w:bottom w:val="nil"/>
              <w:right w:val="nil"/>
            </w:tcBorders>
            <w:shd w:val="clear" w:color="auto" w:fill="auto"/>
            <w:noWrap/>
            <w:vAlign w:val="bottom"/>
            <w:hideMark/>
          </w:tcPr>
          <w:p w14:paraId="5C7D0F36" w14:textId="77777777" w:rsidR="001E338F" w:rsidRDefault="001E338F">
            <w:pPr>
              <w:rPr>
                <w:sz w:val="20"/>
                <w:szCs w:val="20"/>
              </w:rPr>
            </w:pPr>
          </w:p>
        </w:tc>
      </w:tr>
      <w:tr w:rsidR="001E338F" w14:paraId="58C2A20A" w14:textId="77777777" w:rsidTr="000E77CE">
        <w:trPr>
          <w:trHeight w:val="204"/>
        </w:trPr>
        <w:tc>
          <w:tcPr>
            <w:tcW w:w="3008" w:type="pct"/>
            <w:tcBorders>
              <w:top w:val="nil"/>
              <w:left w:val="nil"/>
              <w:bottom w:val="nil"/>
              <w:right w:val="nil"/>
            </w:tcBorders>
            <w:shd w:val="clear" w:color="auto" w:fill="auto"/>
            <w:noWrap/>
            <w:vAlign w:val="bottom"/>
            <w:hideMark/>
          </w:tcPr>
          <w:p w14:paraId="3064D272" w14:textId="77777777" w:rsidR="001E338F" w:rsidRDefault="001E338F">
            <w:pPr>
              <w:rPr>
                <w:rFonts w:ascii="Cambria" w:hAnsi="Cambria" w:cs="Arial"/>
                <w:color w:val="000000"/>
                <w:sz w:val="18"/>
                <w:szCs w:val="18"/>
              </w:rPr>
            </w:pPr>
            <w:r>
              <w:rPr>
                <w:rFonts w:ascii="Cambria" w:hAnsi="Cambria"/>
                <w:color w:val="000000"/>
                <w:sz w:val="18"/>
              </w:rPr>
              <w:t>Stocks</w:t>
            </w:r>
          </w:p>
        </w:tc>
        <w:tc>
          <w:tcPr>
            <w:tcW w:w="961" w:type="pct"/>
            <w:tcBorders>
              <w:top w:val="nil"/>
              <w:left w:val="nil"/>
              <w:bottom w:val="nil"/>
              <w:right w:val="nil"/>
            </w:tcBorders>
            <w:shd w:val="clear" w:color="auto" w:fill="auto"/>
            <w:noWrap/>
            <w:vAlign w:val="bottom"/>
            <w:hideMark/>
          </w:tcPr>
          <w:p w14:paraId="26EA2759" w14:textId="77777777" w:rsidR="001E338F" w:rsidRDefault="001E338F">
            <w:pPr>
              <w:jc w:val="right"/>
              <w:rPr>
                <w:rFonts w:ascii="Cambria" w:hAnsi="Cambria" w:cs="Arial"/>
                <w:color w:val="000000"/>
                <w:sz w:val="18"/>
                <w:szCs w:val="18"/>
              </w:rPr>
            </w:pPr>
            <w:r>
              <w:rPr>
                <w:rFonts w:ascii="Cambria" w:hAnsi="Cambria"/>
                <w:color w:val="000000"/>
                <w:sz w:val="18"/>
              </w:rPr>
              <w:t>10 604 097</w:t>
            </w:r>
          </w:p>
        </w:tc>
        <w:tc>
          <w:tcPr>
            <w:tcW w:w="1031" w:type="pct"/>
            <w:tcBorders>
              <w:top w:val="nil"/>
              <w:left w:val="nil"/>
              <w:bottom w:val="nil"/>
              <w:right w:val="nil"/>
            </w:tcBorders>
            <w:shd w:val="clear" w:color="auto" w:fill="auto"/>
            <w:noWrap/>
            <w:vAlign w:val="bottom"/>
            <w:hideMark/>
          </w:tcPr>
          <w:p w14:paraId="7FF44331" w14:textId="77777777" w:rsidR="001E338F" w:rsidRDefault="001E338F">
            <w:pPr>
              <w:jc w:val="right"/>
              <w:rPr>
                <w:rFonts w:ascii="Cambria" w:hAnsi="Cambria" w:cs="Arial"/>
                <w:color w:val="000000"/>
                <w:sz w:val="18"/>
                <w:szCs w:val="18"/>
              </w:rPr>
            </w:pPr>
            <w:r>
              <w:rPr>
                <w:rFonts w:ascii="Cambria" w:hAnsi="Cambria"/>
                <w:color w:val="000000"/>
                <w:sz w:val="18"/>
              </w:rPr>
              <w:t>10 981 873</w:t>
            </w:r>
          </w:p>
        </w:tc>
      </w:tr>
      <w:tr w:rsidR="001E338F" w14:paraId="7035AB15" w14:textId="77777777" w:rsidTr="000E77CE">
        <w:trPr>
          <w:trHeight w:val="204"/>
        </w:trPr>
        <w:tc>
          <w:tcPr>
            <w:tcW w:w="3008" w:type="pct"/>
            <w:tcBorders>
              <w:top w:val="nil"/>
              <w:left w:val="nil"/>
              <w:bottom w:val="nil"/>
              <w:right w:val="nil"/>
            </w:tcBorders>
            <w:shd w:val="clear" w:color="auto" w:fill="auto"/>
            <w:noWrap/>
            <w:vAlign w:val="bottom"/>
            <w:hideMark/>
          </w:tcPr>
          <w:p w14:paraId="3DCF418F" w14:textId="77777777" w:rsidR="001E338F" w:rsidRDefault="001E338F">
            <w:pPr>
              <w:rPr>
                <w:rFonts w:ascii="Cambria" w:hAnsi="Cambria" w:cs="Arial"/>
                <w:color w:val="000000"/>
                <w:sz w:val="18"/>
                <w:szCs w:val="18"/>
              </w:rPr>
            </w:pPr>
            <w:r>
              <w:rPr>
                <w:rFonts w:ascii="Cambria" w:hAnsi="Cambria"/>
                <w:color w:val="000000"/>
                <w:sz w:val="18"/>
              </w:rPr>
              <w:t>Créances commerciales</w:t>
            </w:r>
          </w:p>
        </w:tc>
        <w:tc>
          <w:tcPr>
            <w:tcW w:w="961" w:type="pct"/>
            <w:tcBorders>
              <w:top w:val="nil"/>
              <w:left w:val="nil"/>
              <w:bottom w:val="nil"/>
              <w:right w:val="nil"/>
            </w:tcBorders>
            <w:shd w:val="clear" w:color="auto" w:fill="auto"/>
            <w:noWrap/>
            <w:vAlign w:val="bottom"/>
            <w:hideMark/>
          </w:tcPr>
          <w:p w14:paraId="5312E251" w14:textId="77777777" w:rsidR="001E338F" w:rsidRDefault="001E338F">
            <w:pPr>
              <w:jc w:val="right"/>
              <w:rPr>
                <w:rFonts w:ascii="Cambria" w:hAnsi="Cambria" w:cs="Arial"/>
                <w:color w:val="000000"/>
                <w:sz w:val="18"/>
                <w:szCs w:val="18"/>
              </w:rPr>
            </w:pPr>
            <w:r>
              <w:rPr>
                <w:rFonts w:ascii="Cambria" w:hAnsi="Cambria"/>
                <w:color w:val="000000"/>
                <w:sz w:val="18"/>
              </w:rPr>
              <w:t>111 884</w:t>
            </w:r>
          </w:p>
        </w:tc>
        <w:tc>
          <w:tcPr>
            <w:tcW w:w="1031" w:type="pct"/>
            <w:tcBorders>
              <w:top w:val="nil"/>
              <w:left w:val="nil"/>
              <w:bottom w:val="nil"/>
              <w:right w:val="nil"/>
            </w:tcBorders>
            <w:shd w:val="clear" w:color="auto" w:fill="auto"/>
            <w:noWrap/>
            <w:vAlign w:val="bottom"/>
            <w:hideMark/>
          </w:tcPr>
          <w:p w14:paraId="16810F53" w14:textId="77777777" w:rsidR="001E338F" w:rsidRDefault="001E338F">
            <w:pPr>
              <w:jc w:val="right"/>
              <w:rPr>
                <w:rFonts w:ascii="Cambria" w:hAnsi="Cambria" w:cs="Arial"/>
                <w:color w:val="000000"/>
                <w:sz w:val="18"/>
                <w:szCs w:val="18"/>
              </w:rPr>
            </w:pPr>
            <w:r>
              <w:rPr>
                <w:rFonts w:ascii="Cambria" w:hAnsi="Cambria"/>
                <w:color w:val="000000"/>
                <w:sz w:val="18"/>
              </w:rPr>
              <w:t>179 780</w:t>
            </w:r>
          </w:p>
        </w:tc>
      </w:tr>
      <w:tr w:rsidR="001E338F" w14:paraId="081B24C5" w14:textId="77777777" w:rsidTr="000E77CE">
        <w:trPr>
          <w:trHeight w:val="204"/>
        </w:trPr>
        <w:tc>
          <w:tcPr>
            <w:tcW w:w="3008" w:type="pct"/>
            <w:tcBorders>
              <w:top w:val="nil"/>
              <w:left w:val="nil"/>
              <w:bottom w:val="nil"/>
              <w:right w:val="nil"/>
            </w:tcBorders>
            <w:shd w:val="clear" w:color="auto" w:fill="auto"/>
            <w:noWrap/>
            <w:vAlign w:val="bottom"/>
            <w:hideMark/>
          </w:tcPr>
          <w:p w14:paraId="55F12CDA" w14:textId="77777777" w:rsidR="001E338F" w:rsidRDefault="001E338F">
            <w:pPr>
              <w:rPr>
                <w:rFonts w:ascii="Cambria" w:hAnsi="Cambria" w:cs="Arial"/>
                <w:color w:val="000000"/>
                <w:sz w:val="18"/>
                <w:szCs w:val="18"/>
              </w:rPr>
            </w:pPr>
            <w:r>
              <w:rPr>
                <w:rFonts w:ascii="Cambria" w:hAnsi="Cambria"/>
                <w:color w:val="000000"/>
                <w:sz w:val="18"/>
              </w:rPr>
              <w:t>Autres créances à court terme</w:t>
            </w:r>
          </w:p>
        </w:tc>
        <w:tc>
          <w:tcPr>
            <w:tcW w:w="961" w:type="pct"/>
            <w:tcBorders>
              <w:top w:val="nil"/>
              <w:left w:val="nil"/>
              <w:bottom w:val="nil"/>
              <w:right w:val="nil"/>
            </w:tcBorders>
            <w:shd w:val="clear" w:color="auto" w:fill="auto"/>
            <w:noWrap/>
            <w:vAlign w:val="bottom"/>
            <w:hideMark/>
          </w:tcPr>
          <w:p w14:paraId="20529A83" w14:textId="77777777" w:rsidR="001E338F" w:rsidRDefault="001E338F">
            <w:pPr>
              <w:jc w:val="right"/>
              <w:rPr>
                <w:rFonts w:ascii="Cambria" w:hAnsi="Cambria" w:cs="Arial"/>
                <w:color w:val="000000"/>
                <w:sz w:val="18"/>
                <w:szCs w:val="18"/>
              </w:rPr>
            </w:pPr>
            <w:r>
              <w:rPr>
                <w:rFonts w:ascii="Cambria" w:hAnsi="Cambria"/>
                <w:color w:val="000000"/>
                <w:sz w:val="18"/>
              </w:rPr>
              <w:t>683 154</w:t>
            </w:r>
          </w:p>
        </w:tc>
        <w:tc>
          <w:tcPr>
            <w:tcW w:w="1031" w:type="pct"/>
            <w:tcBorders>
              <w:top w:val="nil"/>
              <w:left w:val="nil"/>
              <w:bottom w:val="nil"/>
              <w:right w:val="nil"/>
            </w:tcBorders>
            <w:shd w:val="clear" w:color="auto" w:fill="auto"/>
            <w:noWrap/>
            <w:vAlign w:val="bottom"/>
            <w:hideMark/>
          </w:tcPr>
          <w:p w14:paraId="1BFE5BF9" w14:textId="77777777" w:rsidR="001E338F" w:rsidRDefault="001E338F">
            <w:pPr>
              <w:jc w:val="right"/>
              <w:rPr>
                <w:rFonts w:ascii="Cambria" w:hAnsi="Cambria" w:cs="Arial"/>
                <w:color w:val="000000"/>
                <w:sz w:val="18"/>
                <w:szCs w:val="18"/>
              </w:rPr>
            </w:pPr>
            <w:r>
              <w:rPr>
                <w:rFonts w:ascii="Cambria" w:hAnsi="Cambria"/>
                <w:color w:val="000000"/>
                <w:sz w:val="18"/>
              </w:rPr>
              <w:t>737 372</w:t>
            </w:r>
          </w:p>
        </w:tc>
      </w:tr>
      <w:tr w:rsidR="001E338F" w14:paraId="09F526A5" w14:textId="77777777" w:rsidTr="000E77CE">
        <w:trPr>
          <w:trHeight w:val="204"/>
        </w:trPr>
        <w:tc>
          <w:tcPr>
            <w:tcW w:w="3008" w:type="pct"/>
            <w:tcBorders>
              <w:top w:val="nil"/>
              <w:left w:val="nil"/>
              <w:bottom w:val="nil"/>
              <w:right w:val="nil"/>
            </w:tcBorders>
            <w:shd w:val="clear" w:color="auto" w:fill="auto"/>
            <w:noWrap/>
            <w:vAlign w:val="bottom"/>
            <w:hideMark/>
          </w:tcPr>
          <w:p w14:paraId="145E4DB8" w14:textId="77777777" w:rsidR="001E338F" w:rsidRDefault="001E338F">
            <w:pPr>
              <w:rPr>
                <w:rFonts w:ascii="Cambria" w:hAnsi="Cambria" w:cs="Arial"/>
                <w:color w:val="000000"/>
                <w:sz w:val="18"/>
                <w:szCs w:val="18"/>
              </w:rPr>
            </w:pPr>
            <w:r>
              <w:rPr>
                <w:rFonts w:ascii="Cambria" w:hAnsi="Cambria"/>
                <w:color w:val="000000"/>
                <w:sz w:val="18"/>
              </w:rPr>
              <w:t>Créances fiscales</w:t>
            </w:r>
          </w:p>
        </w:tc>
        <w:tc>
          <w:tcPr>
            <w:tcW w:w="961" w:type="pct"/>
            <w:tcBorders>
              <w:top w:val="nil"/>
              <w:left w:val="nil"/>
              <w:bottom w:val="nil"/>
              <w:right w:val="nil"/>
            </w:tcBorders>
            <w:shd w:val="clear" w:color="auto" w:fill="auto"/>
            <w:noWrap/>
            <w:vAlign w:val="bottom"/>
            <w:hideMark/>
          </w:tcPr>
          <w:p w14:paraId="00D84F82" w14:textId="77777777" w:rsidR="001E338F" w:rsidRDefault="001E338F">
            <w:pPr>
              <w:jc w:val="right"/>
              <w:rPr>
                <w:rFonts w:ascii="Cambria" w:hAnsi="Cambria" w:cs="Arial"/>
                <w:color w:val="000000"/>
                <w:sz w:val="18"/>
                <w:szCs w:val="18"/>
              </w:rPr>
            </w:pPr>
            <w:r>
              <w:rPr>
                <w:rFonts w:ascii="Cambria" w:hAnsi="Cambria"/>
                <w:color w:val="000000"/>
                <w:sz w:val="18"/>
              </w:rPr>
              <w:t>1 334 353</w:t>
            </w:r>
          </w:p>
        </w:tc>
        <w:tc>
          <w:tcPr>
            <w:tcW w:w="1031" w:type="pct"/>
            <w:tcBorders>
              <w:top w:val="nil"/>
              <w:left w:val="nil"/>
              <w:bottom w:val="nil"/>
              <w:right w:val="nil"/>
            </w:tcBorders>
            <w:shd w:val="clear" w:color="auto" w:fill="auto"/>
            <w:noWrap/>
            <w:vAlign w:val="bottom"/>
            <w:hideMark/>
          </w:tcPr>
          <w:p w14:paraId="056EE288" w14:textId="77777777" w:rsidR="001E338F" w:rsidRDefault="001E338F">
            <w:pPr>
              <w:jc w:val="right"/>
              <w:rPr>
                <w:rFonts w:ascii="Cambria" w:hAnsi="Cambria" w:cs="Arial"/>
                <w:color w:val="000000"/>
                <w:sz w:val="18"/>
                <w:szCs w:val="18"/>
              </w:rPr>
            </w:pPr>
            <w:r>
              <w:rPr>
                <w:rFonts w:ascii="Cambria" w:hAnsi="Cambria"/>
                <w:color w:val="000000"/>
                <w:sz w:val="18"/>
              </w:rPr>
              <w:t>17 222</w:t>
            </w:r>
          </w:p>
        </w:tc>
      </w:tr>
      <w:tr w:rsidR="001E338F" w14:paraId="64726950" w14:textId="77777777" w:rsidTr="000E77CE">
        <w:trPr>
          <w:trHeight w:val="204"/>
        </w:trPr>
        <w:tc>
          <w:tcPr>
            <w:tcW w:w="3008" w:type="pct"/>
            <w:tcBorders>
              <w:top w:val="nil"/>
              <w:left w:val="nil"/>
              <w:bottom w:val="nil"/>
              <w:right w:val="nil"/>
            </w:tcBorders>
            <w:shd w:val="clear" w:color="auto" w:fill="auto"/>
            <w:noWrap/>
            <w:vAlign w:val="bottom"/>
            <w:hideMark/>
          </w:tcPr>
          <w:p w14:paraId="1CD83F80" w14:textId="77777777" w:rsidR="001E338F" w:rsidRDefault="001E338F">
            <w:pPr>
              <w:rPr>
                <w:rFonts w:ascii="Cambria" w:hAnsi="Cambria" w:cs="Arial"/>
                <w:b/>
                <w:bCs/>
                <w:color w:val="000000"/>
                <w:sz w:val="18"/>
                <w:szCs w:val="18"/>
              </w:rPr>
            </w:pPr>
            <w:r>
              <w:rPr>
                <w:rFonts w:ascii="Cambria" w:hAnsi="Cambria"/>
                <w:b/>
                <w:color w:val="000000"/>
                <w:sz w:val="18"/>
              </w:rPr>
              <w:t>Actif d'exploitation à court terme (B)</w:t>
            </w:r>
          </w:p>
        </w:tc>
        <w:tc>
          <w:tcPr>
            <w:tcW w:w="961" w:type="pct"/>
            <w:tcBorders>
              <w:top w:val="single" w:sz="4" w:space="0" w:color="auto"/>
              <w:left w:val="nil"/>
              <w:bottom w:val="nil"/>
              <w:right w:val="nil"/>
            </w:tcBorders>
            <w:shd w:val="clear" w:color="auto" w:fill="auto"/>
            <w:noWrap/>
            <w:vAlign w:val="bottom"/>
            <w:hideMark/>
          </w:tcPr>
          <w:p w14:paraId="2F08C482" w14:textId="77777777" w:rsidR="001E338F" w:rsidRDefault="001E338F">
            <w:pPr>
              <w:jc w:val="right"/>
              <w:rPr>
                <w:rFonts w:ascii="Cambria" w:hAnsi="Cambria" w:cs="Arial"/>
                <w:b/>
                <w:bCs/>
                <w:color w:val="000000"/>
                <w:sz w:val="18"/>
                <w:szCs w:val="18"/>
              </w:rPr>
            </w:pPr>
            <w:r>
              <w:rPr>
                <w:rFonts w:ascii="Cambria" w:hAnsi="Cambria"/>
                <w:b/>
                <w:color w:val="000000"/>
                <w:sz w:val="18"/>
              </w:rPr>
              <w:t>12 733 489</w:t>
            </w:r>
          </w:p>
        </w:tc>
        <w:tc>
          <w:tcPr>
            <w:tcW w:w="1031" w:type="pct"/>
            <w:tcBorders>
              <w:top w:val="single" w:sz="4" w:space="0" w:color="auto"/>
              <w:left w:val="nil"/>
              <w:bottom w:val="nil"/>
              <w:right w:val="nil"/>
            </w:tcBorders>
            <w:shd w:val="clear" w:color="auto" w:fill="auto"/>
            <w:noWrap/>
            <w:vAlign w:val="bottom"/>
            <w:hideMark/>
          </w:tcPr>
          <w:p w14:paraId="7E678551" w14:textId="77777777" w:rsidR="001E338F" w:rsidRDefault="001E338F">
            <w:pPr>
              <w:jc w:val="right"/>
              <w:rPr>
                <w:rFonts w:ascii="Cambria" w:hAnsi="Cambria" w:cs="Arial"/>
                <w:b/>
                <w:bCs/>
                <w:color w:val="000000"/>
                <w:sz w:val="18"/>
                <w:szCs w:val="18"/>
              </w:rPr>
            </w:pPr>
            <w:r>
              <w:rPr>
                <w:rFonts w:ascii="Cambria" w:hAnsi="Cambria"/>
                <w:b/>
                <w:color w:val="000000"/>
                <w:sz w:val="18"/>
              </w:rPr>
              <w:t>11 916 248</w:t>
            </w:r>
          </w:p>
        </w:tc>
      </w:tr>
      <w:tr w:rsidR="001E338F" w14:paraId="4273446C" w14:textId="77777777" w:rsidTr="000E77CE">
        <w:trPr>
          <w:trHeight w:val="204"/>
        </w:trPr>
        <w:tc>
          <w:tcPr>
            <w:tcW w:w="3008" w:type="pct"/>
            <w:tcBorders>
              <w:top w:val="nil"/>
              <w:left w:val="nil"/>
              <w:bottom w:val="nil"/>
              <w:right w:val="nil"/>
            </w:tcBorders>
            <w:shd w:val="clear" w:color="auto" w:fill="auto"/>
            <w:noWrap/>
            <w:vAlign w:val="bottom"/>
            <w:hideMark/>
          </w:tcPr>
          <w:p w14:paraId="143F09B1" w14:textId="77777777" w:rsidR="001E338F" w:rsidRDefault="001E338F">
            <w:pPr>
              <w:jc w:val="right"/>
              <w:rPr>
                <w:rFonts w:ascii="Cambria" w:hAnsi="Cambria" w:cs="Arial"/>
                <w:b/>
                <w:bCs/>
                <w:color w:val="000000"/>
                <w:sz w:val="18"/>
                <w:szCs w:val="18"/>
              </w:rPr>
            </w:pPr>
          </w:p>
        </w:tc>
        <w:tc>
          <w:tcPr>
            <w:tcW w:w="961" w:type="pct"/>
            <w:tcBorders>
              <w:top w:val="nil"/>
              <w:left w:val="nil"/>
              <w:bottom w:val="nil"/>
              <w:right w:val="nil"/>
            </w:tcBorders>
            <w:shd w:val="clear" w:color="auto" w:fill="auto"/>
            <w:noWrap/>
            <w:vAlign w:val="bottom"/>
            <w:hideMark/>
          </w:tcPr>
          <w:p w14:paraId="516386CB" w14:textId="77777777" w:rsidR="001E338F" w:rsidRDefault="001E338F">
            <w:pPr>
              <w:rPr>
                <w:sz w:val="20"/>
                <w:szCs w:val="20"/>
              </w:rPr>
            </w:pPr>
          </w:p>
        </w:tc>
        <w:tc>
          <w:tcPr>
            <w:tcW w:w="1031" w:type="pct"/>
            <w:tcBorders>
              <w:top w:val="nil"/>
              <w:left w:val="nil"/>
              <w:bottom w:val="nil"/>
              <w:right w:val="nil"/>
            </w:tcBorders>
            <w:shd w:val="clear" w:color="auto" w:fill="auto"/>
            <w:noWrap/>
            <w:vAlign w:val="bottom"/>
            <w:hideMark/>
          </w:tcPr>
          <w:p w14:paraId="7236FC20" w14:textId="77777777" w:rsidR="001E338F" w:rsidRDefault="001E338F">
            <w:pPr>
              <w:rPr>
                <w:sz w:val="20"/>
                <w:szCs w:val="20"/>
              </w:rPr>
            </w:pPr>
          </w:p>
        </w:tc>
      </w:tr>
      <w:tr w:rsidR="001E338F" w14:paraId="589B6A34" w14:textId="77777777" w:rsidTr="000E77CE">
        <w:trPr>
          <w:trHeight w:val="204"/>
        </w:trPr>
        <w:tc>
          <w:tcPr>
            <w:tcW w:w="3008" w:type="pct"/>
            <w:tcBorders>
              <w:top w:val="nil"/>
              <w:left w:val="nil"/>
              <w:bottom w:val="nil"/>
              <w:right w:val="nil"/>
            </w:tcBorders>
            <w:shd w:val="clear" w:color="auto" w:fill="auto"/>
            <w:noWrap/>
            <w:vAlign w:val="bottom"/>
            <w:hideMark/>
          </w:tcPr>
          <w:p w14:paraId="5B14B32E" w14:textId="77777777" w:rsidR="001E338F" w:rsidRDefault="001E338F">
            <w:pPr>
              <w:rPr>
                <w:rFonts w:ascii="Cambria" w:hAnsi="Cambria" w:cs="Arial"/>
                <w:color w:val="000000"/>
                <w:sz w:val="18"/>
                <w:szCs w:val="18"/>
              </w:rPr>
            </w:pPr>
            <w:r>
              <w:rPr>
                <w:rFonts w:ascii="Cambria" w:hAnsi="Cambria"/>
                <w:color w:val="000000"/>
                <w:sz w:val="18"/>
              </w:rPr>
              <w:t>Dettes commerciales</w:t>
            </w:r>
          </w:p>
        </w:tc>
        <w:tc>
          <w:tcPr>
            <w:tcW w:w="961" w:type="pct"/>
            <w:tcBorders>
              <w:top w:val="nil"/>
              <w:left w:val="nil"/>
              <w:bottom w:val="nil"/>
              <w:right w:val="nil"/>
            </w:tcBorders>
            <w:shd w:val="clear" w:color="auto" w:fill="auto"/>
            <w:noWrap/>
            <w:vAlign w:val="bottom"/>
            <w:hideMark/>
          </w:tcPr>
          <w:p w14:paraId="442AE4A5" w14:textId="77777777" w:rsidR="001E338F" w:rsidRDefault="001E338F">
            <w:pPr>
              <w:jc w:val="right"/>
              <w:rPr>
                <w:rFonts w:ascii="Cambria" w:hAnsi="Cambria" w:cs="Arial"/>
                <w:color w:val="000000"/>
                <w:sz w:val="18"/>
                <w:szCs w:val="18"/>
              </w:rPr>
            </w:pPr>
            <w:r>
              <w:rPr>
                <w:rFonts w:ascii="Cambria" w:hAnsi="Cambria"/>
                <w:color w:val="000000"/>
                <w:sz w:val="18"/>
              </w:rPr>
              <w:t>(4 148 683)</w:t>
            </w:r>
          </w:p>
        </w:tc>
        <w:tc>
          <w:tcPr>
            <w:tcW w:w="1031" w:type="pct"/>
            <w:tcBorders>
              <w:top w:val="nil"/>
              <w:left w:val="nil"/>
              <w:bottom w:val="nil"/>
              <w:right w:val="nil"/>
            </w:tcBorders>
            <w:shd w:val="clear" w:color="auto" w:fill="auto"/>
            <w:noWrap/>
            <w:vAlign w:val="bottom"/>
            <w:hideMark/>
          </w:tcPr>
          <w:p w14:paraId="3C926E3A" w14:textId="77777777" w:rsidR="001E338F" w:rsidRDefault="001E338F">
            <w:pPr>
              <w:jc w:val="right"/>
              <w:rPr>
                <w:rFonts w:ascii="Cambria" w:hAnsi="Cambria" w:cs="Arial"/>
                <w:color w:val="000000"/>
                <w:sz w:val="18"/>
                <w:szCs w:val="18"/>
              </w:rPr>
            </w:pPr>
            <w:r>
              <w:rPr>
                <w:rFonts w:ascii="Cambria" w:hAnsi="Cambria"/>
                <w:color w:val="000000"/>
                <w:sz w:val="18"/>
              </w:rPr>
              <w:t>(6 591 368)</w:t>
            </w:r>
          </w:p>
        </w:tc>
      </w:tr>
      <w:tr w:rsidR="001E338F" w14:paraId="19676331" w14:textId="77777777" w:rsidTr="000E77CE">
        <w:trPr>
          <w:trHeight w:val="204"/>
        </w:trPr>
        <w:tc>
          <w:tcPr>
            <w:tcW w:w="3008" w:type="pct"/>
            <w:tcBorders>
              <w:top w:val="nil"/>
              <w:left w:val="nil"/>
              <w:bottom w:val="nil"/>
              <w:right w:val="nil"/>
            </w:tcBorders>
            <w:shd w:val="clear" w:color="auto" w:fill="auto"/>
            <w:noWrap/>
            <w:vAlign w:val="bottom"/>
            <w:hideMark/>
          </w:tcPr>
          <w:p w14:paraId="5D464380" w14:textId="163B6D6F" w:rsidR="001E338F" w:rsidRDefault="001E338F">
            <w:pPr>
              <w:rPr>
                <w:rFonts w:ascii="Cambria" w:hAnsi="Cambria" w:cs="Arial"/>
                <w:color w:val="000000"/>
                <w:sz w:val="18"/>
                <w:szCs w:val="18"/>
              </w:rPr>
            </w:pPr>
            <w:r>
              <w:rPr>
                <w:rFonts w:ascii="Cambria" w:hAnsi="Cambria"/>
                <w:color w:val="000000"/>
                <w:sz w:val="18"/>
              </w:rPr>
              <w:t>Impôts à payer à court terme</w:t>
            </w:r>
          </w:p>
        </w:tc>
        <w:tc>
          <w:tcPr>
            <w:tcW w:w="961" w:type="pct"/>
            <w:tcBorders>
              <w:top w:val="nil"/>
              <w:left w:val="nil"/>
              <w:bottom w:val="nil"/>
              <w:right w:val="nil"/>
            </w:tcBorders>
            <w:shd w:val="clear" w:color="auto" w:fill="auto"/>
            <w:noWrap/>
            <w:vAlign w:val="bottom"/>
            <w:hideMark/>
          </w:tcPr>
          <w:p w14:paraId="6B9873F1" w14:textId="77777777" w:rsidR="001E338F" w:rsidRDefault="001E338F">
            <w:pPr>
              <w:jc w:val="right"/>
              <w:rPr>
                <w:rFonts w:ascii="Cambria" w:hAnsi="Cambria" w:cs="Arial"/>
                <w:color w:val="000000"/>
                <w:sz w:val="18"/>
                <w:szCs w:val="18"/>
              </w:rPr>
            </w:pPr>
            <w:r>
              <w:rPr>
                <w:rFonts w:ascii="Cambria" w:hAnsi="Cambria"/>
                <w:color w:val="000000"/>
                <w:sz w:val="18"/>
              </w:rPr>
              <w:t>(4 168 909)</w:t>
            </w:r>
          </w:p>
        </w:tc>
        <w:tc>
          <w:tcPr>
            <w:tcW w:w="1031" w:type="pct"/>
            <w:tcBorders>
              <w:top w:val="nil"/>
              <w:left w:val="nil"/>
              <w:bottom w:val="nil"/>
              <w:right w:val="nil"/>
            </w:tcBorders>
            <w:shd w:val="clear" w:color="auto" w:fill="auto"/>
            <w:noWrap/>
            <w:vAlign w:val="bottom"/>
            <w:hideMark/>
          </w:tcPr>
          <w:p w14:paraId="52A4DAB6" w14:textId="77777777" w:rsidR="001E338F" w:rsidRDefault="001E338F">
            <w:pPr>
              <w:jc w:val="right"/>
              <w:rPr>
                <w:rFonts w:ascii="Cambria" w:hAnsi="Cambria" w:cs="Arial"/>
                <w:color w:val="000000"/>
                <w:sz w:val="18"/>
                <w:szCs w:val="18"/>
              </w:rPr>
            </w:pPr>
            <w:r>
              <w:rPr>
                <w:rFonts w:ascii="Cambria" w:hAnsi="Cambria"/>
                <w:color w:val="000000"/>
                <w:sz w:val="18"/>
              </w:rPr>
              <w:t>(3 031 106)</w:t>
            </w:r>
          </w:p>
        </w:tc>
      </w:tr>
      <w:tr w:rsidR="001E338F" w14:paraId="15494997" w14:textId="77777777" w:rsidTr="000E77CE">
        <w:trPr>
          <w:trHeight w:val="204"/>
        </w:trPr>
        <w:tc>
          <w:tcPr>
            <w:tcW w:w="3008" w:type="pct"/>
            <w:tcBorders>
              <w:top w:val="nil"/>
              <w:left w:val="nil"/>
              <w:bottom w:val="nil"/>
              <w:right w:val="nil"/>
            </w:tcBorders>
            <w:shd w:val="clear" w:color="auto" w:fill="auto"/>
            <w:noWrap/>
            <w:vAlign w:val="bottom"/>
            <w:hideMark/>
          </w:tcPr>
          <w:p w14:paraId="2E5517EF" w14:textId="77777777" w:rsidR="001E338F" w:rsidRDefault="001E338F">
            <w:pPr>
              <w:rPr>
                <w:rFonts w:ascii="Cambria" w:hAnsi="Cambria" w:cs="Arial"/>
                <w:color w:val="000000"/>
                <w:sz w:val="18"/>
                <w:szCs w:val="18"/>
              </w:rPr>
            </w:pPr>
            <w:r>
              <w:rPr>
                <w:rFonts w:ascii="Cambria" w:hAnsi="Cambria"/>
                <w:color w:val="000000"/>
                <w:sz w:val="18"/>
              </w:rPr>
              <w:t>Autres dettes et passifs à court terme</w:t>
            </w:r>
          </w:p>
        </w:tc>
        <w:tc>
          <w:tcPr>
            <w:tcW w:w="961" w:type="pct"/>
            <w:tcBorders>
              <w:top w:val="nil"/>
              <w:left w:val="nil"/>
              <w:bottom w:val="nil"/>
              <w:right w:val="nil"/>
            </w:tcBorders>
            <w:shd w:val="clear" w:color="auto" w:fill="auto"/>
            <w:noWrap/>
            <w:vAlign w:val="bottom"/>
            <w:hideMark/>
          </w:tcPr>
          <w:p w14:paraId="1183EA18" w14:textId="77777777" w:rsidR="001E338F" w:rsidRDefault="001E338F">
            <w:pPr>
              <w:jc w:val="right"/>
              <w:rPr>
                <w:rFonts w:ascii="Cambria" w:hAnsi="Cambria" w:cs="Arial"/>
                <w:color w:val="000000"/>
                <w:sz w:val="18"/>
                <w:szCs w:val="18"/>
              </w:rPr>
            </w:pPr>
            <w:r>
              <w:rPr>
                <w:rFonts w:ascii="Cambria" w:hAnsi="Cambria"/>
                <w:color w:val="000000"/>
                <w:sz w:val="18"/>
              </w:rPr>
              <w:t>(3 357 562)</w:t>
            </w:r>
          </w:p>
        </w:tc>
        <w:tc>
          <w:tcPr>
            <w:tcW w:w="1031" w:type="pct"/>
            <w:tcBorders>
              <w:top w:val="nil"/>
              <w:left w:val="nil"/>
              <w:bottom w:val="nil"/>
              <w:right w:val="nil"/>
            </w:tcBorders>
            <w:shd w:val="clear" w:color="auto" w:fill="auto"/>
            <w:noWrap/>
            <w:vAlign w:val="bottom"/>
            <w:hideMark/>
          </w:tcPr>
          <w:p w14:paraId="0CB84C06" w14:textId="77777777" w:rsidR="001E338F" w:rsidRDefault="001E338F">
            <w:pPr>
              <w:jc w:val="right"/>
              <w:rPr>
                <w:rFonts w:ascii="Cambria" w:hAnsi="Cambria" w:cs="Arial"/>
                <w:color w:val="000000"/>
                <w:sz w:val="18"/>
                <w:szCs w:val="18"/>
              </w:rPr>
            </w:pPr>
            <w:r>
              <w:rPr>
                <w:rFonts w:ascii="Cambria" w:hAnsi="Cambria"/>
                <w:color w:val="000000"/>
                <w:sz w:val="18"/>
              </w:rPr>
              <w:t>(1 540 147)</w:t>
            </w:r>
          </w:p>
        </w:tc>
      </w:tr>
      <w:tr w:rsidR="001E338F" w14:paraId="21CF7D29" w14:textId="77777777" w:rsidTr="000E77CE">
        <w:trPr>
          <w:trHeight w:val="204"/>
        </w:trPr>
        <w:tc>
          <w:tcPr>
            <w:tcW w:w="3008" w:type="pct"/>
            <w:tcBorders>
              <w:top w:val="nil"/>
              <w:left w:val="nil"/>
              <w:bottom w:val="nil"/>
              <w:right w:val="nil"/>
            </w:tcBorders>
            <w:shd w:val="clear" w:color="auto" w:fill="auto"/>
            <w:noWrap/>
            <w:vAlign w:val="bottom"/>
            <w:hideMark/>
          </w:tcPr>
          <w:p w14:paraId="3798DD4E" w14:textId="77777777" w:rsidR="001E338F" w:rsidRDefault="001E338F">
            <w:pPr>
              <w:rPr>
                <w:rFonts w:ascii="Cambria" w:hAnsi="Cambria" w:cs="Arial"/>
                <w:b/>
                <w:bCs/>
                <w:color w:val="000000"/>
                <w:sz w:val="18"/>
                <w:szCs w:val="18"/>
              </w:rPr>
            </w:pPr>
            <w:r>
              <w:rPr>
                <w:rFonts w:ascii="Cambria" w:hAnsi="Cambria"/>
                <w:b/>
                <w:color w:val="000000"/>
                <w:sz w:val="18"/>
              </w:rPr>
              <w:t>Passif d'exploitation à court terme (C)</w:t>
            </w:r>
          </w:p>
        </w:tc>
        <w:tc>
          <w:tcPr>
            <w:tcW w:w="961" w:type="pct"/>
            <w:tcBorders>
              <w:top w:val="single" w:sz="4" w:space="0" w:color="auto"/>
              <w:left w:val="nil"/>
              <w:bottom w:val="nil"/>
              <w:right w:val="nil"/>
            </w:tcBorders>
            <w:shd w:val="clear" w:color="auto" w:fill="auto"/>
            <w:noWrap/>
            <w:vAlign w:val="bottom"/>
            <w:hideMark/>
          </w:tcPr>
          <w:p w14:paraId="7E6EBCB1" w14:textId="77777777" w:rsidR="001E338F" w:rsidRDefault="001E338F">
            <w:pPr>
              <w:jc w:val="right"/>
              <w:rPr>
                <w:rFonts w:ascii="Cambria" w:hAnsi="Cambria" w:cs="Arial"/>
                <w:b/>
                <w:bCs/>
                <w:color w:val="000000"/>
                <w:sz w:val="18"/>
                <w:szCs w:val="18"/>
              </w:rPr>
            </w:pPr>
            <w:r>
              <w:rPr>
                <w:rFonts w:ascii="Cambria" w:hAnsi="Cambria"/>
                <w:b/>
                <w:color w:val="000000"/>
                <w:sz w:val="18"/>
              </w:rPr>
              <w:t>(11 675 154)</w:t>
            </w:r>
          </w:p>
        </w:tc>
        <w:tc>
          <w:tcPr>
            <w:tcW w:w="1031" w:type="pct"/>
            <w:tcBorders>
              <w:top w:val="single" w:sz="4" w:space="0" w:color="auto"/>
              <w:left w:val="nil"/>
              <w:bottom w:val="nil"/>
              <w:right w:val="nil"/>
            </w:tcBorders>
            <w:shd w:val="clear" w:color="auto" w:fill="auto"/>
            <w:noWrap/>
            <w:vAlign w:val="bottom"/>
            <w:hideMark/>
          </w:tcPr>
          <w:p w14:paraId="7949DDD0" w14:textId="77777777" w:rsidR="001E338F" w:rsidRDefault="001E338F">
            <w:pPr>
              <w:jc w:val="right"/>
              <w:rPr>
                <w:rFonts w:ascii="Cambria" w:hAnsi="Cambria" w:cs="Arial"/>
                <w:b/>
                <w:bCs/>
                <w:color w:val="000000"/>
                <w:sz w:val="18"/>
                <w:szCs w:val="18"/>
              </w:rPr>
            </w:pPr>
            <w:r>
              <w:rPr>
                <w:rFonts w:ascii="Cambria" w:hAnsi="Cambria"/>
                <w:b/>
                <w:color w:val="000000"/>
                <w:sz w:val="18"/>
              </w:rPr>
              <w:t>(11 162 621)</w:t>
            </w:r>
          </w:p>
        </w:tc>
      </w:tr>
      <w:tr w:rsidR="001E338F" w14:paraId="76D8083E" w14:textId="77777777" w:rsidTr="000E77CE">
        <w:trPr>
          <w:trHeight w:val="204"/>
        </w:trPr>
        <w:tc>
          <w:tcPr>
            <w:tcW w:w="3008" w:type="pct"/>
            <w:tcBorders>
              <w:top w:val="nil"/>
              <w:left w:val="nil"/>
              <w:bottom w:val="nil"/>
              <w:right w:val="nil"/>
            </w:tcBorders>
            <w:shd w:val="clear" w:color="auto" w:fill="auto"/>
            <w:noWrap/>
            <w:vAlign w:val="bottom"/>
            <w:hideMark/>
          </w:tcPr>
          <w:p w14:paraId="30014677" w14:textId="77777777" w:rsidR="001E338F" w:rsidRDefault="001E338F">
            <w:pPr>
              <w:jc w:val="right"/>
              <w:rPr>
                <w:rFonts w:ascii="Cambria" w:hAnsi="Cambria" w:cs="Arial"/>
                <w:b/>
                <w:bCs/>
                <w:color w:val="000000"/>
                <w:sz w:val="18"/>
                <w:szCs w:val="18"/>
              </w:rPr>
            </w:pPr>
          </w:p>
        </w:tc>
        <w:tc>
          <w:tcPr>
            <w:tcW w:w="961" w:type="pct"/>
            <w:tcBorders>
              <w:top w:val="nil"/>
              <w:left w:val="nil"/>
              <w:bottom w:val="single" w:sz="4" w:space="0" w:color="auto"/>
              <w:right w:val="nil"/>
            </w:tcBorders>
            <w:shd w:val="clear" w:color="auto" w:fill="auto"/>
            <w:noWrap/>
            <w:vAlign w:val="bottom"/>
            <w:hideMark/>
          </w:tcPr>
          <w:p w14:paraId="3BF92264" w14:textId="77777777" w:rsidR="001E338F" w:rsidRDefault="001E338F">
            <w:pPr>
              <w:rPr>
                <w:rFonts w:ascii="Cambria" w:hAnsi="Cambria" w:cs="Arial"/>
                <w:color w:val="000000"/>
                <w:sz w:val="18"/>
                <w:szCs w:val="18"/>
              </w:rPr>
            </w:pPr>
            <w:r>
              <w:rPr>
                <w:rFonts w:ascii="Cambria" w:hAnsi="Cambria"/>
                <w:color w:val="000000"/>
                <w:sz w:val="18"/>
              </w:rPr>
              <w:t> </w:t>
            </w:r>
          </w:p>
        </w:tc>
        <w:tc>
          <w:tcPr>
            <w:tcW w:w="1031" w:type="pct"/>
            <w:tcBorders>
              <w:top w:val="nil"/>
              <w:left w:val="nil"/>
              <w:bottom w:val="single" w:sz="4" w:space="0" w:color="auto"/>
              <w:right w:val="nil"/>
            </w:tcBorders>
            <w:shd w:val="clear" w:color="auto" w:fill="auto"/>
            <w:noWrap/>
            <w:vAlign w:val="bottom"/>
            <w:hideMark/>
          </w:tcPr>
          <w:p w14:paraId="5FA92407" w14:textId="77777777" w:rsidR="001E338F" w:rsidRDefault="001E338F">
            <w:pPr>
              <w:rPr>
                <w:rFonts w:ascii="Cambria" w:hAnsi="Cambria" w:cs="Arial"/>
                <w:color w:val="000000"/>
                <w:sz w:val="18"/>
                <w:szCs w:val="18"/>
              </w:rPr>
            </w:pPr>
            <w:r>
              <w:rPr>
                <w:rFonts w:ascii="Cambria" w:hAnsi="Cambria"/>
                <w:color w:val="000000"/>
                <w:sz w:val="18"/>
              </w:rPr>
              <w:t> </w:t>
            </w:r>
          </w:p>
        </w:tc>
      </w:tr>
      <w:tr w:rsidR="001E338F" w14:paraId="722733DC" w14:textId="77777777" w:rsidTr="000E77CE">
        <w:trPr>
          <w:trHeight w:val="204"/>
        </w:trPr>
        <w:tc>
          <w:tcPr>
            <w:tcW w:w="3008" w:type="pct"/>
            <w:tcBorders>
              <w:top w:val="nil"/>
              <w:left w:val="nil"/>
              <w:bottom w:val="nil"/>
              <w:right w:val="nil"/>
            </w:tcBorders>
            <w:shd w:val="clear" w:color="auto" w:fill="auto"/>
            <w:noWrap/>
            <w:vAlign w:val="bottom"/>
            <w:hideMark/>
          </w:tcPr>
          <w:p w14:paraId="58C11B59" w14:textId="77777777" w:rsidR="001E338F" w:rsidRDefault="001E338F">
            <w:pPr>
              <w:rPr>
                <w:rFonts w:ascii="Cambria" w:hAnsi="Cambria" w:cs="Arial"/>
                <w:b/>
                <w:bCs/>
                <w:color w:val="000000"/>
                <w:sz w:val="18"/>
                <w:szCs w:val="18"/>
              </w:rPr>
            </w:pPr>
            <w:r>
              <w:rPr>
                <w:rFonts w:ascii="Cambria" w:hAnsi="Cambria"/>
                <w:b/>
                <w:color w:val="000000"/>
                <w:sz w:val="18"/>
              </w:rPr>
              <w:t>Fonds de roulement net (D) = (B) + (C)</w:t>
            </w:r>
          </w:p>
        </w:tc>
        <w:tc>
          <w:tcPr>
            <w:tcW w:w="961" w:type="pct"/>
            <w:tcBorders>
              <w:top w:val="nil"/>
              <w:left w:val="nil"/>
              <w:bottom w:val="nil"/>
              <w:right w:val="nil"/>
            </w:tcBorders>
            <w:shd w:val="clear" w:color="auto" w:fill="auto"/>
            <w:noWrap/>
            <w:vAlign w:val="bottom"/>
            <w:hideMark/>
          </w:tcPr>
          <w:p w14:paraId="034303AC" w14:textId="77777777" w:rsidR="001E338F" w:rsidRDefault="001E338F">
            <w:pPr>
              <w:jc w:val="right"/>
              <w:rPr>
                <w:rFonts w:ascii="Cambria" w:hAnsi="Cambria" w:cs="Arial"/>
                <w:b/>
                <w:bCs/>
                <w:color w:val="000000"/>
                <w:sz w:val="18"/>
                <w:szCs w:val="18"/>
              </w:rPr>
            </w:pPr>
            <w:r>
              <w:rPr>
                <w:rFonts w:ascii="Cambria" w:hAnsi="Cambria"/>
                <w:b/>
                <w:color w:val="000000"/>
                <w:sz w:val="18"/>
              </w:rPr>
              <w:t>1 058 335</w:t>
            </w:r>
          </w:p>
        </w:tc>
        <w:tc>
          <w:tcPr>
            <w:tcW w:w="1031" w:type="pct"/>
            <w:tcBorders>
              <w:top w:val="nil"/>
              <w:left w:val="nil"/>
              <w:bottom w:val="nil"/>
              <w:right w:val="nil"/>
            </w:tcBorders>
            <w:shd w:val="clear" w:color="auto" w:fill="auto"/>
            <w:noWrap/>
            <w:vAlign w:val="bottom"/>
            <w:hideMark/>
          </w:tcPr>
          <w:p w14:paraId="3CF084E6" w14:textId="77777777" w:rsidR="001E338F" w:rsidRDefault="001E338F">
            <w:pPr>
              <w:jc w:val="right"/>
              <w:rPr>
                <w:rFonts w:ascii="Cambria" w:hAnsi="Cambria" w:cs="Arial"/>
                <w:b/>
                <w:bCs/>
                <w:color w:val="000000"/>
                <w:sz w:val="18"/>
                <w:szCs w:val="18"/>
              </w:rPr>
            </w:pPr>
            <w:r>
              <w:rPr>
                <w:rFonts w:ascii="Cambria" w:hAnsi="Cambria"/>
                <w:b/>
                <w:color w:val="000000"/>
                <w:sz w:val="18"/>
              </w:rPr>
              <w:t>753 627</w:t>
            </w:r>
          </w:p>
        </w:tc>
      </w:tr>
      <w:tr w:rsidR="001E338F" w14:paraId="4A355519" w14:textId="77777777" w:rsidTr="000E77CE">
        <w:trPr>
          <w:trHeight w:val="204"/>
        </w:trPr>
        <w:tc>
          <w:tcPr>
            <w:tcW w:w="3008" w:type="pct"/>
            <w:tcBorders>
              <w:top w:val="nil"/>
              <w:left w:val="nil"/>
              <w:bottom w:val="nil"/>
              <w:right w:val="nil"/>
            </w:tcBorders>
            <w:shd w:val="clear" w:color="auto" w:fill="auto"/>
            <w:noWrap/>
            <w:vAlign w:val="bottom"/>
            <w:hideMark/>
          </w:tcPr>
          <w:p w14:paraId="64FD7AA0" w14:textId="77777777" w:rsidR="001E338F" w:rsidRDefault="001E338F">
            <w:pPr>
              <w:jc w:val="right"/>
              <w:rPr>
                <w:rFonts w:ascii="Cambria" w:hAnsi="Cambria" w:cs="Arial"/>
                <w:b/>
                <w:bCs/>
                <w:color w:val="000000"/>
                <w:sz w:val="18"/>
                <w:szCs w:val="18"/>
              </w:rPr>
            </w:pPr>
          </w:p>
        </w:tc>
        <w:tc>
          <w:tcPr>
            <w:tcW w:w="961" w:type="pct"/>
            <w:tcBorders>
              <w:top w:val="nil"/>
              <w:left w:val="nil"/>
              <w:bottom w:val="nil"/>
              <w:right w:val="nil"/>
            </w:tcBorders>
            <w:shd w:val="clear" w:color="auto" w:fill="auto"/>
            <w:noWrap/>
            <w:vAlign w:val="bottom"/>
            <w:hideMark/>
          </w:tcPr>
          <w:p w14:paraId="6B564821" w14:textId="77777777" w:rsidR="001E338F" w:rsidRDefault="001E338F">
            <w:pPr>
              <w:rPr>
                <w:sz w:val="20"/>
                <w:szCs w:val="20"/>
              </w:rPr>
            </w:pPr>
          </w:p>
        </w:tc>
        <w:tc>
          <w:tcPr>
            <w:tcW w:w="1031" w:type="pct"/>
            <w:tcBorders>
              <w:top w:val="nil"/>
              <w:left w:val="nil"/>
              <w:bottom w:val="nil"/>
              <w:right w:val="nil"/>
            </w:tcBorders>
            <w:shd w:val="clear" w:color="auto" w:fill="auto"/>
            <w:noWrap/>
            <w:vAlign w:val="bottom"/>
            <w:hideMark/>
          </w:tcPr>
          <w:p w14:paraId="681A0B6D" w14:textId="77777777" w:rsidR="001E338F" w:rsidRDefault="001E338F">
            <w:pPr>
              <w:rPr>
                <w:sz w:val="20"/>
                <w:szCs w:val="20"/>
              </w:rPr>
            </w:pPr>
          </w:p>
        </w:tc>
      </w:tr>
      <w:tr w:rsidR="001E338F" w14:paraId="7DA3427B" w14:textId="77777777" w:rsidTr="000E77CE">
        <w:trPr>
          <w:trHeight w:val="204"/>
        </w:trPr>
        <w:tc>
          <w:tcPr>
            <w:tcW w:w="3008" w:type="pct"/>
            <w:tcBorders>
              <w:top w:val="nil"/>
              <w:left w:val="nil"/>
              <w:bottom w:val="nil"/>
              <w:right w:val="nil"/>
            </w:tcBorders>
            <w:shd w:val="clear" w:color="auto" w:fill="auto"/>
            <w:noWrap/>
            <w:vAlign w:val="bottom"/>
            <w:hideMark/>
          </w:tcPr>
          <w:p w14:paraId="7B0E8DA0" w14:textId="77777777" w:rsidR="001E338F" w:rsidRDefault="001E338F">
            <w:pPr>
              <w:rPr>
                <w:rFonts w:ascii="Cambria" w:hAnsi="Cambria" w:cs="Arial"/>
                <w:color w:val="000000"/>
                <w:sz w:val="18"/>
                <w:szCs w:val="18"/>
              </w:rPr>
            </w:pPr>
            <w:r>
              <w:rPr>
                <w:rFonts w:ascii="Cambria" w:hAnsi="Cambria"/>
                <w:color w:val="000000"/>
                <w:sz w:val="18"/>
              </w:rPr>
              <w:t>Passifs liés à des avantages sociaux futurs</w:t>
            </w:r>
          </w:p>
        </w:tc>
        <w:tc>
          <w:tcPr>
            <w:tcW w:w="961" w:type="pct"/>
            <w:tcBorders>
              <w:top w:val="nil"/>
              <w:left w:val="nil"/>
              <w:bottom w:val="nil"/>
              <w:right w:val="nil"/>
            </w:tcBorders>
            <w:shd w:val="clear" w:color="auto" w:fill="auto"/>
            <w:noWrap/>
            <w:vAlign w:val="bottom"/>
            <w:hideMark/>
          </w:tcPr>
          <w:p w14:paraId="785C2264" w14:textId="77777777" w:rsidR="001E338F" w:rsidRDefault="001E338F">
            <w:pPr>
              <w:jc w:val="right"/>
              <w:rPr>
                <w:rFonts w:ascii="Cambria" w:hAnsi="Cambria" w:cs="Arial"/>
                <w:color w:val="000000"/>
                <w:sz w:val="18"/>
                <w:szCs w:val="18"/>
              </w:rPr>
            </w:pPr>
            <w:r>
              <w:rPr>
                <w:rFonts w:ascii="Cambria" w:hAnsi="Cambria"/>
                <w:color w:val="000000"/>
                <w:sz w:val="18"/>
              </w:rPr>
              <w:t>(777 176)</w:t>
            </w:r>
          </w:p>
        </w:tc>
        <w:tc>
          <w:tcPr>
            <w:tcW w:w="1031" w:type="pct"/>
            <w:tcBorders>
              <w:top w:val="nil"/>
              <w:left w:val="nil"/>
              <w:bottom w:val="nil"/>
              <w:right w:val="nil"/>
            </w:tcBorders>
            <w:shd w:val="clear" w:color="auto" w:fill="auto"/>
            <w:noWrap/>
            <w:vAlign w:val="bottom"/>
            <w:hideMark/>
          </w:tcPr>
          <w:p w14:paraId="01A04C7F" w14:textId="77777777" w:rsidR="001E338F" w:rsidRDefault="001E338F">
            <w:pPr>
              <w:jc w:val="right"/>
              <w:rPr>
                <w:rFonts w:ascii="Cambria" w:hAnsi="Cambria" w:cs="Arial"/>
                <w:color w:val="000000"/>
                <w:sz w:val="18"/>
                <w:szCs w:val="18"/>
              </w:rPr>
            </w:pPr>
            <w:r>
              <w:rPr>
                <w:rFonts w:ascii="Cambria" w:hAnsi="Cambria"/>
                <w:color w:val="000000"/>
                <w:sz w:val="18"/>
              </w:rPr>
              <w:t>(692 147)</w:t>
            </w:r>
          </w:p>
        </w:tc>
      </w:tr>
      <w:tr w:rsidR="001E338F" w14:paraId="6E4055D9" w14:textId="77777777" w:rsidTr="000E77CE">
        <w:trPr>
          <w:trHeight w:val="204"/>
        </w:trPr>
        <w:tc>
          <w:tcPr>
            <w:tcW w:w="3008" w:type="pct"/>
            <w:tcBorders>
              <w:top w:val="nil"/>
              <w:left w:val="nil"/>
              <w:bottom w:val="nil"/>
              <w:right w:val="nil"/>
            </w:tcBorders>
            <w:shd w:val="clear" w:color="auto" w:fill="auto"/>
            <w:noWrap/>
            <w:vAlign w:val="bottom"/>
            <w:hideMark/>
          </w:tcPr>
          <w:p w14:paraId="7B3A582D" w14:textId="77777777" w:rsidR="001E338F" w:rsidRDefault="001E338F">
            <w:pPr>
              <w:rPr>
                <w:rFonts w:ascii="Cambria" w:hAnsi="Cambria" w:cs="Arial"/>
                <w:color w:val="000000"/>
                <w:sz w:val="18"/>
                <w:szCs w:val="18"/>
              </w:rPr>
            </w:pPr>
            <w:r>
              <w:rPr>
                <w:rFonts w:ascii="Cambria" w:hAnsi="Cambria"/>
                <w:color w:val="000000"/>
                <w:sz w:val="18"/>
              </w:rPr>
              <w:t>Provisions pour risques et charges</w:t>
            </w:r>
          </w:p>
        </w:tc>
        <w:tc>
          <w:tcPr>
            <w:tcW w:w="961" w:type="pct"/>
            <w:tcBorders>
              <w:top w:val="nil"/>
              <w:left w:val="nil"/>
              <w:bottom w:val="nil"/>
              <w:right w:val="nil"/>
            </w:tcBorders>
            <w:shd w:val="clear" w:color="auto" w:fill="auto"/>
            <w:noWrap/>
            <w:vAlign w:val="bottom"/>
            <w:hideMark/>
          </w:tcPr>
          <w:p w14:paraId="0855A685" w14:textId="77777777" w:rsidR="001E338F" w:rsidRDefault="001E338F">
            <w:pPr>
              <w:jc w:val="right"/>
              <w:rPr>
                <w:rFonts w:ascii="Cambria" w:hAnsi="Cambria" w:cs="Arial"/>
                <w:color w:val="000000"/>
                <w:sz w:val="18"/>
                <w:szCs w:val="18"/>
              </w:rPr>
            </w:pPr>
            <w:r>
              <w:rPr>
                <w:rFonts w:ascii="Cambria" w:hAnsi="Cambria"/>
                <w:color w:val="000000"/>
                <w:sz w:val="18"/>
              </w:rPr>
              <w:t>(42 531)</w:t>
            </w:r>
          </w:p>
        </w:tc>
        <w:tc>
          <w:tcPr>
            <w:tcW w:w="1031" w:type="pct"/>
            <w:tcBorders>
              <w:top w:val="nil"/>
              <w:left w:val="nil"/>
              <w:bottom w:val="nil"/>
              <w:right w:val="nil"/>
            </w:tcBorders>
            <w:shd w:val="clear" w:color="auto" w:fill="auto"/>
            <w:noWrap/>
            <w:vAlign w:val="bottom"/>
            <w:hideMark/>
          </w:tcPr>
          <w:p w14:paraId="58E1ECA5" w14:textId="77777777" w:rsidR="001E338F" w:rsidRDefault="001E338F">
            <w:pPr>
              <w:jc w:val="right"/>
              <w:rPr>
                <w:rFonts w:ascii="Cambria" w:hAnsi="Cambria" w:cs="Arial"/>
                <w:color w:val="000000"/>
                <w:sz w:val="18"/>
                <w:szCs w:val="18"/>
              </w:rPr>
            </w:pPr>
            <w:r>
              <w:rPr>
                <w:rFonts w:ascii="Cambria" w:hAnsi="Cambria"/>
                <w:color w:val="000000"/>
                <w:sz w:val="18"/>
              </w:rPr>
              <w:t>(42 531)</w:t>
            </w:r>
          </w:p>
        </w:tc>
      </w:tr>
      <w:tr w:rsidR="001E338F" w14:paraId="271977C3" w14:textId="77777777" w:rsidTr="000E77CE">
        <w:trPr>
          <w:trHeight w:val="204"/>
        </w:trPr>
        <w:tc>
          <w:tcPr>
            <w:tcW w:w="3008" w:type="pct"/>
            <w:tcBorders>
              <w:top w:val="nil"/>
              <w:left w:val="nil"/>
              <w:bottom w:val="nil"/>
              <w:right w:val="nil"/>
            </w:tcBorders>
            <w:shd w:val="clear" w:color="auto" w:fill="auto"/>
            <w:noWrap/>
            <w:vAlign w:val="bottom"/>
            <w:hideMark/>
          </w:tcPr>
          <w:p w14:paraId="352A52DB" w14:textId="16375A12" w:rsidR="001E338F" w:rsidRDefault="001E338F">
            <w:pPr>
              <w:outlineLvl w:val="0"/>
              <w:rPr>
                <w:rFonts w:ascii="Cambria" w:hAnsi="Cambria" w:cs="Arial"/>
                <w:color w:val="000000"/>
                <w:sz w:val="18"/>
                <w:szCs w:val="18"/>
              </w:rPr>
            </w:pPr>
            <w:bookmarkStart w:id="21" w:name="_Toc101455472"/>
            <w:bookmarkStart w:id="22" w:name="_Toc112768600"/>
            <w:r>
              <w:rPr>
                <w:rFonts w:ascii="Cambria" w:hAnsi="Cambria"/>
                <w:color w:val="000000"/>
                <w:sz w:val="18"/>
              </w:rPr>
              <w:t>Autres passifs et dettes à long terme</w:t>
            </w:r>
            <w:bookmarkEnd w:id="21"/>
            <w:bookmarkEnd w:id="22"/>
          </w:p>
        </w:tc>
        <w:tc>
          <w:tcPr>
            <w:tcW w:w="961" w:type="pct"/>
            <w:tcBorders>
              <w:top w:val="nil"/>
              <w:left w:val="nil"/>
              <w:bottom w:val="nil"/>
              <w:right w:val="nil"/>
            </w:tcBorders>
            <w:shd w:val="clear" w:color="auto" w:fill="auto"/>
            <w:noWrap/>
            <w:vAlign w:val="bottom"/>
            <w:hideMark/>
          </w:tcPr>
          <w:p w14:paraId="33B95A20" w14:textId="77777777" w:rsidR="001E338F" w:rsidRDefault="001E338F">
            <w:pPr>
              <w:jc w:val="right"/>
              <w:outlineLvl w:val="0"/>
              <w:rPr>
                <w:rFonts w:ascii="Cambria" w:hAnsi="Cambria" w:cs="Arial"/>
                <w:color w:val="000000"/>
                <w:sz w:val="18"/>
                <w:szCs w:val="18"/>
              </w:rPr>
            </w:pPr>
            <w:bookmarkStart w:id="23" w:name="_Toc101455473"/>
            <w:bookmarkStart w:id="24" w:name="_Toc112768601"/>
            <w:r>
              <w:rPr>
                <w:rFonts w:ascii="Cambria" w:hAnsi="Cambria"/>
                <w:color w:val="000000"/>
                <w:sz w:val="18"/>
              </w:rPr>
              <w:t>(1 480 678)</w:t>
            </w:r>
            <w:bookmarkEnd w:id="23"/>
            <w:bookmarkEnd w:id="24"/>
          </w:p>
        </w:tc>
        <w:tc>
          <w:tcPr>
            <w:tcW w:w="1031" w:type="pct"/>
            <w:tcBorders>
              <w:top w:val="nil"/>
              <w:left w:val="nil"/>
              <w:bottom w:val="nil"/>
              <w:right w:val="nil"/>
            </w:tcBorders>
            <w:shd w:val="clear" w:color="auto" w:fill="auto"/>
            <w:noWrap/>
            <w:vAlign w:val="bottom"/>
            <w:hideMark/>
          </w:tcPr>
          <w:p w14:paraId="68C34ACD" w14:textId="77777777" w:rsidR="001E338F" w:rsidRDefault="001E338F">
            <w:pPr>
              <w:jc w:val="right"/>
              <w:outlineLvl w:val="0"/>
              <w:rPr>
                <w:rFonts w:ascii="Cambria" w:hAnsi="Cambria" w:cs="Arial"/>
                <w:color w:val="000000"/>
                <w:sz w:val="18"/>
                <w:szCs w:val="18"/>
              </w:rPr>
            </w:pPr>
            <w:bookmarkStart w:id="25" w:name="_Toc101455474"/>
            <w:bookmarkStart w:id="26" w:name="_Toc112768602"/>
            <w:r>
              <w:rPr>
                <w:rFonts w:ascii="Cambria" w:hAnsi="Cambria"/>
                <w:color w:val="000000"/>
                <w:sz w:val="18"/>
              </w:rPr>
              <w:t>(1 662 489)</w:t>
            </w:r>
            <w:bookmarkEnd w:id="25"/>
            <w:bookmarkEnd w:id="26"/>
          </w:p>
        </w:tc>
      </w:tr>
      <w:tr w:rsidR="001E338F" w14:paraId="2CCF2723" w14:textId="77777777" w:rsidTr="000E77CE">
        <w:trPr>
          <w:trHeight w:val="204"/>
        </w:trPr>
        <w:tc>
          <w:tcPr>
            <w:tcW w:w="3008" w:type="pct"/>
            <w:tcBorders>
              <w:top w:val="nil"/>
              <w:left w:val="nil"/>
              <w:bottom w:val="nil"/>
              <w:right w:val="nil"/>
            </w:tcBorders>
            <w:shd w:val="clear" w:color="auto" w:fill="auto"/>
            <w:noWrap/>
            <w:vAlign w:val="bottom"/>
            <w:hideMark/>
          </w:tcPr>
          <w:p w14:paraId="17142CCA" w14:textId="77777777" w:rsidR="001E338F" w:rsidRDefault="001E338F">
            <w:pPr>
              <w:rPr>
                <w:rFonts w:ascii="Cambria" w:hAnsi="Cambria" w:cs="Arial"/>
                <w:color w:val="000000"/>
                <w:sz w:val="18"/>
                <w:szCs w:val="18"/>
              </w:rPr>
            </w:pPr>
            <w:r>
              <w:rPr>
                <w:rFonts w:ascii="Cambria" w:hAnsi="Cambria"/>
                <w:color w:val="000000"/>
                <w:sz w:val="18"/>
              </w:rPr>
              <w:t>Impôts différés passif</w:t>
            </w:r>
          </w:p>
        </w:tc>
        <w:tc>
          <w:tcPr>
            <w:tcW w:w="961" w:type="pct"/>
            <w:tcBorders>
              <w:top w:val="nil"/>
              <w:left w:val="nil"/>
              <w:bottom w:val="single" w:sz="4" w:space="0" w:color="auto"/>
              <w:right w:val="nil"/>
            </w:tcBorders>
            <w:shd w:val="clear" w:color="auto" w:fill="auto"/>
            <w:noWrap/>
            <w:vAlign w:val="bottom"/>
            <w:hideMark/>
          </w:tcPr>
          <w:p w14:paraId="7C06F6A7" w14:textId="77777777" w:rsidR="001E338F" w:rsidRDefault="001E338F">
            <w:pPr>
              <w:jc w:val="right"/>
              <w:rPr>
                <w:rFonts w:ascii="Cambria" w:hAnsi="Cambria" w:cs="Arial"/>
                <w:color w:val="000000"/>
                <w:sz w:val="18"/>
                <w:szCs w:val="18"/>
              </w:rPr>
            </w:pPr>
            <w:r>
              <w:rPr>
                <w:rFonts w:ascii="Cambria" w:hAnsi="Cambria"/>
                <w:color w:val="000000"/>
                <w:sz w:val="18"/>
              </w:rPr>
              <w:t>(52 257)</w:t>
            </w:r>
          </w:p>
        </w:tc>
        <w:tc>
          <w:tcPr>
            <w:tcW w:w="1031" w:type="pct"/>
            <w:tcBorders>
              <w:top w:val="nil"/>
              <w:left w:val="nil"/>
              <w:bottom w:val="single" w:sz="4" w:space="0" w:color="auto"/>
              <w:right w:val="nil"/>
            </w:tcBorders>
            <w:shd w:val="clear" w:color="auto" w:fill="auto"/>
            <w:noWrap/>
            <w:vAlign w:val="bottom"/>
            <w:hideMark/>
          </w:tcPr>
          <w:p w14:paraId="32316A7E" w14:textId="77777777" w:rsidR="001E338F" w:rsidRDefault="001E338F">
            <w:pPr>
              <w:jc w:val="right"/>
              <w:rPr>
                <w:rFonts w:ascii="Cambria" w:hAnsi="Cambria" w:cs="Arial"/>
                <w:color w:val="000000"/>
                <w:sz w:val="18"/>
                <w:szCs w:val="18"/>
              </w:rPr>
            </w:pPr>
            <w:r>
              <w:rPr>
                <w:rFonts w:ascii="Cambria" w:hAnsi="Cambria"/>
                <w:color w:val="000000"/>
                <w:sz w:val="18"/>
              </w:rPr>
              <w:t>(52 257)</w:t>
            </w:r>
          </w:p>
        </w:tc>
      </w:tr>
      <w:tr w:rsidR="001E338F" w14:paraId="0CF3642E" w14:textId="77777777" w:rsidTr="000E77CE">
        <w:trPr>
          <w:trHeight w:val="204"/>
        </w:trPr>
        <w:tc>
          <w:tcPr>
            <w:tcW w:w="3008" w:type="pct"/>
            <w:tcBorders>
              <w:top w:val="nil"/>
              <w:left w:val="nil"/>
              <w:bottom w:val="nil"/>
              <w:right w:val="nil"/>
            </w:tcBorders>
            <w:shd w:val="clear" w:color="auto" w:fill="auto"/>
            <w:noWrap/>
            <w:vAlign w:val="bottom"/>
            <w:hideMark/>
          </w:tcPr>
          <w:p w14:paraId="221D2882" w14:textId="77777777" w:rsidR="001E338F" w:rsidRDefault="001E338F">
            <w:pPr>
              <w:rPr>
                <w:rFonts w:ascii="Cambria" w:hAnsi="Cambria" w:cs="Arial"/>
                <w:b/>
                <w:bCs/>
                <w:color w:val="000000"/>
                <w:sz w:val="18"/>
                <w:szCs w:val="18"/>
              </w:rPr>
            </w:pPr>
            <w:r>
              <w:rPr>
                <w:rFonts w:ascii="Cambria" w:hAnsi="Cambria"/>
                <w:b/>
                <w:color w:val="000000"/>
                <w:sz w:val="18"/>
              </w:rPr>
              <w:t>Passif à moyen/long terme (E)</w:t>
            </w:r>
          </w:p>
        </w:tc>
        <w:tc>
          <w:tcPr>
            <w:tcW w:w="961" w:type="pct"/>
            <w:tcBorders>
              <w:top w:val="nil"/>
              <w:left w:val="nil"/>
              <w:bottom w:val="nil"/>
              <w:right w:val="nil"/>
            </w:tcBorders>
            <w:shd w:val="clear" w:color="auto" w:fill="auto"/>
            <w:noWrap/>
            <w:vAlign w:val="bottom"/>
            <w:hideMark/>
          </w:tcPr>
          <w:p w14:paraId="53A7BEF2" w14:textId="77777777" w:rsidR="001E338F" w:rsidRDefault="001E338F">
            <w:pPr>
              <w:jc w:val="right"/>
              <w:rPr>
                <w:rFonts w:ascii="Cambria" w:hAnsi="Cambria" w:cs="Arial"/>
                <w:b/>
                <w:bCs/>
                <w:color w:val="000000"/>
                <w:sz w:val="18"/>
                <w:szCs w:val="18"/>
              </w:rPr>
            </w:pPr>
            <w:r>
              <w:rPr>
                <w:rFonts w:ascii="Cambria" w:hAnsi="Cambria"/>
                <w:b/>
                <w:color w:val="000000"/>
                <w:sz w:val="18"/>
              </w:rPr>
              <w:t>(2 352 643)</w:t>
            </w:r>
          </w:p>
        </w:tc>
        <w:tc>
          <w:tcPr>
            <w:tcW w:w="1031" w:type="pct"/>
            <w:tcBorders>
              <w:top w:val="nil"/>
              <w:left w:val="nil"/>
              <w:bottom w:val="nil"/>
              <w:right w:val="nil"/>
            </w:tcBorders>
            <w:shd w:val="clear" w:color="auto" w:fill="auto"/>
            <w:noWrap/>
            <w:vAlign w:val="bottom"/>
            <w:hideMark/>
          </w:tcPr>
          <w:p w14:paraId="65551AD6" w14:textId="77777777" w:rsidR="001E338F" w:rsidRDefault="001E338F">
            <w:pPr>
              <w:jc w:val="right"/>
              <w:rPr>
                <w:rFonts w:ascii="Cambria" w:hAnsi="Cambria" w:cs="Arial"/>
                <w:b/>
                <w:bCs/>
                <w:color w:val="000000"/>
                <w:sz w:val="18"/>
                <w:szCs w:val="18"/>
              </w:rPr>
            </w:pPr>
            <w:r>
              <w:rPr>
                <w:rFonts w:ascii="Cambria" w:hAnsi="Cambria"/>
                <w:b/>
                <w:color w:val="000000"/>
                <w:sz w:val="18"/>
              </w:rPr>
              <w:t>(2 449 424)</w:t>
            </w:r>
          </w:p>
        </w:tc>
      </w:tr>
      <w:tr w:rsidR="001E338F" w14:paraId="5A1790AF" w14:textId="77777777" w:rsidTr="000E77CE">
        <w:trPr>
          <w:trHeight w:val="204"/>
        </w:trPr>
        <w:tc>
          <w:tcPr>
            <w:tcW w:w="3008" w:type="pct"/>
            <w:tcBorders>
              <w:top w:val="nil"/>
              <w:left w:val="nil"/>
              <w:bottom w:val="nil"/>
              <w:right w:val="nil"/>
            </w:tcBorders>
            <w:shd w:val="clear" w:color="auto" w:fill="auto"/>
            <w:noWrap/>
            <w:vAlign w:val="bottom"/>
            <w:hideMark/>
          </w:tcPr>
          <w:p w14:paraId="7056E36B" w14:textId="77777777" w:rsidR="001E338F" w:rsidRDefault="001E338F">
            <w:pPr>
              <w:jc w:val="right"/>
              <w:rPr>
                <w:rFonts w:ascii="Cambria" w:hAnsi="Cambria" w:cs="Arial"/>
                <w:b/>
                <w:bCs/>
                <w:color w:val="000000"/>
                <w:sz w:val="18"/>
                <w:szCs w:val="18"/>
              </w:rPr>
            </w:pPr>
          </w:p>
        </w:tc>
        <w:tc>
          <w:tcPr>
            <w:tcW w:w="961" w:type="pct"/>
            <w:tcBorders>
              <w:top w:val="nil"/>
              <w:left w:val="nil"/>
              <w:bottom w:val="nil"/>
              <w:right w:val="nil"/>
            </w:tcBorders>
            <w:shd w:val="clear" w:color="auto" w:fill="auto"/>
            <w:noWrap/>
            <w:vAlign w:val="bottom"/>
            <w:hideMark/>
          </w:tcPr>
          <w:p w14:paraId="505F6E3D" w14:textId="77777777" w:rsidR="001E338F" w:rsidRDefault="001E338F">
            <w:pPr>
              <w:rPr>
                <w:sz w:val="20"/>
                <w:szCs w:val="20"/>
              </w:rPr>
            </w:pPr>
          </w:p>
        </w:tc>
        <w:tc>
          <w:tcPr>
            <w:tcW w:w="1031" w:type="pct"/>
            <w:tcBorders>
              <w:top w:val="nil"/>
              <w:left w:val="nil"/>
              <w:bottom w:val="nil"/>
              <w:right w:val="nil"/>
            </w:tcBorders>
            <w:shd w:val="clear" w:color="auto" w:fill="auto"/>
            <w:noWrap/>
            <w:vAlign w:val="bottom"/>
            <w:hideMark/>
          </w:tcPr>
          <w:p w14:paraId="7815096D" w14:textId="77777777" w:rsidR="001E338F" w:rsidRDefault="001E338F">
            <w:pPr>
              <w:rPr>
                <w:sz w:val="20"/>
                <w:szCs w:val="20"/>
              </w:rPr>
            </w:pPr>
          </w:p>
        </w:tc>
      </w:tr>
      <w:tr w:rsidR="001E338F" w14:paraId="26309840" w14:textId="77777777" w:rsidTr="000E77CE">
        <w:trPr>
          <w:trHeight w:val="215"/>
        </w:trPr>
        <w:tc>
          <w:tcPr>
            <w:tcW w:w="3008" w:type="pct"/>
            <w:tcBorders>
              <w:top w:val="nil"/>
              <w:left w:val="nil"/>
              <w:bottom w:val="nil"/>
              <w:right w:val="nil"/>
            </w:tcBorders>
            <w:shd w:val="clear" w:color="auto" w:fill="auto"/>
            <w:noWrap/>
            <w:vAlign w:val="bottom"/>
            <w:hideMark/>
          </w:tcPr>
          <w:p w14:paraId="55166D9A" w14:textId="77777777" w:rsidR="001E338F" w:rsidRPr="00DC792B" w:rsidRDefault="001E338F">
            <w:pPr>
              <w:rPr>
                <w:rFonts w:ascii="Cambria" w:hAnsi="Cambria" w:cs="Arial"/>
                <w:b/>
                <w:bCs/>
                <w:color w:val="000000"/>
                <w:sz w:val="18"/>
                <w:szCs w:val="18"/>
                <w:lang w:val="it-IT"/>
              </w:rPr>
            </w:pPr>
            <w:r w:rsidRPr="00DC792B">
              <w:rPr>
                <w:rFonts w:ascii="Cambria" w:hAnsi="Cambria"/>
                <w:b/>
                <w:color w:val="000000"/>
                <w:sz w:val="18"/>
                <w:lang w:val="it-IT"/>
              </w:rPr>
              <w:t>CAPITAL INVESTI (A) + (D) + (E)</w:t>
            </w:r>
          </w:p>
        </w:tc>
        <w:tc>
          <w:tcPr>
            <w:tcW w:w="961" w:type="pct"/>
            <w:tcBorders>
              <w:top w:val="single" w:sz="4" w:space="0" w:color="auto"/>
              <w:left w:val="nil"/>
              <w:bottom w:val="single" w:sz="8" w:space="0" w:color="auto"/>
              <w:right w:val="nil"/>
            </w:tcBorders>
            <w:shd w:val="clear" w:color="auto" w:fill="auto"/>
            <w:noWrap/>
            <w:vAlign w:val="bottom"/>
            <w:hideMark/>
          </w:tcPr>
          <w:p w14:paraId="58779997" w14:textId="77777777" w:rsidR="001E338F" w:rsidRDefault="001E338F">
            <w:pPr>
              <w:jc w:val="right"/>
              <w:rPr>
                <w:rFonts w:ascii="Cambria" w:hAnsi="Cambria" w:cs="Arial"/>
                <w:b/>
                <w:bCs/>
                <w:color w:val="000000"/>
                <w:sz w:val="18"/>
                <w:szCs w:val="18"/>
              </w:rPr>
            </w:pPr>
            <w:r>
              <w:rPr>
                <w:rFonts w:ascii="Cambria" w:hAnsi="Cambria"/>
                <w:b/>
                <w:color w:val="000000"/>
                <w:sz w:val="18"/>
              </w:rPr>
              <w:t>9 110 312</w:t>
            </w:r>
          </w:p>
        </w:tc>
        <w:tc>
          <w:tcPr>
            <w:tcW w:w="1031" w:type="pct"/>
            <w:tcBorders>
              <w:top w:val="single" w:sz="4" w:space="0" w:color="auto"/>
              <w:left w:val="nil"/>
              <w:bottom w:val="single" w:sz="8" w:space="0" w:color="auto"/>
              <w:right w:val="nil"/>
            </w:tcBorders>
            <w:shd w:val="clear" w:color="auto" w:fill="auto"/>
            <w:noWrap/>
            <w:vAlign w:val="bottom"/>
            <w:hideMark/>
          </w:tcPr>
          <w:p w14:paraId="7F4C1E3A" w14:textId="77777777" w:rsidR="001E338F" w:rsidRDefault="001E338F">
            <w:pPr>
              <w:jc w:val="right"/>
              <w:rPr>
                <w:rFonts w:ascii="Cambria" w:hAnsi="Cambria" w:cs="Arial"/>
                <w:b/>
                <w:bCs/>
                <w:color w:val="000000"/>
                <w:sz w:val="18"/>
                <w:szCs w:val="18"/>
              </w:rPr>
            </w:pPr>
            <w:r>
              <w:rPr>
                <w:rFonts w:ascii="Cambria" w:hAnsi="Cambria"/>
                <w:b/>
                <w:color w:val="000000"/>
                <w:sz w:val="18"/>
              </w:rPr>
              <w:t>10 093 211</w:t>
            </w:r>
          </w:p>
        </w:tc>
      </w:tr>
      <w:tr w:rsidR="001E338F" w14:paraId="4CC7E8A5" w14:textId="77777777" w:rsidTr="000E77CE">
        <w:trPr>
          <w:trHeight w:val="204"/>
        </w:trPr>
        <w:tc>
          <w:tcPr>
            <w:tcW w:w="3008" w:type="pct"/>
            <w:tcBorders>
              <w:top w:val="nil"/>
              <w:left w:val="nil"/>
              <w:bottom w:val="nil"/>
              <w:right w:val="nil"/>
            </w:tcBorders>
            <w:shd w:val="clear" w:color="auto" w:fill="auto"/>
            <w:noWrap/>
            <w:vAlign w:val="bottom"/>
            <w:hideMark/>
          </w:tcPr>
          <w:p w14:paraId="314D886C" w14:textId="77777777" w:rsidR="001E338F" w:rsidRDefault="001E338F">
            <w:pPr>
              <w:jc w:val="right"/>
              <w:rPr>
                <w:rFonts w:ascii="Cambria" w:hAnsi="Cambria" w:cs="Arial"/>
                <w:b/>
                <w:bCs/>
                <w:color w:val="000000"/>
                <w:sz w:val="18"/>
                <w:szCs w:val="18"/>
              </w:rPr>
            </w:pPr>
          </w:p>
        </w:tc>
        <w:tc>
          <w:tcPr>
            <w:tcW w:w="961" w:type="pct"/>
            <w:tcBorders>
              <w:top w:val="nil"/>
              <w:left w:val="nil"/>
              <w:bottom w:val="nil"/>
              <w:right w:val="nil"/>
            </w:tcBorders>
            <w:shd w:val="clear" w:color="auto" w:fill="auto"/>
            <w:noWrap/>
            <w:vAlign w:val="bottom"/>
            <w:hideMark/>
          </w:tcPr>
          <w:p w14:paraId="0677616B" w14:textId="77777777" w:rsidR="001E338F" w:rsidRDefault="001E338F">
            <w:pPr>
              <w:rPr>
                <w:sz w:val="20"/>
                <w:szCs w:val="20"/>
              </w:rPr>
            </w:pPr>
          </w:p>
        </w:tc>
        <w:tc>
          <w:tcPr>
            <w:tcW w:w="1031" w:type="pct"/>
            <w:tcBorders>
              <w:top w:val="nil"/>
              <w:left w:val="nil"/>
              <w:bottom w:val="nil"/>
              <w:right w:val="nil"/>
            </w:tcBorders>
            <w:shd w:val="clear" w:color="auto" w:fill="auto"/>
            <w:noWrap/>
            <w:vAlign w:val="bottom"/>
            <w:hideMark/>
          </w:tcPr>
          <w:p w14:paraId="2CE0F29B" w14:textId="77777777" w:rsidR="001E338F" w:rsidRDefault="001E338F">
            <w:pPr>
              <w:rPr>
                <w:sz w:val="20"/>
                <w:szCs w:val="20"/>
              </w:rPr>
            </w:pPr>
          </w:p>
        </w:tc>
      </w:tr>
      <w:tr w:rsidR="001E338F" w14:paraId="404AA2D2" w14:textId="77777777" w:rsidTr="000E77CE">
        <w:trPr>
          <w:trHeight w:val="204"/>
        </w:trPr>
        <w:tc>
          <w:tcPr>
            <w:tcW w:w="3008" w:type="pct"/>
            <w:tcBorders>
              <w:top w:val="nil"/>
              <w:left w:val="nil"/>
              <w:bottom w:val="nil"/>
              <w:right w:val="nil"/>
            </w:tcBorders>
            <w:shd w:val="clear" w:color="auto" w:fill="auto"/>
            <w:noWrap/>
            <w:vAlign w:val="bottom"/>
            <w:hideMark/>
          </w:tcPr>
          <w:p w14:paraId="2C34CE98" w14:textId="77777777" w:rsidR="001E338F" w:rsidRDefault="001E338F">
            <w:pPr>
              <w:rPr>
                <w:rFonts w:ascii="Cambria" w:hAnsi="Cambria" w:cs="Arial"/>
                <w:color w:val="000000"/>
                <w:sz w:val="18"/>
                <w:szCs w:val="18"/>
              </w:rPr>
            </w:pPr>
            <w:r>
              <w:rPr>
                <w:rFonts w:ascii="Cambria" w:hAnsi="Cambria"/>
                <w:color w:val="000000"/>
                <w:sz w:val="18"/>
              </w:rPr>
              <w:t>Capitaux propres</w:t>
            </w:r>
          </w:p>
        </w:tc>
        <w:tc>
          <w:tcPr>
            <w:tcW w:w="961" w:type="pct"/>
            <w:tcBorders>
              <w:top w:val="nil"/>
              <w:left w:val="nil"/>
              <w:bottom w:val="nil"/>
              <w:right w:val="nil"/>
            </w:tcBorders>
            <w:shd w:val="clear" w:color="auto" w:fill="auto"/>
            <w:noWrap/>
            <w:vAlign w:val="bottom"/>
            <w:hideMark/>
          </w:tcPr>
          <w:p w14:paraId="00E67018" w14:textId="77777777" w:rsidR="001E338F" w:rsidRDefault="001E338F">
            <w:pPr>
              <w:jc w:val="right"/>
              <w:rPr>
                <w:rFonts w:ascii="Cambria" w:hAnsi="Cambria" w:cs="Arial"/>
                <w:color w:val="000000"/>
                <w:sz w:val="18"/>
                <w:szCs w:val="18"/>
              </w:rPr>
            </w:pPr>
            <w:r>
              <w:rPr>
                <w:rFonts w:ascii="Cambria" w:hAnsi="Cambria"/>
                <w:color w:val="000000"/>
                <w:sz w:val="18"/>
              </w:rPr>
              <w:t>9 469 982</w:t>
            </w:r>
          </w:p>
        </w:tc>
        <w:tc>
          <w:tcPr>
            <w:tcW w:w="1031" w:type="pct"/>
            <w:tcBorders>
              <w:top w:val="nil"/>
              <w:left w:val="nil"/>
              <w:bottom w:val="nil"/>
              <w:right w:val="nil"/>
            </w:tcBorders>
            <w:shd w:val="clear" w:color="auto" w:fill="auto"/>
            <w:noWrap/>
            <w:vAlign w:val="bottom"/>
            <w:hideMark/>
          </w:tcPr>
          <w:p w14:paraId="2366F827" w14:textId="77777777" w:rsidR="001E338F" w:rsidRDefault="001E338F">
            <w:pPr>
              <w:jc w:val="right"/>
              <w:rPr>
                <w:rFonts w:ascii="Cambria" w:hAnsi="Cambria" w:cs="Arial"/>
                <w:color w:val="000000"/>
                <w:sz w:val="18"/>
                <w:szCs w:val="18"/>
              </w:rPr>
            </w:pPr>
            <w:r>
              <w:rPr>
                <w:rFonts w:ascii="Cambria" w:hAnsi="Cambria"/>
                <w:color w:val="000000"/>
                <w:sz w:val="18"/>
              </w:rPr>
              <w:t>11 838 234</w:t>
            </w:r>
          </w:p>
        </w:tc>
      </w:tr>
      <w:tr w:rsidR="00583B1A" w14:paraId="0CB7566C" w14:textId="77777777" w:rsidTr="000E77CE">
        <w:trPr>
          <w:trHeight w:val="204"/>
        </w:trPr>
        <w:tc>
          <w:tcPr>
            <w:tcW w:w="3008" w:type="pct"/>
            <w:tcBorders>
              <w:top w:val="nil"/>
              <w:left w:val="nil"/>
              <w:bottom w:val="nil"/>
              <w:right w:val="nil"/>
            </w:tcBorders>
            <w:shd w:val="clear" w:color="auto" w:fill="auto"/>
            <w:noWrap/>
            <w:vAlign w:val="bottom"/>
            <w:hideMark/>
          </w:tcPr>
          <w:p w14:paraId="0A552F8A" w14:textId="05BE4080" w:rsidR="00583B1A" w:rsidRDefault="00583B1A" w:rsidP="00583B1A">
            <w:pPr>
              <w:rPr>
                <w:rFonts w:ascii="Cambria" w:hAnsi="Cambria" w:cs="Arial"/>
                <w:color w:val="000000"/>
                <w:sz w:val="18"/>
                <w:szCs w:val="18"/>
              </w:rPr>
            </w:pPr>
            <w:r>
              <w:rPr>
                <w:rFonts w:ascii="Cambria" w:hAnsi="Cambria"/>
                <w:color w:val="000000"/>
                <w:sz w:val="18"/>
              </w:rPr>
              <w:t xml:space="preserve">Position financière nette </w:t>
            </w:r>
          </w:p>
        </w:tc>
        <w:tc>
          <w:tcPr>
            <w:tcW w:w="961" w:type="pct"/>
            <w:tcBorders>
              <w:top w:val="nil"/>
              <w:left w:val="nil"/>
              <w:bottom w:val="nil"/>
              <w:right w:val="nil"/>
            </w:tcBorders>
            <w:shd w:val="clear" w:color="auto" w:fill="auto"/>
            <w:noWrap/>
            <w:vAlign w:val="bottom"/>
            <w:hideMark/>
          </w:tcPr>
          <w:p w14:paraId="010D89D1" w14:textId="6EBD3082" w:rsidR="00583B1A" w:rsidRDefault="00583B1A" w:rsidP="00583B1A">
            <w:pPr>
              <w:jc w:val="right"/>
              <w:rPr>
                <w:rFonts w:ascii="Cambria" w:hAnsi="Cambria" w:cs="Arial"/>
                <w:color w:val="000000"/>
                <w:sz w:val="18"/>
                <w:szCs w:val="18"/>
              </w:rPr>
            </w:pPr>
            <w:r>
              <w:rPr>
                <w:rFonts w:ascii="Cambria" w:hAnsi="Cambria"/>
                <w:b/>
                <w:color w:val="000000"/>
                <w:sz w:val="18"/>
              </w:rPr>
              <w:t>(359 670)</w:t>
            </w:r>
          </w:p>
        </w:tc>
        <w:tc>
          <w:tcPr>
            <w:tcW w:w="1031" w:type="pct"/>
            <w:tcBorders>
              <w:top w:val="nil"/>
              <w:left w:val="nil"/>
              <w:bottom w:val="nil"/>
              <w:right w:val="nil"/>
            </w:tcBorders>
            <w:shd w:val="clear" w:color="auto" w:fill="auto"/>
            <w:noWrap/>
            <w:vAlign w:val="bottom"/>
            <w:hideMark/>
          </w:tcPr>
          <w:p w14:paraId="7F6CD1BE" w14:textId="6AFAEC67" w:rsidR="00583B1A" w:rsidRDefault="00583B1A" w:rsidP="00583B1A">
            <w:pPr>
              <w:jc w:val="right"/>
              <w:rPr>
                <w:rFonts w:ascii="Cambria" w:hAnsi="Cambria" w:cs="Arial"/>
                <w:color w:val="000000"/>
                <w:sz w:val="18"/>
                <w:szCs w:val="18"/>
              </w:rPr>
            </w:pPr>
            <w:r>
              <w:rPr>
                <w:rFonts w:ascii="Cambria" w:hAnsi="Cambria"/>
                <w:b/>
                <w:color w:val="000000"/>
                <w:sz w:val="18"/>
              </w:rPr>
              <w:t>(1 745 023)</w:t>
            </w:r>
          </w:p>
        </w:tc>
      </w:tr>
      <w:tr w:rsidR="001E338F" w14:paraId="55423E1F" w14:textId="77777777" w:rsidTr="000E77CE">
        <w:trPr>
          <w:trHeight w:val="204"/>
        </w:trPr>
        <w:tc>
          <w:tcPr>
            <w:tcW w:w="3008" w:type="pct"/>
            <w:tcBorders>
              <w:top w:val="nil"/>
              <w:left w:val="nil"/>
              <w:bottom w:val="nil"/>
              <w:right w:val="nil"/>
            </w:tcBorders>
            <w:shd w:val="clear" w:color="auto" w:fill="auto"/>
            <w:noWrap/>
            <w:vAlign w:val="bottom"/>
            <w:hideMark/>
          </w:tcPr>
          <w:p w14:paraId="581C9A6A" w14:textId="77777777" w:rsidR="001E338F" w:rsidRDefault="001E338F">
            <w:pPr>
              <w:jc w:val="right"/>
              <w:rPr>
                <w:rFonts w:ascii="Cambria" w:hAnsi="Cambria" w:cs="Arial"/>
                <w:color w:val="000000"/>
                <w:sz w:val="18"/>
                <w:szCs w:val="18"/>
              </w:rPr>
            </w:pPr>
          </w:p>
        </w:tc>
        <w:tc>
          <w:tcPr>
            <w:tcW w:w="961" w:type="pct"/>
            <w:tcBorders>
              <w:top w:val="nil"/>
              <w:left w:val="nil"/>
              <w:bottom w:val="nil"/>
              <w:right w:val="nil"/>
            </w:tcBorders>
            <w:shd w:val="clear" w:color="auto" w:fill="auto"/>
            <w:noWrap/>
            <w:vAlign w:val="bottom"/>
            <w:hideMark/>
          </w:tcPr>
          <w:p w14:paraId="5C5CC2A7" w14:textId="77777777" w:rsidR="001E338F" w:rsidRDefault="001E338F">
            <w:pPr>
              <w:rPr>
                <w:sz w:val="20"/>
                <w:szCs w:val="20"/>
              </w:rPr>
            </w:pPr>
          </w:p>
        </w:tc>
        <w:tc>
          <w:tcPr>
            <w:tcW w:w="1031" w:type="pct"/>
            <w:tcBorders>
              <w:top w:val="nil"/>
              <w:left w:val="nil"/>
              <w:bottom w:val="nil"/>
              <w:right w:val="nil"/>
            </w:tcBorders>
            <w:shd w:val="clear" w:color="auto" w:fill="auto"/>
            <w:noWrap/>
            <w:vAlign w:val="bottom"/>
            <w:hideMark/>
          </w:tcPr>
          <w:p w14:paraId="6DA45AF4" w14:textId="77777777" w:rsidR="001E338F" w:rsidRDefault="001E338F">
            <w:pPr>
              <w:rPr>
                <w:sz w:val="20"/>
                <w:szCs w:val="20"/>
              </w:rPr>
            </w:pPr>
          </w:p>
        </w:tc>
      </w:tr>
      <w:tr w:rsidR="001E338F" w14:paraId="49BCC8CB" w14:textId="77777777" w:rsidTr="000E77CE">
        <w:trPr>
          <w:trHeight w:val="215"/>
        </w:trPr>
        <w:tc>
          <w:tcPr>
            <w:tcW w:w="3008" w:type="pct"/>
            <w:tcBorders>
              <w:top w:val="nil"/>
              <w:left w:val="nil"/>
              <w:bottom w:val="nil"/>
              <w:right w:val="nil"/>
            </w:tcBorders>
            <w:shd w:val="clear" w:color="auto" w:fill="auto"/>
            <w:noWrap/>
            <w:vAlign w:val="bottom"/>
            <w:hideMark/>
          </w:tcPr>
          <w:p w14:paraId="69561249" w14:textId="77777777" w:rsidR="001E338F" w:rsidRDefault="001E338F">
            <w:pPr>
              <w:rPr>
                <w:rFonts w:ascii="Cambria" w:hAnsi="Cambria" w:cs="Arial"/>
                <w:b/>
                <w:bCs/>
                <w:color w:val="000000"/>
                <w:sz w:val="18"/>
                <w:szCs w:val="18"/>
              </w:rPr>
            </w:pPr>
            <w:r>
              <w:rPr>
                <w:rFonts w:ascii="Cambria" w:hAnsi="Cambria"/>
                <w:b/>
                <w:color w:val="000000"/>
                <w:sz w:val="18"/>
              </w:rPr>
              <w:t>FONDS PROPRES ET POSITION FINANCIÈRE NETTE</w:t>
            </w:r>
          </w:p>
        </w:tc>
        <w:tc>
          <w:tcPr>
            <w:tcW w:w="961" w:type="pct"/>
            <w:tcBorders>
              <w:top w:val="single" w:sz="4" w:space="0" w:color="auto"/>
              <w:left w:val="nil"/>
              <w:bottom w:val="single" w:sz="8" w:space="0" w:color="auto"/>
              <w:right w:val="nil"/>
            </w:tcBorders>
            <w:shd w:val="clear" w:color="auto" w:fill="auto"/>
            <w:noWrap/>
            <w:vAlign w:val="bottom"/>
            <w:hideMark/>
          </w:tcPr>
          <w:p w14:paraId="2608715C" w14:textId="77777777" w:rsidR="001E338F" w:rsidRDefault="001E338F">
            <w:pPr>
              <w:jc w:val="right"/>
              <w:rPr>
                <w:rFonts w:ascii="Cambria" w:hAnsi="Cambria" w:cs="Arial"/>
                <w:b/>
                <w:bCs/>
                <w:color w:val="000000"/>
                <w:sz w:val="18"/>
                <w:szCs w:val="18"/>
              </w:rPr>
            </w:pPr>
            <w:r>
              <w:rPr>
                <w:rFonts w:ascii="Cambria" w:hAnsi="Cambria"/>
                <w:b/>
                <w:color w:val="000000"/>
                <w:sz w:val="18"/>
              </w:rPr>
              <w:t>9 110 312</w:t>
            </w:r>
          </w:p>
        </w:tc>
        <w:tc>
          <w:tcPr>
            <w:tcW w:w="1031" w:type="pct"/>
            <w:tcBorders>
              <w:top w:val="single" w:sz="4" w:space="0" w:color="auto"/>
              <w:left w:val="nil"/>
              <w:bottom w:val="single" w:sz="8" w:space="0" w:color="auto"/>
              <w:right w:val="nil"/>
            </w:tcBorders>
            <w:shd w:val="clear" w:color="auto" w:fill="auto"/>
            <w:noWrap/>
            <w:vAlign w:val="bottom"/>
            <w:hideMark/>
          </w:tcPr>
          <w:p w14:paraId="2CF18D0C" w14:textId="77777777" w:rsidR="001E338F" w:rsidRDefault="001E338F">
            <w:pPr>
              <w:jc w:val="right"/>
              <w:rPr>
                <w:rFonts w:ascii="Cambria" w:hAnsi="Cambria" w:cs="Arial"/>
                <w:b/>
                <w:bCs/>
                <w:color w:val="000000"/>
                <w:sz w:val="18"/>
                <w:szCs w:val="18"/>
              </w:rPr>
            </w:pPr>
            <w:r>
              <w:rPr>
                <w:rFonts w:ascii="Cambria" w:hAnsi="Cambria"/>
                <w:b/>
                <w:color w:val="000000"/>
                <w:sz w:val="18"/>
              </w:rPr>
              <w:t>10 093 211</w:t>
            </w:r>
          </w:p>
        </w:tc>
      </w:tr>
    </w:tbl>
    <w:p w14:paraId="6AD18A11" w14:textId="0D7148C5" w:rsidR="00F75C34" w:rsidRPr="001B6D59" w:rsidRDefault="00F75C34" w:rsidP="001B6D59">
      <w:pPr>
        <w:pStyle w:val="Titolo2"/>
        <w:spacing w:line="360" w:lineRule="auto"/>
        <w:ind w:left="0"/>
        <w:jc w:val="left"/>
        <w:rPr>
          <w:i w:val="0"/>
        </w:rPr>
      </w:pPr>
      <w:bookmarkStart w:id="27" w:name="_Toc112768603"/>
      <w:r>
        <w:rPr>
          <w:i w:val="0"/>
        </w:rPr>
        <w:lastRenderedPageBreak/>
        <w:t>Principales données de l'état des flux de trésorerie</w:t>
      </w:r>
      <w:bookmarkEnd w:id="27"/>
    </w:p>
    <w:p w14:paraId="03AAAC82" w14:textId="7DBDCFD4" w:rsidR="00F75C34" w:rsidRDefault="00F75C34" w:rsidP="00F75C34">
      <w:pPr>
        <w:spacing w:after="200" w:line="276" w:lineRule="auto"/>
        <w:jc w:val="both"/>
        <w:rPr>
          <w:rFonts w:ascii="Cambria" w:hAnsi="Cambria"/>
          <w:sz w:val="22"/>
          <w:szCs w:val="22"/>
        </w:rPr>
      </w:pPr>
      <w:r>
        <w:rPr>
          <w:rFonts w:ascii="Cambria" w:hAnsi="Cambria"/>
          <w:sz w:val="22"/>
        </w:rPr>
        <w:t>La position financière nette agrégée au 30 juin 2021, comparée à celle du 31 décembre 2020, est la suivante :</w:t>
      </w:r>
    </w:p>
    <w:tbl>
      <w:tblPr>
        <w:tblW w:w="5000" w:type="pct"/>
        <w:tblCellMar>
          <w:left w:w="70" w:type="dxa"/>
          <w:right w:w="70" w:type="dxa"/>
        </w:tblCellMar>
        <w:tblLook w:val="04A0" w:firstRow="1" w:lastRow="0" w:firstColumn="1" w:lastColumn="0" w:noHBand="0" w:noVBand="1"/>
      </w:tblPr>
      <w:tblGrid>
        <w:gridCol w:w="5827"/>
        <w:gridCol w:w="1762"/>
        <w:gridCol w:w="2049"/>
      </w:tblGrid>
      <w:tr w:rsidR="003A0332" w14:paraId="22B8C8EE" w14:textId="77777777" w:rsidTr="003F166F">
        <w:trPr>
          <w:trHeight w:val="495"/>
        </w:trPr>
        <w:tc>
          <w:tcPr>
            <w:tcW w:w="3023" w:type="pct"/>
            <w:tcBorders>
              <w:top w:val="single" w:sz="4" w:space="0" w:color="0070C0"/>
              <w:left w:val="nil"/>
              <w:bottom w:val="single" w:sz="8" w:space="0" w:color="0070C0"/>
              <w:right w:val="nil"/>
            </w:tcBorders>
            <w:shd w:val="clear" w:color="auto" w:fill="auto"/>
            <w:noWrap/>
            <w:vAlign w:val="center"/>
            <w:hideMark/>
          </w:tcPr>
          <w:p w14:paraId="5F40394E" w14:textId="77777777" w:rsidR="003A0332" w:rsidRDefault="003A0332">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914" w:type="pct"/>
            <w:tcBorders>
              <w:top w:val="single" w:sz="4" w:space="0" w:color="0070C0"/>
              <w:left w:val="nil"/>
              <w:bottom w:val="single" w:sz="8" w:space="0" w:color="0070C0"/>
              <w:right w:val="nil"/>
            </w:tcBorders>
            <w:shd w:val="clear" w:color="auto" w:fill="auto"/>
            <w:vAlign w:val="center"/>
            <w:hideMark/>
          </w:tcPr>
          <w:p w14:paraId="3DE3416C" w14:textId="77777777" w:rsidR="003A0332" w:rsidRDefault="003A0332">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1063" w:type="pct"/>
            <w:tcBorders>
              <w:top w:val="single" w:sz="4" w:space="0" w:color="0070C0"/>
              <w:left w:val="nil"/>
              <w:bottom w:val="single" w:sz="8" w:space="0" w:color="0070C0"/>
              <w:right w:val="nil"/>
            </w:tcBorders>
            <w:shd w:val="clear" w:color="auto" w:fill="auto"/>
            <w:vAlign w:val="center"/>
            <w:hideMark/>
          </w:tcPr>
          <w:p w14:paraId="5251AF24" w14:textId="77777777" w:rsidR="003A0332" w:rsidRDefault="003A0332">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r>
      <w:tr w:rsidR="003A0332" w14:paraId="75284845" w14:textId="77777777" w:rsidTr="003F166F">
        <w:trPr>
          <w:trHeight w:val="288"/>
        </w:trPr>
        <w:tc>
          <w:tcPr>
            <w:tcW w:w="3023" w:type="pct"/>
            <w:tcBorders>
              <w:top w:val="nil"/>
              <w:left w:val="nil"/>
              <w:bottom w:val="nil"/>
              <w:right w:val="nil"/>
            </w:tcBorders>
            <w:shd w:val="clear" w:color="auto" w:fill="auto"/>
            <w:noWrap/>
            <w:vAlign w:val="center"/>
            <w:hideMark/>
          </w:tcPr>
          <w:p w14:paraId="26010590" w14:textId="0AEE0BC3" w:rsidR="003A0332" w:rsidRDefault="003A0332">
            <w:pPr>
              <w:rPr>
                <w:rFonts w:ascii="Cambria" w:hAnsi="Cambria" w:cs="Arial"/>
                <w:color w:val="000000"/>
                <w:sz w:val="18"/>
                <w:szCs w:val="18"/>
              </w:rPr>
            </w:pPr>
            <w:r>
              <w:rPr>
                <w:rFonts w:ascii="Cambria" w:hAnsi="Cambria"/>
                <w:color w:val="000000"/>
                <w:sz w:val="18"/>
              </w:rPr>
              <w:t xml:space="preserve">A. Encaisse </w:t>
            </w:r>
          </w:p>
        </w:tc>
        <w:tc>
          <w:tcPr>
            <w:tcW w:w="914" w:type="pct"/>
            <w:tcBorders>
              <w:top w:val="nil"/>
              <w:left w:val="nil"/>
              <w:bottom w:val="nil"/>
              <w:right w:val="nil"/>
            </w:tcBorders>
            <w:shd w:val="clear" w:color="auto" w:fill="auto"/>
            <w:noWrap/>
            <w:vAlign w:val="center"/>
            <w:hideMark/>
          </w:tcPr>
          <w:p w14:paraId="103F3A82" w14:textId="77777777" w:rsidR="003A0332" w:rsidRDefault="003A0332">
            <w:pPr>
              <w:jc w:val="right"/>
              <w:rPr>
                <w:rFonts w:ascii="Cambria" w:hAnsi="Cambria" w:cs="Arial"/>
                <w:color w:val="000000"/>
                <w:sz w:val="18"/>
                <w:szCs w:val="18"/>
              </w:rPr>
            </w:pPr>
            <w:r>
              <w:rPr>
                <w:rFonts w:ascii="Cambria" w:hAnsi="Cambria"/>
                <w:color w:val="000000"/>
                <w:sz w:val="18"/>
              </w:rPr>
              <w:t>14 452 998</w:t>
            </w:r>
          </w:p>
        </w:tc>
        <w:tc>
          <w:tcPr>
            <w:tcW w:w="1063" w:type="pct"/>
            <w:tcBorders>
              <w:top w:val="nil"/>
              <w:left w:val="nil"/>
              <w:bottom w:val="nil"/>
              <w:right w:val="nil"/>
            </w:tcBorders>
            <w:shd w:val="clear" w:color="auto" w:fill="auto"/>
            <w:noWrap/>
            <w:vAlign w:val="center"/>
            <w:hideMark/>
          </w:tcPr>
          <w:p w14:paraId="64B454DB" w14:textId="77777777" w:rsidR="003A0332" w:rsidRDefault="003A0332">
            <w:pPr>
              <w:jc w:val="right"/>
              <w:rPr>
                <w:rFonts w:ascii="Cambria" w:hAnsi="Cambria" w:cs="Arial"/>
                <w:color w:val="000000"/>
                <w:sz w:val="18"/>
                <w:szCs w:val="18"/>
              </w:rPr>
            </w:pPr>
            <w:r>
              <w:rPr>
                <w:rFonts w:ascii="Cambria" w:hAnsi="Cambria"/>
                <w:color w:val="000000"/>
                <w:sz w:val="18"/>
              </w:rPr>
              <w:t>15 405 808</w:t>
            </w:r>
          </w:p>
        </w:tc>
      </w:tr>
      <w:tr w:rsidR="003A0332" w14:paraId="16192D43" w14:textId="77777777" w:rsidTr="003F166F">
        <w:trPr>
          <w:trHeight w:val="288"/>
        </w:trPr>
        <w:tc>
          <w:tcPr>
            <w:tcW w:w="3023" w:type="pct"/>
            <w:tcBorders>
              <w:top w:val="nil"/>
              <w:left w:val="nil"/>
              <w:bottom w:val="nil"/>
              <w:right w:val="nil"/>
            </w:tcBorders>
            <w:shd w:val="clear" w:color="auto" w:fill="auto"/>
            <w:noWrap/>
            <w:vAlign w:val="center"/>
            <w:hideMark/>
          </w:tcPr>
          <w:p w14:paraId="256982CB" w14:textId="03E3585E" w:rsidR="003A0332" w:rsidRDefault="003A0332">
            <w:pPr>
              <w:rPr>
                <w:rFonts w:ascii="Cambria" w:hAnsi="Cambria" w:cs="Arial"/>
                <w:color w:val="000000"/>
                <w:sz w:val="18"/>
                <w:szCs w:val="18"/>
              </w:rPr>
            </w:pPr>
            <w:r>
              <w:rPr>
                <w:rFonts w:ascii="Cambria" w:hAnsi="Cambria"/>
                <w:color w:val="000000"/>
                <w:sz w:val="18"/>
              </w:rPr>
              <w:t>B. Équivalents de trésorerie</w:t>
            </w:r>
          </w:p>
        </w:tc>
        <w:tc>
          <w:tcPr>
            <w:tcW w:w="914" w:type="pct"/>
            <w:tcBorders>
              <w:top w:val="nil"/>
              <w:left w:val="nil"/>
              <w:bottom w:val="nil"/>
              <w:right w:val="nil"/>
            </w:tcBorders>
            <w:shd w:val="clear" w:color="auto" w:fill="auto"/>
            <w:noWrap/>
            <w:vAlign w:val="center"/>
          </w:tcPr>
          <w:p w14:paraId="5BCB65CF" w14:textId="78B07B35" w:rsidR="003A0332" w:rsidRDefault="003A0332">
            <w:pPr>
              <w:rPr>
                <w:rFonts w:ascii="Cambria" w:hAnsi="Cambria" w:cs="Arial"/>
                <w:color w:val="000000"/>
                <w:sz w:val="18"/>
                <w:szCs w:val="18"/>
              </w:rPr>
            </w:pPr>
          </w:p>
        </w:tc>
        <w:tc>
          <w:tcPr>
            <w:tcW w:w="1063" w:type="pct"/>
            <w:tcBorders>
              <w:top w:val="nil"/>
              <w:left w:val="nil"/>
              <w:bottom w:val="nil"/>
              <w:right w:val="nil"/>
            </w:tcBorders>
            <w:shd w:val="clear" w:color="auto" w:fill="auto"/>
            <w:noWrap/>
            <w:vAlign w:val="center"/>
          </w:tcPr>
          <w:p w14:paraId="250D9BA7" w14:textId="340681DB" w:rsidR="003A0332" w:rsidRDefault="003A0332">
            <w:pPr>
              <w:rPr>
                <w:rFonts w:ascii="Cambria" w:hAnsi="Cambria" w:cs="Arial"/>
                <w:color w:val="000000"/>
                <w:sz w:val="18"/>
                <w:szCs w:val="18"/>
              </w:rPr>
            </w:pPr>
          </w:p>
        </w:tc>
      </w:tr>
      <w:tr w:rsidR="003A0332" w14:paraId="676828C2" w14:textId="77777777" w:rsidTr="003F166F">
        <w:trPr>
          <w:trHeight w:val="288"/>
        </w:trPr>
        <w:tc>
          <w:tcPr>
            <w:tcW w:w="3023" w:type="pct"/>
            <w:tcBorders>
              <w:top w:val="nil"/>
              <w:left w:val="nil"/>
              <w:bottom w:val="nil"/>
              <w:right w:val="nil"/>
            </w:tcBorders>
            <w:shd w:val="clear" w:color="auto" w:fill="auto"/>
            <w:noWrap/>
            <w:vAlign w:val="center"/>
            <w:hideMark/>
          </w:tcPr>
          <w:p w14:paraId="5EEA23C7" w14:textId="77777777" w:rsidR="003A0332" w:rsidRDefault="003A0332">
            <w:pPr>
              <w:rPr>
                <w:rFonts w:ascii="Cambria" w:hAnsi="Cambria" w:cs="Arial"/>
                <w:color w:val="000000"/>
                <w:sz w:val="18"/>
                <w:szCs w:val="18"/>
              </w:rPr>
            </w:pPr>
            <w:r>
              <w:rPr>
                <w:rFonts w:ascii="Cambria" w:hAnsi="Cambria"/>
                <w:color w:val="000000"/>
                <w:sz w:val="18"/>
              </w:rPr>
              <w:t>C.1 Autres actifs financiers à court terme</w:t>
            </w:r>
          </w:p>
        </w:tc>
        <w:tc>
          <w:tcPr>
            <w:tcW w:w="914" w:type="pct"/>
            <w:tcBorders>
              <w:top w:val="nil"/>
              <w:left w:val="nil"/>
              <w:bottom w:val="nil"/>
              <w:right w:val="nil"/>
            </w:tcBorders>
            <w:shd w:val="clear" w:color="auto" w:fill="auto"/>
            <w:noWrap/>
            <w:vAlign w:val="center"/>
          </w:tcPr>
          <w:p w14:paraId="576B6B39" w14:textId="0BD031A6" w:rsidR="003A0332" w:rsidRDefault="003A0332">
            <w:pPr>
              <w:rPr>
                <w:rFonts w:ascii="Cambria" w:hAnsi="Cambria" w:cs="Arial"/>
                <w:color w:val="000000"/>
                <w:sz w:val="18"/>
                <w:szCs w:val="18"/>
              </w:rPr>
            </w:pPr>
          </w:p>
        </w:tc>
        <w:tc>
          <w:tcPr>
            <w:tcW w:w="1063" w:type="pct"/>
            <w:tcBorders>
              <w:top w:val="nil"/>
              <w:left w:val="nil"/>
              <w:bottom w:val="nil"/>
              <w:right w:val="nil"/>
            </w:tcBorders>
            <w:shd w:val="clear" w:color="auto" w:fill="auto"/>
            <w:noWrap/>
            <w:vAlign w:val="center"/>
          </w:tcPr>
          <w:p w14:paraId="4EFD530E" w14:textId="2573997D" w:rsidR="003A0332" w:rsidRDefault="003A0332">
            <w:pPr>
              <w:rPr>
                <w:rFonts w:ascii="Cambria" w:hAnsi="Cambria" w:cs="Arial"/>
                <w:color w:val="000000"/>
                <w:sz w:val="18"/>
                <w:szCs w:val="18"/>
              </w:rPr>
            </w:pPr>
          </w:p>
        </w:tc>
      </w:tr>
      <w:tr w:rsidR="003A0332" w14:paraId="7B46673E" w14:textId="77777777" w:rsidTr="003F166F">
        <w:trPr>
          <w:trHeight w:val="288"/>
        </w:trPr>
        <w:tc>
          <w:tcPr>
            <w:tcW w:w="3023" w:type="pct"/>
            <w:tcBorders>
              <w:top w:val="nil"/>
              <w:left w:val="nil"/>
              <w:bottom w:val="nil"/>
              <w:right w:val="nil"/>
            </w:tcBorders>
            <w:shd w:val="clear" w:color="auto" w:fill="auto"/>
            <w:noWrap/>
            <w:vAlign w:val="center"/>
            <w:hideMark/>
          </w:tcPr>
          <w:p w14:paraId="21F0912A" w14:textId="77777777" w:rsidR="003A0332" w:rsidRDefault="003A0332">
            <w:pPr>
              <w:rPr>
                <w:rFonts w:ascii="Cambria" w:hAnsi="Cambria" w:cs="Arial"/>
                <w:color w:val="000000"/>
                <w:sz w:val="18"/>
                <w:szCs w:val="18"/>
              </w:rPr>
            </w:pPr>
            <w:r>
              <w:rPr>
                <w:rFonts w:ascii="Cambria" w:hAnsi="Cambria"/>
                <w:color w:val="000000"/>
                <w:sz w:val="18"/>
              </w:rPr>
              <w:t>C.2 Autres actifs financiers à court terme pour contrats de location</w:t>
            </w:r>
          </w:p>
        </w:tc>
        <w:tc>
          <w:tcPr>
            <w:tcW w:w="914" w:type="pct"/>
            <w:tcBorders>
              <w:top w:val="nil"/>
              <w:left w:val="nil"/>
              <w:bottom w:val="nil"/>
              <w:right w:val="nil"/>
            </w:tcBorders>
            <w:shd w:val="clear" w:color="auto" w:fill="auto"/>
            <w:noWrap/>
            <w:vAlign w:val="center"/>
          </w:tcPr>
          <w:p w14:paraId="24FDC74F" w14:textId="1893C44F" w:rsidR="003A0332" w:rsidRDefault="003A0332">
            <w:pPr>
              <w:rPr>
                <w:rFonts w:ascii="Cambria" w:hAnsi="Cambria" w:cs="Arial"/>
                <w:color w:val="000000"/>
                <w:sz w:val="18"/>
                <w:szCs w:val="18"/>
              </w:rPr>
            </w:pPr>
          </w:p>
        </w:tc>
        <w:tc>
          <w:tcPr>
            <w:tcW w:w="1063" w:type="pct"/>
            <w:tcBorders>
              <w:top w:val="nil"/>
              <w:left w:val="nil"/>
              <w:bottom w:val="nil"/>
              <w:right w:val="nil"/>
            </w:tcBorders>
            <w:shd w:val="clear" w:color="auto" w:fill="auto"/>
            <w:noWrap/>
            <w:vAlign w:val="center"/>
          </w:tcPr>
          <w:p w14:paraId="36D3ED61" w14:textId="4D0D76CF" w:rsidR="003A0332" w:rsidRDefault="003A0332">
            <w:pPr>
              <w:rPr>
                <w:rFonts w:ascii="Cambria" w:hAnsi="Cambria" w:cs="Arial"/>
                <w:color w:val="000000"/>
                <w:sz w:val="18"/>
                <w:szCs w:val="18"/>
              </w:rPr>
            </w:pPr>
          </w:p>
        </w:tc>
      </w:tr>
      <w:tr w:rsidR="003A0332" w14:paraId="5AA1C672" w14:textId="77777777" w:rsidTr="003F166F">
        <w:trPr>
          <w:trHeight w:val="288"/>
        </w:trPr>
        <w:tc>
          <w:tcPr>
            <w:tcW w:w="3023" w:type="pct"/>
            <w:tcBorders>
              <w:top w:val="nil"/>
              <w:left w:val="nil"/>
              <w:bottom w:val="nil"/>
              <w:right w:val="nil"/>
            </w:tcBorders>
            <w:shd w:val="clear" w:color="auto" w:fill="auto"/>
            <w:noWrap/>
            <w:vAlign w:val="center"/>
            <w:hideMark/>
          </w:tcPr>
          <w:p w14:paraId="56F3C0E4" w14:textId="77777777" w:rsidR="003A0332" w:rsidRDefault="003A0332">
            <w:pPr>
              <w:rPr>
                <w:rFonts w:ascii="Cambria" w:hAnsi="Cambria" w:cs="Arial"/>
                <w:b/>
                <w:bCs/>
                <w:color w:val="000000"/>
                <w:sz w:val="18"/>
                <w:szCs w:val="18"/>
              </w:rPr>
            </w:pPr>
            <w:r>
              <w:rPr>
                <w:rFonts w:ascii="Cambria" w:hAnsi="Cambria"/>
                <w:b/>
                <w:color w:val="000000"/>
                <w:sz w:val="18"/>
              </w:rPr>
              <w:t>D. Liquidités (A + B + C)</w:t>
            </w:r>
          </w:p>
        </w:tc>
        <w:tc>
          <w:tcPr>
            <w:tcW w:w="914" w:type="pct"/>
            <w:tcBorders>
              <w:top w:val="single" w:sz="4" w:space="0" w:color="auto"/>
              <w:left w:val="nil"/>
              <w:bottom w:val="single" w:sz="8" w:space="0" w:color="auto"/>
              <w:right w:val="nil"/>
            </w:tcBorders>
            <w:shd w:val="clear" w:color="auto" w:fill="auto"/>
            <w:noWrap/>
            <w:vAlign w:val="center"/>
            <w:hideMark/>
          </w:tcPr>
          <w:p w14:paraId="603BBEF9" w14:textId="77777777" w:rsidR="003A0332" w:rsidRDefault="003A0332">
            <w:pPr>
              <w:jc w:val="right"/>
              <w:rPr>
                <w:rFonts w:ascii="Cambria" w:hAnsi="Cambria" w:cs="Arial"/>
                <w:b/>
                <w:bCs/>
                <w:color w:val="000000"/>
                <w:sz w:val="18"/>
                <w:szCs w:val="18"/>
              </w:rPr>
            </w:pPr>
            <w:r>
              <w:rPr>
                <w:rFonts w:ascii="Cambria" w:hAnsi="Cambria"/>
                <w:b/>
                <w:color w:val="000000"/>
                <w:sz w:val="18"/>
              </w:rPr>
              <w:t>14 452 998</w:t>
            </w:r>
          </w:p>
        </w:tc>
        <w:tc>
          <w:tcPr>
            <w:tcW w:w="1063" w:type="pct"/>
            <w:tcBorders>
              <w:top w:val="single" w:sz="4" w:space="0" w:color="auto"/>
              <w:left w:val="nil"/>
              <w:bottom w:val="single" w:sz="8" w:space="0" w:color="auto"/>
              <w:right w:val="nil"/>
            </w:tcBorders>
            <w:shd w:val="clear" w:color="auto" w:fill="auto"/>
            <w:noWrap/>
            <w:vAlign w:val="center"/>
            <w:hideMark/>
          </w:tcPr>
          <w:p w14:paraId="6F1A2F9F" w14:textId="77777777" w:rsidR="003A0332" w:rsidRDefault="003A0332">
            <w:pPr>
              <w:jc w:val="right"/>
              <w:rPr>
                <w:rFonts w:ascii="Cambria" w:hAnsi="Cambria" w:cs="Arial"/>
                <w:b/>
                <w:bCs/>
                <w:color w:val="000000"/>
                <w:sz w:val="18"/>
                <w:szCs w:val="18"/>
              </w:rPr>
            </w:pPr>
            <w:r>
              <w:rPr>
                <w:rFonts w:ascii="Cambria" w:hAnsi="Cambria"/>
                <w:b/>
                <w:color w:val="000000"/>
                <w:sz w:val="18"/>
              </w:rPr>
              <w:t>15 405 808</w:t>
            </w:r>
          </w:p>
        </w:tc>
      </w:tr>
      <w:tr w:rsidR="003A0332" w14:paraId="0B6E716A" w14:textId="77777777" w:rsidTr="003F166F">
        <w:trPr>
          <w:trHeight w:val="288"/>
        </w:trPr>
        <w:tc>
          <w:tcPr>
            <w:tcW w:w="3023" w:type="pct"/>
            <w:tcBorders>
              <w:top w:val="nil"/>
              <w:left w:val="nil"/>
              <w:bottom w:val="nil"/>
              <w:right w:val="nil"/>
            </w:tcBorders>
            <w:shd w:val="clear" w:color="auto" w:fill="auto"/>
            <w:noWrap/>
            <w:vAlign w:val="center"/>
            <w:hideMark/>
          </w:tcPr>
          <w:p w14:paraId="0B46DB9C" w14:textId="77777777" w:rsidR="003A0332" w:rsidRDefault="003A0332">
            <w:pPr>
              <w:rPr>
                <w:rFonts w:ascii="Cambria" w:hAnsi="Cambria" w:cs="Arial"/>
                <w:color w:val="000000"/>
                <w:sz w:val="18"/>
                <w:szCs w:val="18"/>
              </w:rPr>
            </w:pPr>
            <w:r>
              <w:rPr>
                <w:rFonts w:ascii="Cambria" w:hAnsi="Cambria"/>
                <w:color w:val="000000"/>
                <w:sz w:val="18"/>
              </w:rPr>
              <w:t>E.1 Dettes financières à court terme</w:t>
            </w:r>
          </w:p>
        </w:tc>
        <w:tc>
          <w:tcPr>
            <w:tcW w:w="914" w:type="pct"/>
            <w:tcBorders>
              <w:top w:val="nil"/>
              <w:left w:val="nil"/>
              <w:bottom w:val="nil"/>
              <w:right w:val="nil"/>
            </w:tcBorders>
            <w:shd w:val="clear" w:color="auto" w:fill="auto"/>
            <w:noWrap/>
            <w:vAlign w:val="center"/>
            <w:hideMark/>
          </w:tcPr>
          <w:p w14:paraId="38639B22" w14:textId="77777777" w:rsidR="003A0332" w:rsidRDefault="003A0332">
            <w:pPr>
              <w:jc w:val="right"/>
              <w:rPr>
                <w:rFonts w:ascii="Cambria" w:hAnsi="Cambria" w:cs="Arial"/>
                <w:color w:val="000000"/>
                <w:sz w:val="18"/>
                <w:szCs w:val="18"/>
              </w:rPr>
            </w:pPr>
            <w:r>
              <w:rPr>
                <w:rFonts w:ascii="Cambria" w:hAnsi="Cambria"/>
                <w:color w:val="000000"/>
                <w:sz w:val="18"/>
              </w:rPr>
              <w:t>(2 461 030)</w:t>
            </w:r>
          </w:p>
        </w:tc>
        <w:tc>
          <w:tcPr>
            <w:tcW w:w="1063" w:type="pct"/>
            <w:tcBorders>
              <w:top w:val="nil"/>
              <w:left w:val="nil"/>
              <w:bottom w:val="nil"/>
              <w:right w:val="nil"/>
            </w:tcBorders>
            <w:shd w:val="clear" w:color="auto" w:fill="auto"/>
            <w:noWrap/>
            <w:vAlign w:val="center"/>
            <w:hideMark/>
          </w:tcPr>
          <w:p w14:paraId="60432850" w14:textId="77777777" w:rsidR="003A0332" w:rsidRDefault="003A0332">
            <w:pPr>
              <w:jc w:val="right"/>
              <w:rPr>
                <w:rFonts w:ascii="Cambria" w:hAnsi="Cambria" w:cs="Arial"/>
                <w:color w:val="000000"/>
                <w:sz w:val="18"/>
                <w:szCs w:val="18"/>
              </w:rPr>
            </w:pPr>
            <w:r>
              <w:rPr>
                <w:rFonts w:ascii="Cambria" w:hAnsi="Cambria"/>
                <w:color w:val="000000"/>
                <w:sz w:val="18"/>
              </w:rPr>
              <w:t>(1 477 061)</w:t>
            </w:r>
          </w:p>
        </w:tc>
      </w:tr>
      <w:tr w:rsidR="003A0332" w14:paraId="3B2E866F" w14:textId="77777777" w:rsidTr="003F166F">
        <w:trPr>
          <w:trHeight w:val="288"/>
        </w:trPr>
        <w:tc>
          <w:tcPr>
            <w:tcW w:w="3023" w:type="pct"/>
            <w:tcBorders>
              <w:top w:val="nil"/>
              <w:left w:val="nil"/>
              <w:bottom w:val="nil"/>
              <w:right w:val="nil"/>
            </w:tcBorders>
            <w:shd w:val="clear" w:color="auto" w:fill="auto"/>
            <w:noWrap/>
            <w:vAlign w:val="center"/>
            <w:hideMark/>
          </w:tcPr>
          <w:p w14:paraId="270195A6" w14:textId="77777777" w:rsidR="003A0332" w:rsidRDefault="003A0332">
            <w:pPr>
              <w:rPr>
                <w:rFonts w:ascii="Cambria" w:hAnsi="Cambria" w:cs="Arial"/>
                <w:color w:val="000000"/>
                <w:sz w:val="18"/>
                <w:szCs w:val="18"/>
              </w:rPr>
            </w:pPr>
            <w:r>
              <w:rPr>
                <w:rFonts w:ascii="Cambria" w:hAnsi="Cambria"/>
                <w:color w:val="000000"/>
                <w:sz w:val="18"/>
              </w:rPr>
              <w:t>E.2 Dettes financières à court terme pour contrats de location</w:t>
            </w:r>
          </w:p>
        </w:tc>
        <w:tc>
          <w:tcPr>
            <w:tcW w:w="914" w:type="pct"/>
            <w:tcBorders>
              <w:top w:val="nil"/>
              <w:left w:val="nil"/>
              <w:bottom w:val="nil"/>
              <w:right w:val="nil"/>
            </w:tcBorders>
            <w:shd w:val="clear" w:color="auto" w:fill="auto"/>
            <w:noWrap/>
            <w:vAlign w:val="center"/>
            <w:hideMark/>
          </w:tcPr>
          <w:p w14:paraId="02D6C63E" w14:textId="77777777" w:rsidR="003A0332" w:rsidRDefault="003A0332">
            <w:pPr>
              <w:jc w:val="right"/>
              <w:rPr>
                <w:rFonts w:ascii="Cambria" w:hAnsi="Cambria" w:cs="Arial"/>
                <w:color w:val="000000"/>
                <w:sz w:val="18"/>
                <w:szCs w:val="18"/>
              </w:rPr>
            </w:pPr>
            <w:r>
              <w:rPr>
                <w:rFonts w:ascii="Cambria" w:hAnsi="Cambria"/>
                <w:color w:val="000000"/>
                <w:sz w:val="18"/>
              </w:rPr>
              <w:t>(2 857 966)</w:t>
            </w:r>
          </w:p>
        </w:tc>
        <w:tc>
          <w:tcPr>
            <w:tcW w:w="1063" w:type="pct"/>
            <w:tcBorders>
              <w:top w:val="nil"/>
              <w:left w:val="nil"/>
              <w:bottom w:val="nil"/>
              <w:right w:val="nil"/>
            </w:tcBorders>
            <w:shd w:val="clear" w:color="auto" w:fill="auto"/>
            <w:noWrap/>
            <w:vAlign w:val="center"/>
            <w:hideMark/>
          </w:tcPr>
          <w:p w14:paraId="047FF033" w14:textId="77777777" w:rsidR="003A0332" w:rsidRDefault="003A0332">
            <w:pPr>
              <w:jc w:val="right"/>
              <w:rPr>
                <w:rFonts w:ascii="Cambria" w:hAnsi="Cambria" w:cs="Arial"/>
                <w:color w:val="000000"/>
                <w:sz w:val="18"/>
                <w:szCs w:val="18"/>
              </w:rPr>
            </w:pPr>
            <w:r>
              <w:rPr>
                <w:rFonts w:ascii="Cambria" w:hAnsi="Cambria"/>
                <w:color w:val="000000"/>
                <w:sz w:val="18"/>
              </w:rPr>
              <w:t>(1 483 823)</w:t>
            </w:r>
          </w:p>
        </w:tc>
      </w:tr>
      <w:tr w:rsidR="003A0332" w14:paraId="32386749" w14:textId="77777777" w:rsidTr="003F166F">
        <w:trPr>
          <w:trHeight w:val="288"/>
        </w:trPr>
        <w:tc>
          <w:tcPr>
            <w:tcW w:w="3023" w:type="pct"/>
            <w:tcBorders>
              <w:top w:val="nil"/>
              <w:left w:val="nil"/>
              <w:bottom w:val="nil"/>
              <w:right w:val="nil"/>
            </w:tcBorders>
            <w:shd w:val="clear" w:color="auto" w:fill="auto"/>
            <w:noWrap/>
            <w:vAlign w:val="center"/>
            <w:hideMark/>
          </w:tcPr>
          <w:p w14:paraId="02E819C0" w14:textId="77777777" w:rsidR="003A0332" w:rsidRDefault="003A0332">
            <w:pPr>
              <w:rPr>
                <w:rFonts w:ascii="Cambria" w:hAnsi="Cambria" w:cs="Arial"/>
                <w:color w:val="000000"/>
                <w:sz w:val="18"/>
                <w:szCs w:val="18"/>
              </w:rPr>
            </w:pPr>
            <w:r>
              <w:rPr>
                <w:rFonts w:ascii="Cambria" w:hAnsi="Cambria"/>
                <w:color w:val="000000"/>
                <w:sz w:val="18"/>
              </w:rPr>
              <w:t>F. Portion à court terme des dettes financières à long terme</w:t>
            </w:r>
          </w:p>
        </w:tc>
        <w:tc>
          <w:tcPr>
            <w:tcW w:w="914" w:type="pct"/>
            <w:tcBorders>
              <w:top w:val="nil"/>
              <w:left w:val="nil"/>
              <w:bottom w:val="nil"/>
              <w:right w:val="nil"/>
            </w:tcBorders>
            <w:shd w:val="clear" w:color="auto" w:fill="auto"/>
            <w:noWrap/>
            <w:vAlign w:val="center"/>
          </w:tcPr>
          <w:p w14:paraId="1D307F3E" w14:textId="43E8209D" w:rsidR="003A0332" w:rsidRDefault="003A0332">
            <w:pPr>
              <w:rPr>
                <w:rFonts w:ascii="Cambria" w:hAnsi="Cambria" w:cs="Arial"/>
                <w:color w:val="000000"/>
                <w:sz w:val="18"/>
                <w:szCs w:val="18"/>
              </w:rPr>
            </w:pPr>
          </w:p>
        </w:tc>
        <w:tc>
          <w:tcPr>
            <w:tcW w:w="1063" w:type="pct"/>
            <w:tcBorders>
              <w:top w:val="nil"/>
              <w:left w:val="nil"/>
              <w:bottom w:val="nil"/>
              <w:right w:val="nil"/>
            </w:tcBorders>
            <w:shd w:val="clear" w:color="auto" w:fill="auto"/>
            <w:noWrap/>
            <w:vAlign w:val="center"/>
          </w:tcPr>
          <w:p w14:paraId="688E329C" w14:textId="39887B1F" w:rsidR="003A0332" w:rsidRDefault="003A0332">
            <w:pPr>
              <w:rPr>
                <w:rFonts w:ascii="Cambria" w:hAnsi="Cambria" w:cs="Arial"/>
                <w:color w:val="000000"/>
                <w:sz w:val="18"/>
                <w:szCs w:val="18"/>
              </w:rPr>
            </w:pPr>
          </w:p>
        </w:tc>
      </w:tr>
      <w:tr w:rsidR="003A0332" w14:paraId="5FEE334C" w14:textId="77777777" w:rsidTr="003F166F">
        <w:trPr>
          <w:trHeight w:val="288"/>
        </w:trPr>
        <w:tc>
          <w:tcPr>
            <w:tcW w:w="3023" w:type="pct"/>
            <w:tcBorders>
              <w:top w:val="nil"/>
              <w:left w:val="nil"/>
              <w:bottom w:val="nil"/>
              <w:right w:val="nil"/>
            </w:tcBorders>
            <w:shd w:val="clear" w:color="auto" w:fill="auto"/>
            <w:noWrap/>
            <w:vAlign w:val="center"/>
            <w:hideMark/>
          </w:tcPr>
          <w:p w14:paraId="38DF227A" w14:textId="77777777" w:rsidR="003A0332" w:rsidRDefault="003A0332">
            <w:pPr>
              <w:rPr>
                <w:rFonts w:ascii="Cambria" w:hAnsi="Cambria" w:cs="Arial"/>
                <w:b/>
                <w:bCs/>
                <w:color w:val="000000"/>
                <w:sz w:val="18"/>
                <w:szCs w:val="18"/>
              </w:rPr>
            </w:pPr>
            <w:r>
              <w:rPr>
                <w:rFonts w:ascii="Cambria" w:hAnsi="Cambria"/>
                <w:b/>
                <w:color w:val="000000"/>
                <w:sz w:val="18"/>
              </w:rPr>
              <w:t>G. Dettes financières à court terme (E + F)</w:t>
            </w:r>
          </w:p>
        </w:tc>
        <w:tc>
          <w:tcPr>
            <w:tcW w:w="914" w:type="pct"/>
            <w:tcBorders>
              <w:top w:val="single" w:sz="4" w:space="0" w:color="auto"/>
              <w:left w:val="nil"/>
              <w:bottom w:val="single" w:sz="8" w:space="0" w:color="auto"/>
              <w:right w:val="nil"/>
            </w:tcBorders>
            <w:shd w:val="clear" w:color="auto" w:fill="auto"/>
            <w:noWrap/>
            <w:vAlign w:val="center"/>
            <w:hideMark/>
          </w:tcPr>
          <w:p w14:paraId="633A7CAF" w14:textId="77777777" w:rsidR="003A0332" w:rsidRDefault="003A0332">
            <w:pPr>
              <w:jc w:val="right"/>
              <w:rPr>
                <w:rFonts w:ascii="Cambria" w:hAnsi="Cambria" w:cs="Arial"/>
                <w:b/>
                <w:bCs/>
                <w:color w:val="000000"/>
                <w:sz w:val="18"/>
                <w:szCs w:val="18"/>
              </w:rPr>
            </w:pPr>
            <w:r>
              <w:rPr>
                <w:rFonts w:ascii="Cambria" w:hAnsi="Cambria"/>
                <w:b/>
                <w:color w:val="000000"/>
                <w:sz w:val="18"/>
              </w:rPr>
              <w:t>(5 318 996)</w:t>
            </w:r>
          </w:p>
        </w:tc>
        <w:tc>
          <w:tcPr>
            <w:tcW w:w="1063" w:type="pct"/>
            <w:tcBorders>
              <w:top w:val="single" w:sz="4" w:space="0" w:color="auto"/>
              <w:left w:val="nil"/>
              <w:bottom w:val="single" w:sz="8" w:space="0" w:color="auto"/>
              <w:right w:val="nil"/>
            </w:tcBorders>
            <w:shd w:val="clear" w:color="auto" w:fill="auto"/>
            <w:noWrap/>
            <w:vAlign w:val="center"/>
            <w:hideMark/>
          </w:tcPr>
          <w:p w14:paraId="55CE21A9" w14:textId="77777777" w:rsidR="003A0332" w:rsidRDefault="003A0332">
            <w:pPr>
              <w:jc w:val="right"/>
              <w:rPr>
                <w:rFonts w:ascii="Cambria" w:hAnsi="Cambria" w:cs="Arial"/>
                <w:b/>
                <w:bCs/>
                <w:color w:val="000000"/>
                <w:sz w:val="18"/>
                <w:szCs w:val="18"/>
              </w:rPr>
            </w:pPr>
            <w:r>
              <w:rPr>
                <w:rFonts w:ascii="Cambria" w:hAnsi="Cambria"/>
                <w:b/>
                <w:color w:val="000000"/>
                <w:sz w:val="18"/>
              </w:rPr>
              <w:t>(2 960 885)</w:t>
            </w:r>
          </w:p>
        </w:tc>
      </w:tr>
      <w:tr w:rsidR="003A0332" w14:paraId="6C48B954" w14:textId="77777777" w:rsidTr="003F166F">
        <w:trPr>
          <w:trHeight w:val="288"/>
        </w:trPr>
        <w:tc>
          <w:tcPr>
            <w:tcW w:w="3023" w:type="pct"/>
            <w:tcBorders>
              <w:top w:val="nil"/>
              <w:left w:val="nil"/>
              <w:bottom w:val="nil"/>
              <w:right w:val="nil"/>
            </w:tcBorders>
            <w:shd w:val="clear" w:color="auto" w:fill="auto"/>
            <w:noWrap/>
            <w:vAlign w:val="center"/>
            <w:hideMark/>
          </w:tcPr>
          <w:p w14:paraId="5032E1D2" w14:textId="77777777" w:rsidR="003A0332" w:rsidRDefault="003A0332">
            <w:pPr>
              <w:rPr>
                <w:rFonts w:ascii="Cambria" w:hAnsi="Cambria" w:cs="Arial"/>
                <w:b/>
                <w:bCs/>
                <w:color w:val="000000"/>
                <w:sz w:val="18"/>
                <w:szCs w:val="18"/>
              </w:rPr>
            </w:pPr>
            <w:r>
              <w:rPr>
                <w:rFonts w:ascii="Cambria" w:hAnsi="Cambria"/>
                <w:b/>
                <w:color w:val="000000"/>
                <w:sz w:val="18"/>
              </w:rPr>
              <w:t>H. Dettes financières nettes à court terme (G + D)</w:t>
            </w:r>
          </w:p>
        </w:tc>
        <w:tc>
          <w:tcPr>
            <w:tcW w:w="914" w:type="pct"/>
            <w:tcBorders>
              <w:top w:val="single" w:sz="4" w:space="0" w:color="auto"/>
              <w:left w:val="nil"/>
              <w:bottom w:val="single" w:sz="8" w:space="0" w:color="auto"/>
              <w:right w:val="nil"/>
            </w:tcBorders>
            <w:shd w:val="clear" w:color="auto" w:fill="auto"/>
            <w:noWrap/>
            <w:vAlign w:val="center"/>
            <w:hideMark/>
          </w:tcPr>
          <w:p w14:paraId="4B0E0EC1" w14:textId="77777777" w:rsidR="003A0332" w:rsidRDefault="003A0332">
            <w:pPr>
              <w:jc w:val="right"/>
              <w:rPr>
                <w:rFonts w:ascii="Cambria" w:hAnsi="Cambria" w:cs="Arial"/>
                <w:b/>
                <w:bCs/>
                <w:color w:val="000000"/>
                <w:sz w:val="18"/>
                <w:szCs w:val="18"/>
              </w:rPr>
            </w:pPr>
            <w:r>
              <w:rPr>
                <w:rFonts w:ascii="Cambria" w:hAnsi="Cambria"/>
                <w:b/>
                <w:color w:val="000000"/>
                <w:sz w:val="18"/>
              </w:rPr>
              <w:t>9 134 003</w:t>
            </w:r>
          </w:p>
        </w:tc>
        <w:tc>
          <w:tcPr>
            <w:tcW w:w="1063" w:type="pct"/>
            <w:tcBorders>
              <w:top w:val="single" w:sz="4" w:space="0" w:color="auto"/>
              <w:left w:val="nil"/>
              <w:bottom w:val="single" w:sz="8" w:space="0" w:color="auto"/>
              <w:right w:val="nil"/>
            </w:tcBorders>
            <w:shd w:val="clear" w:color="auto" w:fill="auto"/>
            <w:noWrap/>
            <w:vAlign w:val="center"/>
            <w:hideMark/>
          </w:tcPr>
          <w:p w14:paraId="7558D74E" w14:textId="77777777" w:rsidR="003A0332" w:rsidRDefault="003A0332">
            <w:pPr>
              <w:jc w:val="right"/>
              <w:rPr>
                <w:rFonts w:ascii="Cambria" w:hAnsi="Cambria" w:cs="Arial"/>
                <w:b/>
                <w:bCs/>
                <w:color w:val="000000"/>
                <w:sz w:val="18"/>
                <w:szCs w:val="18"/>
              </w:rPr>
            </w:pPr>
            <w:r>
              <w:rPr>
                <w:rFonts w:ascii="Cambria" w:hAnsi="Cambria"/>
                <w:b/>
                <w:color w:val="000000"/>
                <w:sz w:val="18"/>
              </w:rPr>
              <w:t>12 444 923</w:t>
            </w:r>
          </w:p>
        </w:tc>
      </w:tr>
      <w:tr w:rsidR="003A0332" w14:paraId="1B80FBBD" w14:textId="77777777" w:rsidTr="003F166F">
        <w:trPr>
          <w:trHeight w:val="288"/>
        </w:trPr>
        <w:tc>
          <w:tcPr>
            <w:tcW w:w="3023" w:type="pct"/>
            <w:tcBorders>
              <w:top w:val="nil"/>
              <w:left w:val="nil"/>
              <w:bottom w:val="nil"/>
              <w:right w:val="nil"/>
            </w:tcBorders>
            <w:shd w:val="clear" w:color="auto" w:fill="auto"/>
            <w:noWrap/>
            <w:vAlign w:val="center"/>
            <w:hideMark/>
          </w:tcPr>
          <w:p w14:paraId="3CFABE3B" w14:textId="77777777" w:rsidR="003A0332" w:rsidRDefault="003A0332">
            <w:pPr>
              <w:rPr>
                <w:rFonts w:ascii="Cambria" w:hAnsi="Cambria" w:cs="Arial"/>
                <w:color w:val="000000"/>
                <w:sz w:val="18"/>
                <w:szCs w:val="18"/>
              </w:rPr>
            </w:pPr>
            <w:r>
              <w:rPr>
                <w:rFonts w:ascii="Cambria" w:hAnsi="Cambria"/>
                <w:color w:val="000000"/>
                <w:sz w:val="18"/>
              </w:rPr>
              <w:t>I.1 Dettes financières à long terme</w:t>
            </w:r>
          </w:p>
        </w:tc>
        <w:tc>
          <w:tcPr>
            <w:tcW w:w="914" w:type="pct"/>
            <w:tcBorders>
              <w:top w:val="nil"/>
              <w:left w:val="nil"/>
              <w:bottom w:val="nil"/>
              <w:right w:val="nil"/>
            </w:tcBorders>
            <w:shd w:val="clear" w:color="auto" w:fill="auto"/>
            <w:noWrap/>
            <w:vAlign w:val="center"/>
            <w:hideMark/>
          </w:tcPr>
          <w:p w14:paraId="7A60BADE" w14:textId="77777777" w:rsidR="003A0332" w:rsidRDefault="003A0332">
            <w:pPr>
              <w:jc w:val="right"/>
              <w:rPr>
                <w:rFonts w:ascii="Cambria" w:hAnsi="Cambria" w:cs="Arial"/>
                <w:color w:val="000000"/>
                <w:sz w:val="18"/>
                <w:szCs w:val="18"/>
              </w:rPr>
            </w:pPr>
            <w:r>
              <w:rPr>
                <w:rFonts w:ascii="Cambria" w:hAnsi="Cambria"/>
                <w:color w:val="000000"/>
                <w:sz w:val="18"/>
              </w:rPr>
              <w:t>(4 197 711)</w:t>
            </w:r>
          </w:p>
        </w:tc>
        <w:tc>
          <w:tcPr>
            <w:tcW w:w="1063" w:type="pct"/>
            <w:tcBorders>
              <w:top w:val="nil"/>
              <w:left w:val="nil"/>
              <w:bottom w:val="nil"/>
              <w:right w:val="nil"/>
            </w:tcBorders>
            <w:shd w:val="clear" w:color="auto" w:fill="auto"/>
            <w:noWrap/>
            <w:vAlign w:val="center"/>
            <w:hideMark/>
          </w:tcPr>
          <w:p w14:paraId="6BEDC3E4" w14:textId="77777777" w:rsidR="003A0332" w:rsidRDefault="003A0332">
            <w:pPr>
              <w:jc w:val="right"/>
              <w:rPr>
                <w:rFonts w:ascii="Cambria" w:hAnsi="Cambria" w:cs="Arial"/>
                <w:color w:val="000000"/>
                <w:sz w:val="18"/>
                <w:szCs w:val="18"/>
              </w:rPr>
            </w:pPr>
            <w:r>
              <w:rPr>
                <w:rFonts w:ascii="Cambria" w:hAnsi="Cambria"/>
                <w:color w:val="000000"/>
                <w:sz w:val="18"/>
              </w:rPr>
              <w:t>(4 115 858)</w:t>
            </w:r>
          </w:p>
        </w:tc>
      </w:tr>
      <w:tr w:rsidR="003A0332" w14:paraId="57FDD46F" w14:textId="77777777" w:rsidTr="003F166F">
        <w:trPr>
          <w:trHeight w:val="288"/>
        </w:trPr>
        <w:tc>
          <w:tcPr>
            <w:tcW w:w="3023" w:type="pct"/>
            <w:tcBorders>
              <w:top w:val="nil"/>
              <w:left w:val="nil"/>
              <w:bottom w:val="nil"/>
              <w:right w:val="nil"/>
            </w:tcBorders>
            <w:shd w:val="clear" w:color="auto" w:fill="auto"/>
            <w:noWrap/>
            <w:vAlign w:val="center"/>
            <w:hideMark/>
          </w:tcPr>
          <w:p w14:paraId="3E464984" w14:textId="77777777" w:rsidR="003A0332" w:rsidRDefault="003A0332">
            <w:pPr>
              <w:rPr>
                <w:rFonts w:ascii="Cambria" w:hAnsi="Cambria" w:cs="Arial"/>
                <w:color w:val="000000"/>
                <w:sz w:val="18"/>
                <w:szCs w:val="18"/>
              </w:rPr>
            </w:pPr>
            <w:r>
              <w:rPr>
                <w:rFonts w:ascii="Cambria" w:hAnsi="Cambria"/>
                <w:color w:val="000000"/>
                <w:sz w:val="18"/>
              </w:rPr>
              <w:t>I.2 Dettes financières à long terme pour contrats de location</w:t>
            </w:r>
          </w:p>
        </w:tc>
        <w:tc>
          <w:tcPr>
            <w:tcW w:w="914" w:type="pct"/>
            <w:tcBorders>
              <w:top w:val="nil"/>
              <w:left w:val="nil"/>
              <w:bottom w:val="nil"/>
              <w:right w:val="nil"/>
            </w:tcBorders>
            <w:shd w:val="clear" w:color="auto" w:fill="auto"/>
            <w:noWrap/>
            <w:vAlign w:val="center"/>
            <w:hideMark/>
          </w:tcPr>
          <w:p w14:paraId="297F2E36" w14:textId="77777777" w:rsidR="003A0332" w:rsidRDefault="003A0332">
            <w:pPr>
              <w:jc w:val="right"/>
              <w:rPr>
                <w:rFonts w:ascii="Cambria" w:hAnsi="Cambria" w:cs="Arial"/>
                <w:color w:val="000000"/>
                <w:sz w:val="18"/>
                <w:szCs w:val="18"/>
              </w:rPr>
            </w:pPr>
            <w:r>
              <w:rPr>
                <w:rFonts w:ascii="Cambria" w:hAnsi="Cambria"/>
                <w:color w:val="000000"/>
                <w:sz w:val="18"/>
              </w:rPr>
              <w:t>(4 576 623)</w:t>
            </w:r>
          </w:p>
        </w:tc>
        <w:tc>
          <w:tcPr>
            <w:tcW w:w="1063" w:type="pct"/>
            <w:tcBorders>
              <w:top w:val="nil"/>
              <w:left w:val="nil"/>
              <w:bottom w:val="nil"/>
              <w:right w:val="nil"/>
            </w:tcBorders>
            <w:shd w:val="clear" w:color="auto" w:fill="auto"/>
            <w:noWrap/>
            <w:vAlign w:val="center"/>
            <w:hideMark/>
          </w:tcPr>
          <w:p w14:paraId="0F1C9E9E" w14:textId="77777777" w:rsidR="003A0332" w:rsidRDefault="003A0332">
            <w:pPr>
              <w:jc w:val="right"/>
              <w:rPr>
                <w:rFonts w:ascii="Cambria" w:hAnsi="Cambria" w:cs="Arial"/>
                <w:color w:val="000000"/>
                <w:sz w:val="18"/>
                <w:szCs w:val="18"/>
              </w:rPr>
            </w:pPr>
            <w:r>
              <w:rPr>
                <w:rFonts w:ascii="Cambria" w:hAnsi="Cambria"/>
                <w:color w:val="000000"/>
                <w:sz w:val="18"/>
              </w:rPr>
              <w:t>(6 584 043)</w:t>
            </w:r>
          </w:p>
        </w:tc>
      </w:tr>
      <w:tr w:rsidR="003A0332" w14:paraId="0D40115E" w14:textId="77777777" w:rsidTr="003F166F">
        <w:trPr>
          <w:trHeight w:val="288"/>
        </w:trPr>
        <w:tc>
          <w:tcPr>
            <w:tcW w:w="3023" w:type="pct"/>
            <w:tcBorders>
              <w:top w:val="nil"/>
              <w:left w:val="nil"/>
              <w:bottom w:val="nil"/>
              <w:right w:val="nil"/>
            </w:tcBorders>
            <w:shd w:val="clear" w:color="auto" w:fill="auto"/>
            <w:noWrap/>
            <w:vAlign w:val="center"/>
            <w:hideMark/>
          </w:tcPr>
          <w:p w14:paraId="3FCB99A4" w14:textId="77777777" w:rsidR="003A0332" w:rsidRDefault="003A0332">
            <w:pPr>
              <w:rPr>
                <w:rFonts w:ascii="Cambria" w:hAnsi="Cambria" w:cs="Arial"/>
                <w:color w:val="000000"/>
                <w:sz w:val="18"/>
                <w:szCs w:val="18"/>
              </w:rPr>
            </w:pPr>
            <w:r>
              <w:rPr>
                <w:rFonts w:ascii="Cambria" w:hAnsi="Cambria"/>
                <w:color w:val="000000"/>
                <w:sz w:val="18"/>
              </w:rPr>
              <w:t>J. Titre de créances</w:t>
            </w:r>
          </w:p>
        </w:tc>
        <w:tc>
          <w:tcPr>
            <w:tcW w:w="914" w:type="pct"/>
            <w:tcBorders>
              <w:top w:val="nil"/>
              <w:left w:val="nil"/>
              <w:bottom w:val="nil"/>
              <w:right w:val="nil"/>
            </w:tcBorders>
            <w:shd w:val="clear" w:color="auto" w:fill="auto"/>
            <w:noWrap/>
            <w:vAlign w:val="center"/>
          </w:tcPr>
          <w:p w14:paraId="00D1F0F7" w14:textId="6F0D7CF7" w:rsidR="003A0332" w:rsidRDefault="003A0332">
            <w:pPr>
              <w:rPr>
                <w:rFonts w:ascii="Cambria" w:hAnsi="Cambria" w:cs="Arial"/>
                <w:color w:val="000000"/>
                <w:sz w:val="18"/>
                <w:szCs w:val="18"/>
              </w:rPr>
            </w:pPr>
          </w:p>
        </w:tc>
        <w:tc>
          <w:tcPr>
            <w:tcW w:w="1063" w:type="pct"/>
            <w:tcBorders>
              <w:top w:val="nil"/>
              <w:left w:val="nil"/>
              <w:bottom w:val="nil"/>
              <w:right w:val="nil"/>
            </w:tcBorders>
            <w:shd w:val="clear" w:color="auto" w:fill="auto"/>
            <w:noWrap/>
            <w:vAlign w:val="center"/>
          </w:tcPr>
          <w:p w14:paraId="1115D2AE" w14:textId="3B380465" w:rsidR="003A0332" w:rsidRDefault="003A0332">
            <w:pPr>
              <w:rPr>
                <w:rFonts w:ascii="Cambria" w:hAnsi="Cambria" w:cs="Arial"/>
                <w:color w:val="000000"/>
                <w:sz w:val="18"/>
                <w:szCs w:val="18"/>
              </w:rPr>
            </w:pPr>
          </w:p>
        </w:tc>
      </w:tr>
      <w:tr w:rsidR="003A0332" w14:paraId="1C43D7C5" w14:textId="77777777" w:rsidTr="003F166F">
        <w:trPr>
          <w:trHeight w:val="288"/>
        </w:trPr>
        <w:tc>
          <w:tcPr>
            <w:tcW w:w="3023" w:type="pct"/>
            <w:tcBorders>
              <w:top w:val="nil"/>
              <w:left w:val="nil"/>
              <w:bottom w:val="nil"/>
              <w:right w:val="nil"/>
            </w:tcBorders>
            <w:shd w:val="clear" w:color="auto" w:fill="auto"/>
            <w:noWrap/>
            <w:vAlign w:val="center"/>
            <w:hideMark/>
          </w:tcPr>
          <w:p w14:paraId="6DE6EBF2" w14:textId="77777777" w:rsidR="003A0332" w:rsidRDefault="003A0332">
            <w:pPr>
              <w:rPr>
                <w:rFonts w:ascii="Cambria" w:hAnsi="Cambria" w:cs="Arial"/>
                <w:color w:val="000000"/>
                <w:sz w:val="18"/>
                <w:szCs w:val="18"/>
              </w:rPr>
            </w:pPr>
            <w:r>
              <w:rPr>
                <w:rFonts w:ascii="Cambria" w:hAnsi="Cambria"/>
                <w:color w:val="000000"/>
                <w:sz w:val="18"/>
              </w:rPr>
              <w:t>K. Dettes commerciales et autres dettes à long terme</w:t>
            </w:r>
          </w:p>
        </w:tc>
        <w:tc>
          <w:tcPr>
            <w:tcW w:w="914" w:type="pct"/>
            <w:tcBorders>
              <w:top w:val="nil"/>
              <w:left w:val="nil"/>
              <w:bottom w:val="nil"/>
              <w:right w:val="nil"/>
            </w:tcBorders>
            <w:shd w:val="clear" w:color="auto" w:fill="auto"/>
            <w:noWrap/>
            <w:vAlign w:val="center"/>
          </w:tcPr>
          <w:p w14:paraId="4EF68C3A" w14:textId="1296F982" w:rsidR="003A0332" w:rsidRDefault="003A0332">
            <w:pPr>
              <w:rPr>
                <w:rFonts w:ascii="Cambria" w:hAnsi="Cambria" w:cs="Arial"/>
                <w:color w:val="000000"/>
                <w:sz w:val="18"/>
                <w:szCs w:val="18"/>
              </w:rPr>
            </w:pPr>
          </w:p>
        </w:tc>
        <w:tc>
          <w:tcPr>
            <w:tcW w:w="1063" w:type="pct"/>
            <w:tcBorders>
              <w:top w:val="nil"/>
              <w:left w:val="nil"/>
              <w:bottom w:val="nil"/>
              <w:right w:val="nil"/>
            </w:tcBorders>
            <w:shd w:val="clear" w:color="auto" w:fill="auto"/>
            <w:noWrap/>
            <w:vAlign w:val="center"/>
          </w:tcPr>
          <w:p w14:paraId="636E5F1D" w14:textId="73800D9B" w:rsidR="003A0332" w:rsidRDefault="003A0332">
            <w:pPr>
              <w:rPr>
                <w:rFonts w:ascii="Cambria" w:hAnsi="Cambria" w:cs="Arial"/>
                <w:color w:val="000000"/>
                <w:sz w:val="18"/>
                <w:szCs w:val="18"/>
              </w:rPr>
            </w:pPr>
          </w:p>
        </w:tc>
      </w:tr>
      <w:tr w:rsidR="003A0332" w14:paraId="2FF72885" w14:textId="77777777" w:rsidTr="003F166F">
        <w:trPr>
          <w:trHeight w:val="288"/>
        </w:trPr>
        <w:tc>
          <w:tcPr>
            <w:tcW w:w="3023" w:type="pct"/>
            <w:tcBorders>
              <w:top w:val="nil"/>
              <w:left w:val="nil"/>
              <w:bottom w:val="nil"/>
              <w:right w:val="nil"/>
            </w:tcBorders>
            <w:shd w:val="clear" w:color="auto" w:fill="auto"/>
            <w:noWrap/>
            <w:vAlign w:val="center"/>
            <w:hideMark/>
          </w:tcPr>
          <w:p w14:paraId="71B95A2F" w14:textId="77777777" w:rsidR="003A0332" w:rsidRDefault="003A0332">
            <w:pPr>
              <w:rPr>
                <w:rFonts w:ascii="Cambria" w:hAnsi="Cambria" w:cs="Arial"/>
                <w:b/>
                <w:bCs/>
                <w:color w:val="000000"/>
                <w:sz w:val="18"/>
                <w:szCs w:val="18"/>
              </w:rPr>
            </w:pPr>
            <w:r>
              <w:rPr>
                <w:rFonts w:ascii="Cambria" w:hAnsi="Cambria"/>
                <w:b/>
                <w:color w:val="000000"/>
                <w:sz w:val="18"/>
              </w:rPr>
              <w:t>L. Dettes financières à long terme (I + J + K)</w:t>
            </w:r>
          </w:p>
        </w:tc>
        <w:tc>
          <w:tcPr>
            <w:tcW w:w="914" w:type="pct"/>
            <w:tcBorders>
              <w:top w:val="single" w:sz="4" w:space="0" w:color="auto"/>
              <w:left w:val="nil"/>
              <w:bottom w:val="single" w:sz="8" w:space="0" w:color="auto"/>
              <w:right w:val="nil"/>
            </w:tcBorders>
            <w:shd w:val="clear" w:color="auto" w:fill="auto"/>
            <w:noWrap/>
            <w:vAlign w:val="center"/>
            <w:hideMark/>
          </w:tcPr>
          <w:p w14:paraId="6EC5B110" w14:textId="77777777" w:rsidR="003A0332" w:rsidRDefault="003A0332">
            <w:pPr>
              <w:jc w:val="right"/>
              <w:rPr>
                <w:rFonts w:ascii="Cambria" w:hAnsi="Cambria" w:cs="Arial"/>
                <w:b/>
                <w:bCs/>
                <w:color w:val="000000"/>
                <w:sz w:val="18"/>
                <w:szCs w:val="18"/>
              </w:rPr>
            </w:pPr>
            <w:r>
              <w:rPr>
                <w:rFonts w:ascii="Cambria" w:hAnsi="Cambria"/>
                <w:b/>
                <w:color w:val="000000"/>
                <w:sz w:val="18"/>
              </w:rPr>
              <w:t>(8 774 333)</w:t>
            </w:r>
          </w:p>
        </w:tc>
        <w:tc>
          <w:tcPr>
            <w:tcW w:w="1063" w:type="pct"/>
            <w:tcBorders>
              <w:top w:val="single" w:sz="4" w:space="0" w:color="auto"/>
              <w:left w:val="nil"/>
              <w:bottom w:val="single" w:sz="8" w:space="0" w:color="auto"/>
              <w:right w:val="nil"/>
            </w:tcBorders>
            <w:shd w:val="clear" w:color="auto" w:fill="auto"/>
            <w:noWrap/>
            <w:vAlign w:val="center"/>
            <w:hideMark/>
          </w:tcPr>
          <w:p w14:paraId="3126938C" w14:textId="77777777" w:rsidR="003A0332" w:rsidRDefault="003A0332">
            <w:pPr>
              <w:jc w:val="right"/>
              <w:rPr>
                <w:rFonts w:ascii="Cambria" w:hAnsi="Cambria" w:cs="Arial"/>
                <w:b/>
                <w:bCs/>
                <w:color w:val="000000"/>
                <w:sz w:val="18"/>
                <w:szCs w:val="18"/>
              </w:rPr>
            </w:pPr>
            <w:r>
              <w:rPr>
                <w:rFonts w:ascii="Cambria" w:hAnsi="Cambria"/>
                <w:b/>
                <w:color w:val="000000"/>
                <w:sz w:val="18"/>
              </w:rPr>
              <w:t>(10 699 900)</w:t>
            </w:r>
          </w:p>
        </w:tc>
      </w:tr>
      <w:tr w:rsidR="003A0332" w14:paraId="3939B25F" w14:textId="77777777" w:rsidTr="003F166F">
        <w:trPr>
          <w:trHeight w:val="288"/>
        </w:trPr>
        <w:tc>
          <w:tcPr>
            <w:tcW w:w="3023" w:type="pct"/>
            <w:tcBorders>
              <w:top w:val="nil"/>
              <w:left w:val="nil"/>
              <w:bottom w:val="nil"/>
              <w:right w:val="nil"/>
            </w:tcBorders>
            <w:shd w:val="clear" w:color="auto" w:fill="auto"/>
            <w:noWrap/>
            <w:vAlign w:val="center"/>
            <w:hideMark/>
          </w:tcPr>
          <w:p w14:paraId="37DA34CF" w14:textId="77777777" w:rsidR="003A0332" w:rsidRDefault="003A0332">
            <w:pPr>
              <w:rPr>
                <w:rFonts w:ascii="Cambria" w:hAnsi="Cambria" w:cs="Arial"/>
                <w:b/>
                <w:bCs/>
                <w:color w:val="000000"/>
                <w:sz w:val="18"/>
                <w:szCs w:val="18"/>
              </w:rPr>
            </w:pPr>
            <w:r>
              <w:rPr>
                <w:rFonts w:ascii="Cambria" w:hAnsi="Cambria"/>
                <w:b/>
                <w:color w:val="000000"/>
                <w:sz w:val="18"/>
              </w:rPr>
              <w:t>M. Dettes financières (H + L)</w:t>
            </w:r>
          </w:p>
        </w:tc>
        <w:tc>
          <w:tcPr>
            <w:tcW w:w="914" w:type="pct"/>
            <w:tcBorders>
              <w:top w:val="nil"/>
              <w:left w:val="nil"/>
              <w:bottom w:val="single" w:sz="8" w:space="0" w:color="auto"/>
              <w:right w:val="nil"/>
            </w:tcBorders>
            <w:shd w:val="clear" w:color="auto" w:fill="auto"/>
            <w:noWrap/>
            <w:vAlign w:val="center"/>
            <w:hideMark/>
          </w:tcPr>
          <w:p w14:paraId="4928AF68" w14:textId="77777777" w:rsidR="003A0332" w:rsidRDefault="003A0332">
            <w:pPr>
              <w:jc w:val="right"/>
              <w:rPr>
                <w:rFonts w:ascii="Cambria" w:hAnsi="Cambria" w:cs="Arial"/>
                <w:b/>
                <w:bCs/>
                <w:color w:val="000000"/>
                <w:sz w:val="18"/>
                <w:szCs w:val="18"/>
              </w:rPr>
            </w:pPr>
            <w:r>
              <w:rPr>
                <w:rFonts w:ascii="Cambria" w:hAnsi="Cambria"/>
                <w:b/>
                <w:color w:val="000000"/>
                <w:sz w:val="18"/>
              </w:rPr>
              <w:t>359 670</w:t>
            </w:r>
          </w:p>
        </w:tc>
        <w:tc>
          <w:tcPr>
            <w:tcW w:w="1063" w:type="pct"/>
            <w:tcBorders>
              <w:top w:val="nil"/>
              <w:left w:val="nil"/>
              <w:bottom w:val="single" w:sz="8" w:space="0" w:color="auto"/>
              <w:right w:val="nil"/>
            </w:tcBorders>
            <w:shd w:val="clear" w:color="auto" w:fill="auto"/>
            <w:noWrap/>
            <w:vAlign w:val="center"/>
            <w:hideMark/>
          </w:tcPr>
          <w:p w14:paraId="38DE0A30" w14:textId="77777777" w:rsidR="003A0332" w:rsidRDefault="003A0332">
            <w:pPr>
              <w:jc w:val="right"/>
              <w:rPr>
                <w:rFonts w:ascii="Cambria" w:hAnsi="Cambria" w:cs="Arial"/>
                <w:b/>
                <w:bCs/>
                <w:color w:val="000000"/>
                <w:sz w:val="18"/>
                <w:szCs w:val="18"/>
              </w:rPr>
            </w:pPr>
            <w:r>
              <w:rPr>
                <w:rFonts w:ascii="Cambria" w:hAnsi="Cambria"/>
                <w:b/>
                <w:color w:val="000000"/>
                <w:sz w:val="18"/>
              </w:rPr>
              <w:t>1 745 023</w:t>
            </w:r>
          </w:p>
        </w:tc>
      </w:tr>
      <w:tr w:rsidR="003A0332" w14:paraId="443E6BA0" w14:textId="77777777" w:rsidTr="003F166F">
        <w:trPr>
          <w:trHeight w:val="228"/>
        </w:trPr>
        <w:tc>
          <w:tcPr>
            <w:tcW w:w="3023" w:type="pct"/>
            <w:tcBorders>
              <w:top w:val="nil"/>
              <w:left w:val="nil"/>
              <w:bottom w:val="nil"/>
              <w:right w:val="nil"/>
            </w:tcBorders>
            <w:shd w:val="clear" w:color="auto" w:fill="auto"/>
            <w:noWrap/>
            <w:vAlign w:val="center"/>
            <w:hideMark/>
          </w:tcPr>
          <w:p w14:paraId="757CC5AB" w14:textId="77777777" w:rsidR="003A0332" w:rsidRDefault="003A0332">
            <w:pPr>
              <w:rPr>
                <w:rFonts w:ascii="Cambria" w:hAnsi="Cambria" w:cs="Arial"/>
                <w:color w:val="000000"/>
                <w:sz w:val="18"/>
                <w:szCs w:val="18"/>
              </w:rPr>
            </w:pPr>
            <w:proofErr w:type="gramStart"/>
            <w:r>
              <w:rPr>
                <w:rFonts w:ascii="Cambria" w:hAnsi="Cambria"/>
                <w:color w:val="000000"/>
                <w:sz w:val="18"/>
              </w:rPr>
              <w:t>dont</w:t>
            </w:r>
            <w:proofErr w:type="gramEnd"/>
            <w:r>
              <w:rPr>
                <w:rFonts w:ascii="Cambria" w:hAnsi="Cambria"/>
                <w:color w:val="000000"/>
                <w:sz w:val="18"/>
              </w:rPr>
              <w:t> :</w:t>
            </w:r>
          </w:p>
        </w:tc>
        <w:tc>
          <w:tcPr>
            <w:tcW w:w="914" w:type="pct"/>
            <w:tcBorders>
              <w:top w:val="nil"/>
              <w:left w:val="nil"/>
              <w:bottom w:val="nil"/>
              <w:right w:val="nil"/>
            </w:tcBorders>
            <w:shd w:val="clear" w:color="auto" w:fill="auto"/>
            <w:noWrap/>
            <w:vAlign w:val="center"/>
            <w:hideMark/>
          </w:tcPr>
          <w:p w14:paraId="4EB8252F" w14:textId="77777777" w:rsidR="003A0332" w:rsidRDefault="003A0332">
            <w:pPr>
              <w:rPr>
                <w:rFonts w:ascii="Cambria" w:hAnsi="Cambria" w:cs="Arial"/>
                <w:color w:val="000000"/>
                <w:sz w:val="18"/>
                <w:szCs w:val="18"/>
              </w:rPr>
            </w:pPr>
          </w:p>
        </w:tc>
        <w:tc>
          <w:tcPr>
            <w:tcW w:w="1063" w:type="pct"/>
            <w:tcBorders>
              <w:top w:val="nil"/>
              <w:left w:val="nil"/>
              <w:bottom w:val="nil"/>
              <w:right w:val="nil"/>
            </w:tcBorders>
            <w:shd w:val="clear" w:color="auto" w:fill="auto"/>
            <w:noWrap/>
            <w:vAlign w:val="center"/>
            <w:hideMark/>
          </w:tcPr>
          <w:p w14:paraId="097763DB" w14:textId="77777777" w:rsidR="003A0332" w:rsidRDefault="003A0332">
            <w:pPr>
              <w:rPr>
                <w:sz w:val="20"/>
                <w:szCs w:val="20"/>
              </w:rPr>
            </w:pPr>
          </w:p>
        </w:tc>
      </w:tr>
      <w:tr w:rsidR="003A0332" w14:paraId="2D46F350" w14:textId="77777777" w:rsidTr="003F166F">
        <w:trPr>
          <w:trHeight w:val="228"/>
        </w:trPr>
        <w:tc>
          <w:tcPr>
            <w:tcW w:w="3023" w:type="pct"/>
            <w:tcBorders>
              <w:top w:val="nil"/>
              <w:left w:val="nil"/>
              <w:bottom w:val="nil"/>
              <w:right w:val="nil"/>
            </w:tcBorders>
            <w:shd w:val="clear" w:color="auto" w:fill="auto"/>
            <w:noWrap/>
            <w:vAlign w:val="center"/>
            <w:hideMark/>
          </w:tcPr>
          <w:p w14:paraId="29B3B344" w14:textId="7D10D311" w:rsidR="003A0332" w:rsidRDefault="003A0332">
            <w:pPr>
              <w:rPr>
                <w:rFonts w:ascii="Cambria" w:hAnsi="Cambria" w:cs="Arial"/>
                <w:i/>
                <w:iCs/>
                <w:color w:val="000000"/>
                <w:sz w:val="18"/>
                <w:szCs w:val="18"/>
              </w:rPr>
            </w:pPr>
            <w:r>
              <w:rPr>
                <w:rFonts w:ascii="Cambria" w:hAnsi="Cambria"/>
                <w:i/>
                <w:color w:val="000000"/>
                <w:sz w:val="18"/>
              </w:rPr>
              <w:t>Dette financière ordinaire (PFN ajustée)</w:t>
            </w:r>
          </w:p>
        </w:tc>
        <w:tc>
          <w:tcPr>
            <w:tcW w:w="914" w:type="pct"/>
            <w:tcBorders>
              <w:top w:val="nil"/>
              <w:left w:val="nil"/>
              <w:bottom w:val="nil"/>
              <w:right w:val="nil"/>
            </w:tcBorders>
            <w:shd w:val="clear" w:color="auto" w:fill="auto"/>
            <w:noWrap/>
            <w:vAlign w:val="center"/>
            <w:hideMark/>
          </w:tcPr>
          <w:p w14:paraId="6DF0FEE2" w14:textId="77777777" w:rsidR="003A0332" w:rsidRDefault="003A0332">
            <w:pPr>
              <w:jc w:val="right"/>
              <w:rPr>
                <w:rFonts w:ascii="Cambria" w:hAnsi="Cambria" w:cs="Arial"/>
                <w:i/>
                <w:iCs/>
                <w:color w:val="000000"/>
                <w:sz w:val="18"/>
                <w:szCs w:val="18"/>
              </w:rPr>
            </w:pPr>
            <w:r>
              <w:rPr>
                <w:rFonts w:ascii="Cambria" w:hAnsi="Cambria"/>
                <w:i/>
                <w:color w:val="000000"/>
                <w:sz w:val="18"/>
              </w:rPr>
              <w:t>7 794 258</w:t>
            </w:r>
          </w:p>
        </w:tc>
        <w:tc>
          <w:tcPr>
            <w:tcW w:w="1063" w:type="pct"/>
            <w:tcBorders>
              <w:top w:val="nil"/>
              <w:left w:val="nil"/>
              <w:bottom w:val="nil"/>
              <w:right w:val="nil"/>
            </w:tcBorders>
            <w:shd w:val="clear" w:color="auto" w:fill="auto"/>
            <w:noWrap/>
            <w:vAlign w:val="center"/>
            <w:hideMark/>
          </w:tcPr>
          <w:p w14:paraId="516F135F" w14:textId="77777777" w:rsidR="003A0332" w:rsidRDefault="003A0332">
            <w:pPr>
              <w:jc w:val="right"/>
              <w:rPr>
                <w:rFonts w:ascii="Cambria" w:hAnsi="Cambria" w:cs="Arial"/>
                <w:i/>
                <w:iCs/>
                <w:color w:val="000000"/>
                <w:sz w:val="18"/>
                <w:szCs w:val="18"/>
              </w:rPr>
            </w:pPr>
            <w:r>
              <w:rPr>
                <w:rFonts w:ascii="Cambria" w:hAnsi="Cambria"/>
                <w:i/>
                <w:color w:val="000000"/>
                <w:sz w:val="18"/>
              </w:rPr>
              <w:t>9 812 889</w:t>
            </w:r>
          </w:p>
        </w:tc>
      </w:tr>
      <w:tr w:rsidR="003A0332" w14:paraId="77479FBA" w14:textId="77777777" w:rsidTr="003F166F">
        <w:trPr>
          <w:trHeight w:val="228"/>
        </w:trPr>
        <w:tc>
          <w:tcPr>
            <w:tcW w:w="3023" w:type="pct"/>
            <w:tcBorders>
              <w:top w:val="nil"/>
              <w:left w:val="nil"/>
              <w:bottom w:val="nil"/>
              <w:right w:val="nil"/>
            </w:tcBorders>
            <w:shd w:val="clear" w:color="auto" w:fill="auto"/>
            <w:noWrap/>
            <w:vAlign w:val="center"/>
            <w:hideMark/>
          </w:tcPr>
          <w:p w14:paraId="15F108B3" w14:textId="77777777" w:rsidR="003A0332" w:rsidRDefault="003A0332">
            <w:pPr>
              <w:rPr>
                <w:rFonts w:ascii="Cambria" w:hAnsi="Cambria" w:cs="Arial"/>
                <w:i/>
                <w:iCs/>
                <w:color w:val="000000"/>
                <w:sz w:val="18"/>
                <w:szCs w:val="18"/>
              </w:rPr>
            </w:pPr>
            <w:r>
              <w:rPr>
                <w:rFonts w:ascii="Cambria" w:hAnsi="Cambria"/>
                <w:i/>
                <w:color w:val="000000"/>
                <w:sz w:val="18"/>
              </w:rPr>
              <w:t>Dettes pour contrats de location</w:t>
            </w:r>
          </w:p>
        </w:tc>
        <w:tc>
          <w:tcPr>
            <w:tcW w:w="914" w:type="pct"/>
            <w:tcBorders>
              <w:top w:val="nil"/>
              <w:left w:val="nil"/>
              <w:bottom w:val="nil"/>
              <w:right w:val="nil"/>
            </w:tcBorders>
            <w:shd w:val="clear" w:color="auto" w:fill="auto"/>
            <w:noWrap/>
            <w:vAlign w:val="center"/>
            <w:hideMark/>
          </w:tcPr>
          <w:p w14:paraId="5AE77D30" w14:textId="7E944C9D" w:rsidR="003A0332" w:rsidRDefault="000E77CE">
            <w:pPr>
              <w:jc w:val="right"/>
              <w:rPr>
                <w:rFonts w:ascii="Cambria" w:hAnsi="Cambria" w:cs="Arial"/>
                <w:i/>
                <w:iCs/>
                <w:color w:val="000000"/>
                <w:sz w:val="18"/>
                <w:szCs w:val="18"/>
              </w:rPr>
            </w:pPr>
            <w:r>
              <w:rPr>
                <w:rFonts w:ascii="Cambria" w:hAnsi="Cambria"/>
                <w:i/>
                <w:color w:val="000000"/>
                <w:sz w:val="18"/>
              </w:rPr>
              <w:t>(7 434 588)</w:t>
            </w:r>
          </w:p>
        </w:tc>
        <w:tc>
          <w:tcPr>
            <w:tcW w:w="1063" w:type="pct"/>
            <w:tcBorders>
              <w:top w:val="nil"/>
              <w:left w:val="nil"/>
              <w:bottom w:val="nil"/>
              <w:right w:val="nil"/>
            </w:tcBorders>
            <w:shd w:val="clear" w:color="auto" w:fill="auto"/>
            <w:noWrap/>
            <w:vAlign w:val="center"/>
            <w:hideMark/>
          </w:tcPr>
          <w:p w14:paraId="7DBA832F" w14:textId="7324ED2E" w:rsidR="003A0332" w:rsidRDefault="000E77CE">
            <w:pPr>
              <w:jc w:val="right"/>
              <w:rPr>
                <w:rFonts w:ascii="Cambria" w:hAnsi="Cambria" w:cs="Arial"/>
                <w:i/>
                <w:iCs/>
                <w:color w:val="000000"/>
                <w:sz w:val="18"/>
                <w:szCs w:val="18"/>
              </w:rPr>
            </w:pPr>
            <w:r>
              <w:rPr>
                <w:rFonts w:ascii="Cambria" w:hAnsi="Cambria"/>
                <w:i/>
                <w:color w:val="000000"/>
                <w:sz w:val="18"/>
              </w:rPr>
              <w:t>(8 067 866)</w:t>
            </w:r>
          </w:p>
        </w:tc>
      </w:tr>
    </w:tbl>
    <w:p w14:paraId="60A4D5BB" w14:textId="0CF783C5" w:rsidR="00F75C34" w:rsidRDefault="00F75C34" w:rsidP="00BF7B60">
      <w:pPr>
        <w:spacing w:after="200" w:line="276" w:lineRule="auto"/>
        <w:jc w:val="both"/>
        <w:rPr>
          <w:rFonts w:ascii="Cambria" w:hAnsi="Cambria"/>
          <w:sz w:val="22"/>
          <w:szCs w:val="22"/>
        </w:rPr>
      </w:pPr>
      <w:r>
        <w:rPr>
          <w:rFonts w:ascii="Cambria" w:hAnsi="Cambria"/>
          <w:sz w:val="22"/>
        </w:rPr>
        <w:t>La dette financière nette de l'exercice a augmenté par rapport à l'exercice précédent d'environ 432 000 euros, car Take Off a profité des opportunités offertes par le décret dit de Liquidité pour augmenter les liquidités et faire face aux incertitudes liées à la durée de la pandémie de Covid-19.</w:t>
      </w:r>
    </w:p>
    <w:p w14:paraId="2EA8633E" w14:textId="42AC2E4E" w:rsidR="00700F5E" w:rsidRDefault="00700F5E" w:rsidP="00700F5E">
      <w:pPr>
        <w:spacing w:after="200" w:line="276" w:lineRule="auto"/>
        <w:jc w:val="both"/>
        <w:rPr>
          <w:rFonts w:ascii="Cambria" w:hAnsi="Cambria"/>
          <w:sz w:val="22"/>
          <w:szCs w:val="22"/>
        </w:rPr>
      </w:pPr>
      <w:r>
        <w:rPr>
          <w:rFonts w:ascii="Cambria" w:hAnsi="Cambria"/>
          <w:sz w:val="22"/>
        </w:rPr>
        <w:t>Il a été jugé opportun de présenter, dans le tableau précédent, également la position financière nette ajustée, qui exclut, par rapport au calcul décrit précédemment, la dette pour les Droits d'utilisation s'élevant à 7 435 000 euros comptabilisée au 30.06.2021 (8 068 000 euros au 31.12.2020), et qui, conformément à la norme comptable IFRS 16, est classée dans le poste Autres dettes financières. Déduction faite de ce montant, la position financière nette au 30.06.2021 est positive et s'élève à 7 794 000 euros (9 813 000 euros au 31.12.2020).</w:t>
      </w:r>
    </w:p>
    <w:p w14:paraId="0CF4021D" w14:textId="77777777" w:rsidR="00260280" w:rsidRPr="001B6D59" w:rsidRDefault="00260280" w:rsidP="00260280">
      <w:pPr>
        <w:pStyle w:val="Titolo2"/>
        <w:spacing w:line="360" w:lineRule="auto"/>
        <w:ind w:left="0"/>
        <w:jc w:val="left"/>
        <w:rPr>
          <w:i w:val="0"/>
        </w:rPr>
      </w:pPr>
      <w:bookmarkStart w:id="28" w:name="_Toc112768604"/>
      <w:r>
        <w:rPr>
          <w:i w:val="0"/>
        </w:rPr>
        <w:t>Indicateurs économiques et d'efficacité</w:t>
      </w:r>
      <w:bookmarkEnd w:id="28"/>
    </w:p>
    <w:p w14:paraId="0801DC0B" w14:textId="61AB23FE" w:rsidR="00260280" w:rsidRDefault="00260280" w:rsidP="00260280">
      <w:pPr>
        <w:spacing w:after="200" w:line="276" w:lineRule="auto"/>
        <w:jc w:val="both"/>
        <w:rPr>
          <w:rFonts w:ascii="Cambria" w:hAnsi="Cambria"/>
          <w:sz w:val="22"/>
          <w:szCs w:val="22"/>
        </w:rPr>
      </w:pPr>
      <w:r>
        <w:rPr>
          <w:rFonts w:ascii="Cambria" w:hAnsi="Cambria"/>
          <w:sz w:val="22"/>
        </w:rPr>
        <w:t>Pour une meilleure description des revenus, des fonds propres et de la situation financière du Groupe, les tableaux ci-dessous présentent certains ratios de rentabilité, de fonds propres et financiers comparés aux mêmes ratios au 30 juin 2020.</w:t>
      </w:r>
    </w:p>
    <w:tbl>
      <w:tblPr>
        <w:tblW w:w="5000" w:type="pct"/>
        <w:tblCellMar>
          <w:left w:w="70" w:type="dxa"/>
          <w:right w:w="70" w:type="dxa"/>
        </w:tblCellMar>
        <w:tblLook w:val="04A0" w:firstRow="1" w:lastRow="0" w:firstColumn="1" w:lastColumn="0" w:noHBand="0" w:noVBand="1"/>
      </w:tblPr>
      <w:tblGrid>
        <w:gridCol w:w="5844"/>
        <w:gridCol w:w="1897"/>
        <w:gridCol w:w="1897"/>
      </w:tblGrid>
      <w:tr w:rsidR="001E338F" w14:paraId="6B525437" w14:textId="77777777" w:rsidTr="00717185">
        <w:trPr>
          <w:trHeight w:val="269"/>
        </w:trPr>
        <w:tc>
          <w:tcPr>
            <w:tcW w:w="3032" w:type="pct"/>
            <w:tcBorders>
              <w:top w:val="single" w:sz="4" w:space="0" w:color="0070C0"/>
              <w:left w:val="nil"/>
              <w:bottom w:val="single" w:sz="8" w:space="0" w:color="0070C0"/>
              <w:right w:val="nil"/>
            </w:tcBorders>
            <w:shd w:val="clear" w:color="auto" w:fill="auto"/>
            <w:noWrap/>
            <w:vAlign w:val="bottom"/>
            <w:hideMark/>
          </w:tcPr>
          <w:p w14:paraId="6CF642D6" w14:textId="77777777" w:rsidR="001E338F" w:rsidRDefault="001E338F">
            <w:pPr>
              <w:rPr>
                <w:rFonts w:ascii="Cambria" w:hAnsi="Cambria" w:cs="Arial"/>
                <w:color w:val="000000"/>
                <w:sz w:val="18"/>
                <w:szCs w:val="18"/>
              </w:rPr>
            </w:pPr>
            <w:r>
              <w:rPr>
                <w:rFonts w:ascii="Cambria" w:hAnsi="Cambria"/>
                <w:color w:val="000000"/>
                <w:sz w:val="18"/>
              </w:rPr>
              <w:t> </w:t>
            </w:r>
          </w:p>
        </w:tc>
        <w:tc>
          <w:tcPr>
            <w:tcW w:w="984" w:type="pct"/>
            <w:tcBorders>
              <w:top w:val="single" w:sz="4" w:space="0" w:color="0070C0"/>
              <w:left w:val="nil"/>
              <w:bottom w:val="single" w:sz="8" w:space="0" w:color="0070C0"/>
              <w:right w:val="nil"/>
            </w:tcBorders>
            <w:shd w:val="clear" w:color="auto" w:fill="auto"/>
            <w:vAlign w:val="bottom"/>
            <w:hideMark/>
          </w:tcPr>
          <w:p w14:paraId="3E6EF17F" w14:textId="5B270B7A" w:rsidR="001E338F" w:rsidRDefault="001E338F">
            <w:pPr>
              <w:jc w:val="center"/>
              <w:rPr>
                <w:rFonts w:ascii="Cambria" w:hAnsi="Cambria" w:cs="Arial"/>
                <w:b/>
                <w:bCs/>
                <w:color w:val="000000"/>
                <w:sz w:val="18"/>
                <w:szCs w:val="18"/>
              </w:rPr>
            </w:pPr>
            <w:r>
              <w:rPr>
                <w:rFonts w:ascii="Cambria" w:hAnsi="Cambria"/>
                <w:b/>
                <w:color w:val="000000"/>
                <w:sz w:val="18"/>
              </w:rPr>
              <w:t>30 juin 2021</w:t>
            </w:r>
          </w:p>
        </w:tc>
        <w:tc>
          <w:tcPr>
            <w:tcW w:w="984" w:type="pct"/>
            <w:tcBorders>
              <w:top w:val="single" w:sz="4" w:space="0" w:color="0070C0"/>
              <w:left w:val="nil"/>
              <w:bottom w:val="single" w:sz="8" w:space="0" w:color="0070C0"/>
              <w:right w:val="nil"/>
            </w:tcBorders>
            <w:shd w:val="clear" w:color="auto" w:fill="auto"/>
            <w:vAlign w:val="bottom"/>
            <w:hideMark/>
          </w:tcPr>
          <w:p w14:paraId="41336263" w14:textId="03F03BFD" w:rsidR="001E338F" w:rsidRDefault="001E338F">
            <w:pPr>
              <w:jc w:val="center"/>
              <w:rPr>
                <w:rFonts w:ascii="Cambria" w:hAnsi="Cambria" w:cs="Arial"/>
                <w:b/>
                <w:bCs/>
                <w:color w:val="000000"/>
                <w:sz w:val="18"/>
                <w:szCs w:val="18"/>
              </w:rPr>
            </w:pPr>
            <w:r>
              <w:rPr>
                <w:rFonts w:ascii="Cambria" w:hAnsi="Cambria"/>
                <w:b/>
                <w:color w:val="000000"/>
                <w:sz w:val="18"/>
              </w:rPr>
              <w:t>30 juin 2020</w:t>
            </w:r>
          </w:p>
        </w:tc>
      </w:tr>
      <w:tr w:rsidR="001E338F" w14:paraId="528FCC0F" w14:textId="77777777" w:rsidTr="001E338F">
        <w:trPr>
          <w:trHeight w:val="228"/>
        </w:trPr>
        <w:tc>
          <w:tcPr>
            <w:tcW w:w="3032" w:type="pct"/>
            <w:tcBorders>
              <w:top w:val="nil"/>
              <w:left w:val="nil"/>
              <w:bottom w:val="nil"/>
              <w:right w:val="nil"/>
            </w:tcBorders>
            <w:shd w:val="clear" w:color="auto" w:fill="auto"/>
            <w:noWrap/>
            <w:vAlign w:val="bottom"/>
            <w:hideMark/>
          </w:tcPr>
          <w:p w14:paraId="5075C388" w14:textId="77777777" w:rsidR="001E338F" w:rsidRDefault="001E338F">
            <w:pPr>
              <w:rPr>
                <w:rFonts w:ascii="Cambria" w:hAnsi="Cambria" w:cs="Arial"/>
                <w:color w:val="000000"/>
                <w:sz w:val="18"/>
                <w:szCs w:val="18"/>
              </w:rPr>
            </w:pPr>
            <w:r>
              <w:rPr>
                <w:rFonts w:ascii="Cambria" w:hAnsi="Cambria"/>
                <w:color w:val="000000"/>
                <w:sz w:val="18"/>
              </w:rPr>
              <w:t>EBITDA</w:t>
            </w:r>
          </w:p>
        </w:tc>
        <w:tc>
          <w:tcPr>
            <w:tcW w:w="984" w:type="pct"/>
            <w:tcBorders>
              <w:top w:val="nil"/>
              <w:left w:val="nil"/>
              <w:bottom w:val="nil"/>
              <w:right w:val="nil"/>
            </w:tcBorders>
            <w:shd w:val="clear" w:color="auto" w:fill="auto"/>
            <w:noWrap/>
            <w:vAlign w:val="bottom"/>
            <w:hideMark/>
          </w:tcPr>
          <w:p w14:paraId="50DB147E" w14:textId="77777777" w:rsidR="001E338F" w:rsidRDefault="001E338F">
            <w:pPr>
              <w:jc w:val="right"/>
              <w:rPr>
                <w:rFonts w:ascii="Cambria" w:hAnsi="Cambria" w:cs="Arial"/>
                <w:color w:val="000000"/>
                <w:sz w:val="18"/>
                <w:szCs w:val="18"/>
              </w:rPr>
            </w:pPr>
            <w:r>
              <w:rPr>
                <w:rFonts w:ascii="Cambria" w:hAnsi="Cambria"/>
                <w:color w:val="000000"/>
                <w:sz w:val="18"/>
              </w:rPr>
              <w:t>3 955 320</w:t>
            </w:r>
          </w:p>
        </w:tc>
        <w:tc>
          <w:tcPr>
            <w:tcW w:w="984" w:type="pct"/>
            <w:tcBorders>
              <w:top w:val="nil"/>
              <w:left w:val="nil"/>
              <w:bottom w:val="nil"/>
              <w:right w:val="nil"/>
            </w:tcBorders>
            <w:shd w:val="clear" w:color="auto" w:fill="auto"/>
            <w:noWrap/>
            <w:vAlign w:val="bottom"/>
            <w:hideMark/>
          </w:tcPr>
          <w:p w14:paraId="7FAE08AD" w14:textId="77777777" w:rsidR="001E338F" w:rsidRDefault="001E338F">
            <w:pPr>
              <w:jc w:val="right"/>
              <w:rPr>
                <w:rFonts w:ascii="Cambria" w:hAnsi="Cambria" w:cs="Arial"/>
                <w:color w:val="000000"/>
                <w:sz w:val="18"/>
                <w:szCs w:val="18"/>
              </w:rPr>
            </w:pPr>
            <w:r>
              <w:rPr>
                <w:rFonts w:ascii="Cambria" w:hAnsi="Cambria"/>
                <w:color w:val="000000"/>
                <w:sz w:val="18"/>
              </w:rPr>
              <w:t>1 602 984</w:t>
            </w:r>
          </w:p>
        </w:tc>
      </w:tr>
      <w:tr w:rsidR="001E338F" w14:paraId="2E8694FA" w14:textId="77777777" w:rsidTr="001E338F">
        <w:trPr>
          <w:trHeight w:val="228"/>
        </w:trPr>
        <w:tc>
          <w:tcPr>
            <w:tcW w:w="3032" w:type="pct"/>
            <w:tcBorders>
              <w:top w:val="nil"/>
              <w:left w:val="nil"/>
              <w:bottom w:val="nil"/>
              <w:right w:val="nil"/>
            </w:tcBorders>
            <w:shd w:val="clear" w:color="auto" w:fill="auto"/>
            <w:noWrap/>
            <w:vAlign w:val="bottom"/>
            <w:hideMark/>
          </w:tcPr>
          <w:p w14:paraId="719434FC" w14:textId="77777777" w:rsidR="001E338F" w:rsidRDefault="001E338F">
            <w:pPr>
              <w:rPr>
                <w:rFonts w:ascii="Cambria" w:hAnsi="Cambria" w:cs="Arial"/>
                <w:color w:val="000000"/>
                <w:sz w:val="18"/>
                <w:szCs w:val="18"/>
              </w:rPr>
            </w:pPr>
            <w:r>
              <w:rPr>
                <w:rFonts w:ascii="Cambria" w:hAnsi="Cambria"/>
                <w:color w:val="000000"/>
                <w:sz w:val="18"/>
              </w:rPr>
              <w:t>Marge EBITDA</w:t>
            </w:r>
          </w:p>
        </w:tc>
        <w:tc>
          <w:tcPr>
            <w:tcW w:w="984" w:type="pct"/>
            <w:tcBorders>
              <w:top w:val="nil"/>
              <w:left w:val="nil"/>
              <w:bottom w:val="nil"/>
              <w:right w:val="nil"/>
            </w:tcBorders>
            <w:shd w:val="clear" w:color="auto" w:fill="auto"/>
            <w:noWrap/>
            <w:vAlign w:val="bottom"/>
            <w:hideMark/>
          </w:tcPr>
          <w:p w14:paraId="5DC1AA12" w14:textId="77777777" w:rsidR="001E338F" w:rsidRDefault="001E338F">
            <w:pPr>
              <w:jc w:val="right"/>
              <w:rPr>
                <w:rFonts w:ascii="Cambria" w:hAnsi="Cambria" w:cs="Arial"/>
                <w:color w:val="000000"/>
                <w:sz w:val="18"/>
                <w:szCs w:val="18"/>
              </w:rPr>
            </w:pPr>
            <w:r>
              <w:rPr>
                <w:rFonts w:ascii="Cambria" w:hAnsi="Cambria"/>
                <w:color w:val="000000"/>
                <w:sz w:val="18"/>
              </w:rPr>
              <w:t>34,25%</w:t>
            </w:r>
          </w:p>
        </w:tc>
        <w:tc>
          <w:tcPr>
            <w:tcW w:w="984" w:type="pct"/>
            <w:tcBorders>
              <w:top w:val="nil"/>
              <w:left w:val="nil"/>
              <w:bottom w:val="nil"/>
              <w:right w:val="nil"/>
            </w:tcBorders>
            <w:shd w:val="clear" w:color="auto" w:fill="auto"/>
            <w:noWrap/>
            <w:vAlign w:val="bottom"/>
            <w:hideMark/>
          </w:tcPr>
          <w:p w14:paraId="69A65E8F" w14:textId="77777777" w:rsidR="001E338F" w:rsidRDefault="001E338F">
            <w:pPr>
              <w:jc w:val="right"/>
              <w:rPr>
                <w:rFonts w:ascii="Cambria" w:hAnsi="Cambria" w:cs="Arial"/>
                <w:color w:val="000000"/>
                <w:sz w:val="18"/>
                <w:szCs w:val="18"/>
              </w:rPr>
            </w:pPr>
            <w:r>
              <w:rPr>
                <w:rFonts w:ascii="Cambria" w:hAnsi="Cambria"/>
                <w:color w:val="000000"/>
                <w:sz w:val="18"/>
              </w:rPr>
              <w:t>18,25%</w:t>
            </w:r>
          </w:p>
        </w:tc>
      </w:tr>
      <w:tr w:rsidR="001E338F" w14:paraId="4B183499" w14:textId="77777777" w:rsidTr="001E338F">
        <w:trPr>
          <w:trHeight w:val="228"/>
        </w:trPr>
        <w:tc>
          <w:tcPr>
            <w:tcW w:w="3032" w:type="pct"/>
            <w:tcBorders>
              <w:top w:val="nil"/>
              <w:left w:val="nil"/>
              <w:bottom w:val="nil"/>
              <w:right w:val="nil"/>
            </w:tcBorders>
            <w:shd w:val="clear" w:color="auto" w:fill="auto"/>
            <w:noWrap/>
            <w:vAlign w:val="bottom"/>
            <w:hideMark/>
          </w:tcPr>
          <w:p w14:paraId="7C0E0C6A" w14:textId="77777777" w:rsidR="001E338F" w:rsidRDefault="001E338F">
            <w:pPr>
              <w:rPr>
                <w:rFonts w:ascii="Cambria" w:hAnsi="Cambria" w:cs="Arial"/>
                <w:color w:val="000000"/>
                <w:sz w:val="18"/>
                <w:szCs w:val="18"/>
              </w:rPr>
            </w:pPr>
            <w:r>
              <w:rPr>
                <w:rFonts w:ascii="Cambria" w:hAnsi="Cambria"/>
                <w:color w:val="000000"/>
                <w:sz w:val="18"/>
              </w:rPr>
              <w:t>RCP avant impôt (résultat avant impôt de la période/capitaux propres)</w:t>
            </w:r>
          </w:p>
        </w:tc>
        <w:tc>
          <w:tcPr>
            <w:tcW w:w="984" w:type="pct"/>
            <w:tcBorders>
              <w:top w:val="nil"/>
              <w:left w:val="nil"/>
              <w:bottom w:val="nil"/>
              <w:right w:val="nil"/>
            </w:tcBorders>
            <w:shd w:val="clear" w:color="auto" w:fill="auto"/>
            <w:noWrap/>
            <w:vAlign w:val="bottom"/>
            <w:hideMark/>
          </w:tcPr>
          <w:p w14:paraId="41FF374B" w14:textId="77777777" w:rsidR="001E338F" w:rsidRDefault="001E338F">
            <w:pPr>
              <w:jc w:val="right"/>
              <w:rPr>
                <w:rFonts w:ascii="Cambria" w:hAnsi="Cambria" w:cs="Arial"/>
                <w:color w:val="000000"/>
                <w:sz w:val="18"/>
                <w:szCs w:val="18"/>
              </w:rPr>
            </w:pPr>
            <w:r>
              <w:rPr>
                <w:rFonts w:ascii="Cambria" w:hAnsi="Cambria"/>
                <w:color w:val="000000"/>
                <w:sz w:val="18"/>
              </w:rPr>
              <w:t>29,64%</w:t>
            </w:r>
          </w:p>
        </w:tc>
        <w:tc>
          <w:tcPr>
            <w:tcW w:w="984" w:type="pct"/>
            <w:tcBorders>
              <w:top w:val="nil"/>
              <w:left w:val="nil"/>
              <w:bottom w:val="nil"/>
              <w:right w:val="nil"/>
            </w:tcBorders>
            <w:shd w:val="clear" w:color="auto" w:fill="auto"/>
            <w:noWrap/>
            <w:vAlign w:val="bottom"/>
            <w:hideMark/>
          </w:tcPr>
          <w:p w14:paraId="76F90A97" w14:textId="77777777" w:rsidR="001E338F" w:rsidRDefault="001E338F">
            <w:pPr>
              <w:jc w:val="right"/>
              <w:rPr>
                <w:rFonts w:ascii="Cambria" w:hAnsi="Cambria" w:cs="Arial"/>
                <w:color w:val="000000"/>
                <w:sz w:val="18"/>
                <w:szCs w:val="18"/>
              </w:rPr>
            </w:pPr>
            <w:r>
              <w:rPr>
                <w:rFonts w:ascii="Cambria" w:hAnsi="Cambria"/>
                <w:color w:val="000000"/>
                <w:sz w:val="18"/>
              </w:rPr>
              <w:t>6,23%</w:t>
            </w:r>
          </w:p>
        </w:tc>
      </w:tr>
      <w:tr w:rsidR="001E338F" w14:paraId="0ADA18E1" w14:textId="77777777" w:rsidTr="001E338F">
        <w:trPr>
          <w:trHeight w:val="228"/>
        </w:trPr>
        <w:tc>
          <w:tcPr>
            <w:tcW w:w="3032" w:type="pct"/>
            <w:tcBorders>
              <w:top w:val="nil"/>
              <w:left w:val="nil"/>
              <w:bottom w:val="nil"/>
              <w:right w:val="nil"/>
            </w:tcBorders>
            <w:shd w:val="clear" w:color="auto" w:fill="auto"/>
            <w:noWrap/>
            <w:vAlign w:val="bottom"/>
            <w:hideMark/>
          </w:tcPr>
          <w:p w14:paraId="7AA6A13A" w14:textId="77777777" w:rsidR="001E338F" w:rsidRDefault="001E338F">
            <w:pPr>
              <w:rPr>
                <w:rFonts w:ascii="Cambria" w:hAnsi="Cambria" w:cs="Arial"/>
                <w:color w:val="000000"/>
                <w:sz w:val="18"/>
                <w:szCs w:val="18"/>
              </w:rPr>
            </w:pPr>
            <w:r>
              <w:rPr>
                <w:rFonts w:ascii="Cambria" w:hAnsi="Cambria"/>
                <w:color w:val="000000"/>
                <w:sz w:val="18"/>
              </w:rPr>
              <w:t>RDI (EBIT/Actif total)</w:t>
            </w:r>
          </w:p>
        </w:tc>
        <w:tc>
          <w:tcPr>
            <w:tcW w:w="984" w:type="pct"/>
            <w:tcBorders>
              <w:top w:val="nil"/>
              <w:left w:val="nil"/>
              <w:bottom w:val="nil"/>
              <w:right w:val="nil"/>
            </w:tcBorders>
            <w:shd w:val="clear" w:color="auto" w:fill="auto"/>
            <w:noWrap/>
            <w:vAlign w:val="bottom"/>
            <w:hideMark/>
          </w:tcPr>
          <w:p w14:paraId="6584317E" w14:textId="77777777" w:rsidR="001E338F" w:rsidRDefault="001E338F">
            <w:pPr>
              <w:jc w:val="right"/>
              <w:rPr>
                <w:rFonts w:ascii="Cambria" w:hAnsi="Cambria" w:cs="Arial"/>
                <w:color w:val="000000"/>
                <w:sz w:val="18"/>
                <w:szCs w:val="18"/>
              </w:rPr>
            </w:pPr>
            <w:r>
              <w:rPr>
                <w:rFonts w:ascii="Cambria" w:hAnsi="Cambria"/>
                <w:color w:val="000000"/>
                <w:sz w:val="18"/>
              </w:rPr>
              <w:t>8,08%</w:t>
            </w:r>
          </w:p>
        </w:tc>
        <w:tc>
          <w:tcPr>
            <w:tcW w:w="984" w:type="pct"/>
            <w:tcBorders>
              <w:top w:val="nil"/>
              <w:left w:val="nil"/>
              <w:bottom w:val="nil"/>
              <w:right w:val="nil"/>
            </w:tcBorders>
            <w:shd w:val="clear" w:color="auto" w:fill="auto"/>
            <w:noWrap/>
            <w:vAlign w:val="bottom"/>
            <w:hideMark/>
          </w:tcPr>
          <w:p w14:paraId="1B6B9FB1" w14:textId="77777777" w:rsidR="001E338F" w:rsidRDefault="001E338F">
            <w:pPr>
              <w:jc w:val="right"/>
              <w:rPr>
                <w:rFonts w:ascii="Cambria" w:hAnsi="Cambria" w:cs="Arial"/>
                <w:color w:val="000000"/>
                <w:sz w:val="18"/>
                <w:szCs w:val="18"/>
              </w:rPr>
            </w:pPr>
            <w:r>
              <w:rPr>
                <w:rFonts w:ascii="Cambria" w:hAnsi="Cambria"/>
                <w:color w:val="000000"/>
                <w:sz w:val="18"/>
              </w:rPr>
              <w:t>2,70%</w:t>
            </w:r>
          </w:p>
        </w:tc>
      </w:tr>
      <w:tr w:rsidR="001E338F" w14:paraId="0AFB398A" w14:textId="77777777" w:rsidTr="001E338F">
        <w:trPr>
          <w:trHeight w:val="228"/>
        </w:trPr>
        <w:tc>
          <w:tcPr>
            <w:tcW w:w="3032" w:type="pct"/>
            <w:tcBorders>
              <w:top w:val="nil"/>
              <w:left w:val="nil"/>
              <w:bottom w:val="nil"/>
              <w:right w:val="nil"/>
            </w:tcBorders>
            <w:shd w:val="clear" w:color="auto" w:fill="auto"/>
            <w:noWrap/>
            <w:vAlign w:val="bottom"/>
            <w:hideMark/>
          </w:tcPr>
          <w:p w14:paraId="6BF91F77" w14:textId="77777777" w:rsidR="001E338F" w:rsidRDefault="001E338F">
            <w:pPr>
              <w:rPr>
                <w:rFonts w:ascii="Cambria" w:hAnsi="Cambria" w:cs="Arial"/>
                <w:color w:val="000000"/>
                <w:sz w:val="18"/>
                <w:szCs w:val="18"/>
              </w:rPr>
            </w:pPr>
            <w:r>
              <w:rPr>
                <w:rFonts w:ascii="Cambria" w:hAnsi="Cambria"/>
                <w:color w:val="000000"/>
                <w:sz w:val="18"/>
              </w:rPr>
              <w:t>TRO (EBIT/Revenus)</w:t>
            </w:r>
          </w:p>
        </w:tc>
        <w:tc>
          <w:tcPr>
            <w:tcW w:w="984" w:type="pct"/>
            <w:tcBorders>
              <w:top w:val="nil"/>
              <w:left w:val="nil"/>
              <w:bottom w:val="nil"/>
              <w:right w:val="nil"/>
            </w:tcBorders>
            <w:shd w:val="clear" w:color="auto" w:fill="auto"/>
            <w:noWrap/>
            <w:vAlign w:val="bottom"/>
            <w:hideMark/>
          </w:tcPr>
          <w:p w14:paraId="4F390D1E" w14:textId="77777777" w:rsidR="001E338F" w:rsidRDefault="001E338F">
            <w:pPr>
              <w:jc w:val="right"/>
              <w:rPr>
                <w:rFonts w:ascii="Cambria" w:hAnsi="Cambria" w:cs="Arial"/>
                <w:color w:val="000000"/>
                <w:sz w:val="18"/>
                <w:szCs w:val="18"/>
              </w:rPr>
            </w:pPr>
            <w:r>
              <w:rPr>
                <w:rFonts w:ascii="Cambria" w:hAnsi="Cambria"/>
                <w:color w:val="000000"/>
                <w:sz w:val="18"/>
              </w:rPr>
              <w:t>26,31%</w:t>
            </w:r>
          </w:p>
        </w:tc>
        <w:tc>
          <w:tcPr>
            <w:tcW w:w="984" w:type="pct"/>
            <w:tcBorders>
              <w:top w:val="nil"/>
              <w:left w:val="nil"/>
              <w:bottom w:val="nil"/>
              <w:right w:val="nil"/>
            </w:tcBorders>
            <w:shd w:val="clear" w:color="auto" w:fill="auto"/>
            <w:noWrap/>
            <w:vAlign w:val="bottom"/>
            <w:hideMark/>
          </w:tcPr>
          <w:p w14:paraId="5AB91F86" w14:textId="77777777" w:rsidR="001E338F" w:rsidRDefault="001E338F">
            <w:pPr>
              <w:jc w:val="right"/>
              <w:rPr>
                <w:rFonts w:ascii="Cambria" w:hAnsi="Cambria" w:cs="Arial"/>
                <w:color w:val="000000"/>
                <w:sz w:val="18"/>
                <w:szCs w:val="18"/>
              </w:rPr>
            </w:pPr>
            <w:r>
              <w:rPr>
                <w:rFonts w:ascii="Cambria" w:hAnsi="Cambria"/>
                <w:color w:val="000000"/>
                <w:sz w:val="18"/>
              </w:rPr>
              <w:t>10,22%</w:t>
            </w:r>
          </w:p>
        </w:tc>
      </w:tr>
    </w:tbl>
    <w:p w14:paraId="46D4BFDC" w14:textId="77777777" w:rsidR="001E338F" w:rsidRDefault="001E338F" w:rsidP="00260280">
      <w:pPr>
        <w:spacing w:after="200" w:line="276" w:lineRule="auto"/>
        <w:jc w:val="both"/>
        <w:rPr>
          <w:rFonts w:ascii="Cambria" w:hAnsi="Cambria" w:cs="Arial"/>
          <w:sz w:val="22"/>
          <w:szCs w:val="22"/>
        </w:rPr>
      </w:pPr>
    </w:p>
    <w:p w14:paraId="02FF5503" w14:textId="5598E93C" w:rsidR="00260280" w:rsidRPr="00C17031" w:rsidRDefault="00EA173D" w:rsidP="00260280">
      <w:pPr>
        <w:spacing w:after="200" w:line="276" w:lineRule="auto"/>
        <w:jc w:val="both"/>
        <w:rPr>
          <w:rFonts w:ascii="Cambria" w:hAnsi="Cambria" w:cs="Arial"/>
          <w:sz w:val="22"/>
          <w:szCs w:val="22"/>
        </w:rPr>
      </w:pPr>
      <w:r>
        <w:rPr>
          <w:rFonts w:ascii="Cambria" w:hAnsi="Cambria"/>
          <w:sz w:val="22"/>
        </w:rPr>
        <w:lastRenderedPageBreak/>
        <w:t>Les indices économiques</w:t>
      </w:r>
      <w:r w:rsidRPr="00DD48BC">
        <w:rPr>
          <w:rFonts w:ascii="Cambria" w:hAnsi="Cambria"/>
          <w:sz w:val="16"/>
          <w:vertAlign w:val="superscript"/>
        </w:rPr>
        <w:footnoteReference w:id="2"/>
      </w:r>
      <w:r>
        <w:rPr>
          <w:rFonts w:ascii="Cambria" w:hAnsi="Cambria"/>
          <w:sz w:val="22"/>
        </w:rPr>
        <w:t xml:space="preserve"> confirment la dynamique déjà commentée et les résultats de gestion </w:t>
      </w:r>
      <w:r w:rsidR="00DC792B">
        <w:rPr>
          <w:rFonts w:ascii="Cambria" w:hAnsi="Cambria"/>
          <w:sz w:val="22"/>
        </w:rPr>
        <w:t>obtenus.</w:t>
      </w:r>
      <w:r>
        <w:rPr>
          <w:rFonts w:ascii="Cambria" w:hAnsi="Cambria"/>
          <w:sz w:val="22"/>
        </w:rPr>
        <w:t xml:space="preserve"> Au 30 juin 2021, on constate une croissance significative de l'EBITDA, qui s'élève à 34,2% des revenus contre 18,2% l'année précédente.</w:t>
      </w:r>
    </w:p>
    <w:p w14:paraId="186D02A0" w14:textId="431DCBD4" w:rsidR="00260280" w:rsidRPr="00C17031" w:rsidRDefault="00260280" w:rsidP="00260280">
      <w:pPr>
        <w:spacing w:after="200" w:line="276" w:lineRule="auto"/>
        <w:jc w:val="both"/>
        <w:rPr>
          <w:rFonts w:ascii="Cambria" w:hAnsi="Cambria"/>
          <w:sz w:val="22"/>
          <w:szCs w:val="22"/>
        </w:rPr>
      </w:pPr>
      <w:r>
        <w:rPr>
          <w:rFonts w:ascii="Cambria" w:hAnsi="Cambria"/>
          <w:sz w:val="22"/>
        </w:rPr>
        <w:t>Le tableau ci-dessous présente quelques ratios des états financiers</w:t>
      </w:r>
      <w:r w:rsidRPr="00C17031">
        <w:rPr>
          <w:rFonts w:ascii="Cambria" w:hAnsi="Cambria"/>
          <w:sz w:val="14"/>
          <w:szCs w:val="14"/>
        </w:rPr>
        <w:footnoteReference w:id="3"/>
      </w:r>
      <w:r>
        <w:rPr>
          <w:rFonts w:ascii="Cambria" w:hAnsi="Cambria"/>
          <w:sz w:val="22"/>
        </w:rPr>
        <w:t xml:space="preserve"> qui décrivent (i) les modes de financement des emprunts à moyen/long terme et (ii) la composition des sources de financement, comparés aux mêmes ratios relatifs aux états financiers de l'exercice clos au 31 décembre 2020.</w:t>
      </w:r>
    </w:p>
    <w:p w14:paraId="290A5FE3" w14:textId="1F4A2213" w:rsidR="005812D1" w:rsidRDefault="008D5497" w:rsidP="001B6BD6">
      <w:pPr>
        <w:spacing w:line="276" w:lineRule="auto"/>
        <w:jc w:val="both"/>
        <w:rPr>
          <w:rFonts w:ascii="Cambria" w:hAnsi="Cambria"/>
          <w:sz w:val="22"/>
          <w:szCs w:val="22"/>
        </w:rPr>
      </w:pPr>
      <w:r>
        <w:rPr>
          <w:rFonts w:ascii="Cambria" w:hAnsi="Cambria"/>
          <w:sz w:val="22"/>
        </w:rPr>
        <w:t>Le ratio actuel montre la capacité de l'entreprise à rembourser ses dettes. Dans les deux périodes de comparaison, le ratio met en évidence la capacité de l'entreprise à couvrir ses dettes avec ses propres actifs. Le ratio s'est détérioré au 30 juin 2021 par rapport à la période comparative, principalement en raison de l'augmentation de la dette financière à court terme.</w:t>
      </w:r>
    </w:p>
    <w:p w14:paraId="7CA6292C" w14:textId="0D8688A7" w:rsidR="00DB1F35" w:rsidRDefault="00DB1F35" w:rsidP="001B6BD6">
      <w:pPr>
        <w:spacing w:line="276" w:lineRule="auto"/>
        <w:jc w:val="both"/>
        <w:rPr>
          <w:rFonts w:ascii="Cambria" w:hAnsi="Cambria"/>
          <w:sz w:val="22"/>
          <w:szCs w:val="22"/>
        </w:rPr>
      </w:pPr>
    </w:p>
    <w:tbl>
      <w:tblPr>
        <w:tblW w:w="5000" w:type="pct"/>
        <w:tblCellMar>
          <w:left w:w="70" w:type="dxa"/>
          <w:right w:w="70" w:type="dxa"/>
        </w:tblCellMar>
        <w:tblLook w:val="04A0" w:firstRow="1" w:lastRow="0" w:firstColumn="1" w:lastColumn="0" w:noHBand="0" w:noVBand="1"/>
      </w:tblPr>
      <w:tblGrid>
        <w:gridCol w:w="6436"/>
        <w:gridCol w:w="1601"/>
        <w:gridCol w:w="1601"/>
      </w:tblGrid>
      <w:tr w:rsidR="00C72011" w14:paraId="52D96FD8" w14:textId="77777777" w:rsidTr="00C72011">
        <w:trPr>
          <w:trHeight w:val="495"/>
        </w:trPr>
        <w:tc>
          <w:tcPr>
            <w:tcW w:w="3038" w:type="pct"/>
            <w:tcBorders>
              <w:top w:val="single" w:sz="4" w:space="0" w:color="0070C0"/>
              <w:left w:val="nil"/>
              <w:bottom w:val="single" w:sz="8" w:space="0" w:color="0070C0"/>
              <w:right w:val="nil"/>
            </w:tcBorders>
            <w:shd w:val="clear" w:color="auto" w:fill="auto"/>
            <w:noWrap/>
            <w:vAlign w:val="bottom"/>
            <w:hideMark/>
          </w:tcPr>
          <w:p w14:paraId="7D166EBA" w14:textId="77777777" w:rsidR="00C72011" w:rsidRDefault="00C72011">
            <w:pPr>
              <w:outlineLvl w:val="0"/>
              <w:rPr>
                <w:rFonts w:ascii="Cambria" w:hAnsi="Cambria" w:cs="Arial"/>
                <w:color w:val="000000"/>
                <w:sz w:val="18"/>
                <w:szCs w:val="18"/>
              </w:rPr>
            </w:pPr>
            <w:r>
              <w:rPr>
                <w:rFonts w:ascii="Cambria" w:hAnsi="Cambria"/>
                <w:color w:val="000000"/>
                <w:sz w:val="18"/>
              </w:rPr>
              <w:t> </w:t>
            </w:r>
          </w:p>
        </w:tc>
        <w:tc>
          <w:tcPr>
            <w:tcW w:w="981" w:type="pct"/>
            <w:tcBorders>
              <w:top w:val="single" w:sz="4" w:space="0" w:color="0070C0"/>
              <w:left w:val="nil"/>
              <w:bottom w:val="single" w:sz="8" w:space="0" w:color="0070C0"/>
              <w:right w:val="nil"/>
            </w:tcBorders>
            <w:shd w:val="clear" w:color="auto" w:fill="auto"/>
            <w:vAlign w:val="bottom"/>
            <w:hideMark/>
          </w:tcPr>
          <w:p w14:paraId="60A2D3AD" w14:textId="77777777" w:rsidR="00C72011" w:rsidRDefault="00C72011">
            <w:pPr>
              <w:jc w:val="center"/>
              <w:outlineLvl w:val="0"/>
              <w:rPr>
                <w:rFonts w:ascii="Cambria" w:hAnsi="Cambria" w:cs="Arial"/>
                <w:b/>
                <w:bCs/>
                <w:color w:val="000000"/>
                <w:sz w:val="18"/>
                <w:szCs w:val="18"/>
              </w:rPr>
            </w:pPr>
            <w:r>
              <w:rPr>
                <w:rFonts w:ascii="Cambria" w:hAnsi="Cambria"/>
                <w:b/>
                <w:bCs/>
                <w:color w:val="000000"/>
                <w:sz w:val="18"/>
                <w:szCs w:val="18"/>
              </w:rPr>
              <w:br/>
            </w:r>
            <w:bookmarkStart w:id="29" w:name="_Toc101455477"/>
            <w:bookmarkStart w:id="30" w:name="_Toc112768605"/>
            <w:r>
              <w:rPr>
                <w:rFonts w:ascii="Cambria" w:hAnsi="Cambria"/>
                <w:b/>
                <w:color w:val="000000"/>
                <w:sz w:val="18"/>
              </w:rPr>
              <w:t>30 juin 2021</w:t>
            </w:r>
            <w:bookmarkEnd w:id="29"/>
            <w:bookmarkEnd w:id="30"/>
          </w:p>
        </w:tc>
        <w:tc>
          <w:tcPr>
            <w:tcW w:w="981" w:type="pct"/>
            <w:tcBorders>
              <w:top w:val="single" w:sz="4" w:space="0" w:color="0070C0"/>
              <w:left w:val="nil"/>
              <w:bottom w:val="single" w:sz="8" w:space="0" w:color="0070C0"/>
              <w:right w:val="nil"/>
            </w:tcBorders>
            <w:shd w:val="clear" w:color="auto" w:fill="auto"/>
            <w:vAlign w:val="bottom"/>
            <w:hideMark/>
          </w:tcPr>
          <w:p w14:paraId="619F6DD6" w14:textId="77777777" w:rsidR="00C72011" w:rsidRDefault="00C72011">
            <w:pPr>
              <w:jc w:val="center"/>
              <w:outlineLvl w:val="0"/>
              <w:rPr>
                <w:rFonts w:ascii="Cambria" w:hAnsi="Cambria" w:cs="Arial"/>
                <w:b/>
                <w:bCs/>
                <w:color w:val="000000"/>
                <w:sz w:val="18"/>
                <w:szCs w:val="18"/>
              </w:rPr>
            </w:pPr>
            <w:bookmarkStart w:id="31" w:name="_Toc101455478"/>
            <w:bookmarkStart w:id="32" w:name="_Toc112768606"/>
            <w:r>
              <w:rPr>
                <w:rFonts w:ascii="Cambria" w:hAnsi="Cambria"/>
                <w:b/>
                <w:color w:val="000000"/>
                <w:sz w:val="18"/>
              </w:rPr>
              <w:t>31 décembre 2020</w:t>
            </w:r>
            <w:bookmarkEnd w:id="31"/>
            <w:bookmarkEnd w:id="32"/>
          </w:p>
        </w:tc>
      </w:tr>
      <w:tr w:rsidR="00C72011" w14:paraId="1B434095" w14:textId="77777777" w:rsidTr="00C72011">
        <w:trPr>
          <w:trHeight w:val="240"/>
        </w:trPr>
        <w:tc>
          <w:tcPr>
            <w:tcW w:w="3038" w:type="pct"/>
            <w:tcBorders>
              <w:top w:val="nil"/>
              <w:left w:val="nil"/>
              <w:bottom w:val="nil"/>
              <w:right w:val="nil"/>
            </w:tcBorders>
            <w:shd w:val="clear" w:color="auto" w:fill="auto"/>
            <w:noWrap/>
            <w:vAlign w:val="bottom"/>
            <w:hideMark/>
          </w:tcPr>
          <w:p w14:paraId="7AA48071" w14:textId="77777777" w:rsidR="00C72011" w:rsidRPr="00A62102" w:rsidRDefault="00C72011">
            <w:pPr>
              <w:rPr>
                <w:rFonts w:ascii="Cambria" w:hAnsi="Cambria" w:cs="Arial"/>
                <w:color w:val="000000"/>
                <w:sz w:val="18"/>
                <w:szCs w:val="18"/>
              </w:rPr>
            </w:pPr>
            <w:r>
              <w:rPr>
                <w:rFonts w:ascii="Cambria" w:hAnsi="Cambria"/>
                <w:color w:val="000000"/>
                <w:sz w:val="18"/>
              </w:rPr>
              <w:t>Ratio à court terme (Actif à court terme / Passif à court terme)</w:t>
            </w:r>
          </w:p>
        </w:tc>
        <w:tc>
          <w:tcPr>
            <w:tcW w:w="981" w:type="pct"/>
            <w:tcBorders>
              <w:top w:val="nil"/>
              <w:left w:val="nil"/>
              <w:bottom w:val="nil"/>
              <w:right w:val="nil"/>
            </w:tcBorders>
            <w:shd w:val="clear" w:color="auto" w:fill="auto"/>
            <w:noWrap/>
            <w:vAlign w:val="bottom"/>
            <w:hideMark/>
          </w:tcPr>
          <w:p w14:paraId="13E05A20" w14:textId="77777777" w:rsidR="00C72011" w:rsidRDefault="00C72011" w:rsidP="00C72011">
            <w:pPr>
              <w:jc w:val="right"/>
              <w:rPr>
                <w:rFonts w:ascii="Cambria" w:hAnsi="Cambria" w:cs="Arial"/>
                <w:color w:val="000000"/>
                <w:sz w:val="18"/>
                <w:szCs w:val="18"/>
              </w:rPr>
            </w:pPr>
            <w:r>
              <w:rPr>
                <w:rFonts w:ascii="Cambria" w:hAnsi="Cambria"/>
                <w:color w:val="000000"/>
                <w:sz w:val="18"/>
              </w:rPr>
              <w:t xml:space="preserve">                          1,60 </w:t>
            </w:r>
          </w:p>
        </w:tc>
        <w:tc>
          <w:tcPr>
            <w:tcW w:w="981" w:type="pct"/>
            <w:tcBorders>
              <w:top w:val="nil"/>
              <w:left w:val="nil"/>
              <w:bottom w:val="nil"/>
              <w:right w:val="nil"/>
            </w:tcBorders>
            <w:shd w:val="clear" w:color="auto" w:fill="auto"/>
            <w:noWrap/>
            <w:vAlign w:val="bottom"/>
            <w:hideMark/>
          </w:tcPr>
          <w:p w14:paraId="20EE46D5" w14:textId="77777777" w:rsidR="00C72011" w:rsidRDefault="00C72011" w:rsidP="00C72011">
            <w:pPr>
              <w:jc w:val="right"/>
              <w:rPr>
                <w:rFonts w:ascii="Cambria" w:hAnsi="Cambria" w:cs="Arial"/>
                <w:color w:val="000000"/>
                <w:sz w:val="18"/>
                <w:szCs w:val="18"/>
              </w:rPr>
            </w:pPr>
            <w:r>
              <w:rPr>
                <w:rFonts w:ascii="Cambria" w:hAnsi="Cambria"/>
                <w:color w:val="000000"/>
                <w:sz w:val="18"/>
              </w:rPr>
              <w:t xml:space="preserve">                          1,93 </w:t>
            </w:r>
          </w:p>
        </w:tc>
      </w:tr>
      <w:tr w:rsidR="00C72011" w14:paraId="3093A943" w14:textId="77777777" w:rsidTr="00C72011">
        <w:trPr>
          <w:trHeight w:val="240"/>
        </w:trPr>
        <w:tc>
          <w:tcPr>
            <w:tcW w:w="3038" w:type="pct"/>
            <w:tcBorders>
              <w:top w:val="nil"/>
              <w:left w:val="nil"/>
              <w:bottom w:val="nil"/>
              <w:right w:val="nil"/>
            </w:tcBorders>
            <w:shd w:val="clear" w:color="auto" w:fill="auto"/>
            <w:noWrap/>
            <w:vAlign w:val="bottom"/>
            <w:hideMark/>
          </w:tcPr>
          <w:p w14:paraId="7E115BFB" w14:textId="77777777" w:rsidR="00C72011" w:rsidRDefault="00C72011">
            <w:pPr>
              <w:rPr>
                <w:rFonts w:ascii="Cambria" w:hAnsi="Cambria" w:cs="Arial"/>
                <w:color w:val="000000"/>
                <w:sz w:val="18"/>
                <w:szCs w:val="18"/>
              </w:rPr>
            </w:pPr>
            <w:r>
              <w:rPr>
                <w:rFonts w:ascii="Cambria" w:hAnsi="Cambria"/>
                <w:color w:val="000000"/>
                <w:sz w:val="18"/>
              </w:rPr>
              <w:t xml:space="preserve">Ratio de liquidité restreinte (actif à court terme - </w:t>
            </w:r>
            <w:proofErr w:type="gramStart"/>
            <w:r>
              <w:rPr>
                <w:rFonts w:ascii="Cambria" w:hAnsi="Cambria"/>
                <w:color w:val="000000"/>
                <w:sz w:val="18"/>
              </w:rPr>
              <w:t>Stocks)/</w:t>
            </w:r>
            <w:proofErr w:type="gramEnd"/>
            <w:r>
              <w:rPr>
                <w:rFonts w:ascii="Cambria" w:hAnsi="Cambria"/>
                <w:color w:val="000000"/>
                <w:sz w:val="18"/>
              </w:rPr>
              <w:t>Passif à court terme</w:t>
            </w:r>
          </w:p>
        </w:tc>
        <w:tc>
          <w:tcPr>
            <w:tcW w:w="981" w:type="pct"/>
            <w:tcBorders>
              <w:top w:val="nil"/>
              <w:left w:val="nil"/>
              <w:bottom w:val="nil"/>
              <w:right w:val="nil"/>
            </w:tcBorders>
            <w:shd w:val="clear" w:color="auto" w:fill="auto"/>
            <w:noWrap/>
            <w:vAlign w:val="bottom"/>
            <w:hideMark/>
          </w:tcPr>
          <w:p w14:paraId="7B02B3CD" w14:textId="77777777" w:rsidR="00C72011" w:rsidRDefault="00C72011" w:rsidP="00C72011">
            <w:pPr>
              <w:jc w:val="right"/>
              <w:rPr>
                <w:rFonts w:ascii="Cambria" w:hAnsi="Cambria" w:cs="Arial"/>
                <w:color w:val="000000"/>
                <w:sz w:val="18"/>
                <w:szCs w:val="18"/>
              </w:rPr>
            </w:pPr>
            <w:r>
              <w:rPr>
                <w:rFonts w:ascii="Cambria" w:hAnsi="Cambria"/>
                <w:color w:val="000000"/>
                <w:sz w:val="18"/>
              </w:rPr>
              <w:t xml:space="preserve">                          0,98 </w:t>
            </w:r>
          </w:p>
        </w:tc>
        <w:tc>
          <w:tcPr>
            <w:tcW w:w="981" w:type="pct"/>
            <w:tcBorders>
              <w:top w:val="nil"/>
              <w:left w:val="nil"/>
              <w:bottom w:val="nil"/>
              <w:right w:val="nil"/>
            </w:tcBorders>
            <w:shd w:val="clear" w:color="auto" w:fill="auto"/>
            <w:noWrap/>
            <w:vAlign w:val="bottom"/>
            <w:hideMark/>
          </w:tcPr>
          <w:p w14:paraId="31B8B6FC" w14:textId="77777777" w:rsidR="00C72011" w:rsidRDefault="00C72011" w:rsidP="00C72011">
            <w:pPr>
              <w:jc w:val="right"/>
              <w:rPr>
                <w:rFonts w:ascii="Cambria" w:hAnsi="Cambria" w:cs="Arial"/>
                <w:color w:val="000000"/>
                <w:sz w:val="18"/>
                <w:szCs w:val="18"/>
              </w:rPr>
            </w:pPr>
            <w:r>
              <w:rPr>
                <w:rFonts w:ascii="Cambria" w:hAnsi="Cambria"/>
                <w:color w:val="000000"/>
                <w:sz w:val="18"/>
              </w:rPr>
              <w:t xml:space="preserve">                          1,16 </w:t>
            </w:r>
          </w:p>
        </w:tc>
      </w:tr>
      <w:tr w:rsidR="00C72011" w14:paraId="74B8AED2" w14:textId="77777777" w:rsidTr="00C72011">
        <w:trPr>
          <w:trHeight w:val="240"/>
        </w:trPr>
        <w:tc>
          <w:tcPr>
            <w:tcW w:w="3038" w:type="pct"/>
            <w:tcBorders>
              <w:top w:val="nil"/>
              <w:left w:val="nil"/>
              <w:bottom w:val="nil"/>
              <w:right w:val="nil"/>
            </w:tcBorders>
            <w:shd w:val="clear" w:color="auto" w:fill="auto"/>
            <w:noWrap/>
            <w:vAlign w:val="bottom"/>
            <w:hideMark/>
          </w:tcPr>
          <w:p w14:paraId="2BD1345A" w14:textId="77777777" w:rsidR="00C72011" w:rsidRDefault="00C72011">
            <w:pPr>
              <w:rPr>
                <w:rFonts w:ascii="Cambria" w:hAnsi="Cambria" w:cs="Arial"/>
                <w:color w:val="000000"/>
                <w:sz w:val="18"/>
                <w:szCs w:val="18"/>
              </w:rPr>
            </w:pPr>
            <w:r>
              <w:rPr>
                <w:rFonts w:ascii="Cambria" w:hAnsi="Cambria"/>
                <w:color w:val="000000"/>
                <w:sz w:val="18"/>
              </w:rPr>
              <w:t>Actif immobilisé (CP - Immobilisations)</w:t>
            </w:r>
          </w:p>
        </w:tc>
        <w:tc>
          <w:tcPr>
            <w:tcW w:w="981" w:type="pct"/>
            <w:tcBorders>
              <w:top w:val="nil"/>
              <w:left w:val="nil"/>
              <w:bottom w:val="nil"/>
              <w:right w:val="nil"/>
            </w:tcBorders>
            <w:shd w:val="clear" w:color="auto" w:fill="auto"/>
            <w:noWrap/>
            <w:vAlign w:val="bottom"/>
            <w:hideMark/>
          </w:tcPr>
          <w:p w14:paraId="13D21F57" w14:textId="77777777" w:rsidR="00C72011" w:rsidRDefault="00C72011" w:rsidP="00C72011">
            <w:pPr>
              <w:jc w:val="right"/>
              <w:rPr>
                <w:rFonts w:ascii="Cambria" w:hAnsi="Cambria" w:cs="Arial"/>
                <w:color w:val="000000"/>
                <w:sz w:val="18"/>
                <w:szCs w:val="18"/>
              </w:rPr>
            </w:pPr>
            <w:r>
              <w:rPr>
                <w:rFonts w:ascii="Cambria" w:hAnsi="Cambria"/>
                <w:color w:val="000000"/>
                <w:sz w:val="18"/>
              </w:rPr>
              <w:t>(934 638)</w:t>
            </w:r>
          </w:p>
        </w:tc>
        <w:tc>
          <w:tcPr>
            <w:tcW w:w="981" w:type="pct"/>
            <w:tcBorders>
              <w:top w:val="nil"/>
              <w:left w:val="nil"/>
              <w:bottom w:val="nil"/>
              <w:right w:val="nil"/>
            </w:tcBorders>
            <w:shd w:val="clear" w:color="auto" w:fill="auto"/>
            <w:noWrap/>
            <w:vAlign w:val="bottom"/>
            <w:hideMark/>
          </w:tcPr>
          <w:p w14:paraId="7F08FA62" w14:textId="77777777" w:rsidR="00C72011" w:rsidRDefault="00C72011" w:rsidP="00C72011">
            <w:pPr>
              <w:jc w:val="right"/>
              <w:rPr>
                <w:rFonts w:ascii="Cambria" w:hAnsi="Cambria" w:cs="Arial"/>
                <w:color w:val="000000"/>
                <w:sz w:val="18"/>
                <w:szCs w:val="18"/>
              </w:rPr>
            </w:pPr>
            <w:r>
              <w:rPr>
                <w:rFonts w:ascii="Cambria" w:hAnsi="Cambria"/>
                <w:color w:val="000000"/>
                <w:sz w:val="18"/>
              </w:rPr>
              <w:t xml:space="preserve">                      49 226 </w:t>
            </w:r>
          </w:p>
        </w:tc>
      </w:tr>
      <w:tr w:rsidR="00C72011" w14:paraId="3137E416" w14:textId="77777777" w:rsidTr="00C72011">
        <w:trPr>
          <w:trHeight w:val="240"/>
        </w:trPr>
        <w:tc>
          <w:tcPr>
            <w:tcW w:w="3038" w:type="pct"/>
            <w:tcBorders>
              <w:top w:val="nil"/>
              <w:left w:val="nil"/>
              <w:bottom w:val="nil"/>
              <w:right w:val="nil"/>
            </w:tcBorders>
            <w:shd w:val="clear" w:color="auto" w:fill="auto"/>
            <w:noWrap/>
            <w:vAlign w:val="bottom"/>
            <w:hideMark/>
          </w:tcPr>
          <w:p w14:paraId="6C179457" w14:textId="77777777" w:rsidR="00C72011" w:rsidRDefault="00C72011">
            <w:pPr>
              <w:rPr>
                <w:rFonts w:ascii="Cambria" w:hAnsi="Cambria" w:cs="Arial"/>
                <w:color w:val="000000"/>
                <w:sz w:val="18"/>
                <w:szCs w:val="18"/>
              </w:rPr>
            </w:pPr>
            <w:r>
              <w:rPr>
                <w:rFonts w:ascii="Cambria" w:hAnsi="Cambria"/>
                <w:color w:val="000000"/>
                <w:sz w:val="18"/>
              </w:rPr>
              <w:t>Actifs/passifs immobilisés et marge des fonds propres (CP+MLP-Immobilisations)</w:t>
            </w:r>
          </w:p>
        </w:tc>
        <w:tc>
          <w:tcPr>
            <w:tcW w:w="981" w:type="pct"/>
            <w:tcBorders>
              <w:top w:val="nil"/>
              <w:left w:val="nil"/>
              <w:bottom w:val="nil"/>
              <w:right w:val="nil"/>
            </w:tcBorders>
            <w:shd w:val="clear" w:color="auto" w:fill="auto"/>
            <w:noWrap/>
            <w:vAlign w:val="bottom"/>
            <w:hideMark/>
          </w:tcPr>
          <w:p w14:paraId="5FA2B6BA" w14:textId="77777777" w:rsidR="00C72011" w:rsidRDefault="00C72011" w:rsidP="00C72011">
            <w:pPr>
              <w:jc w:val="right"/>
              <w:rPr>
                <w:rFonts w:ascii="Cambria" w:hAnsi="Cambria" w:cs="Arial"/>
                <w:color w:val="000000"/>
                <w:sz w:val="18"/>
                <w:szCs w:val="18"/>
              </w:rPr>
            </w:pPr>
            <w:r>
              <w:rPr>
                <w:rFonts w:ascii="Cambria" w:hAnsi="Cambria"/>
                <w:color w:val="000000"/>
                <w:sz w:val="18"/>
              </w:rPr>
              <w:t xml:space="preserve">              10 192 338 </w:t>
            </w:r>
          </w:p>
        </w:tc>
        <w:tc>
          <w:tcPr>
            <w:tcW w:w="981" w:type="pct"/>
            <w:tcBorders>
              <w:top w:val="nil"/>
              <w:left w:val="nil"/>
              <w:bottom w:val="nil"/>
              <w:right w:val="nil"/>
            </w:tcBorders>
            <w:shd w:val="clear" w:color="auto" w:fill="auto"/>
            <w:noWrap/>
            <w:vAlign w:val="bottom"/>
            <w:hideMark/>
          </w:tcPr>
          <w:p w14:paraId="0048F7C8" w14:textId="77777777" w:rsidR="00C72011" w:rsidRDefault="00C72011" w:rsidP="00C72011">
            <w:pPr>
              <w:jc w:val="right"/>
              <w:rPr>
                <w:rFonts w:ascii="Cambria" w:hAnsi="Cambria" w:cs="Arial"/>
                <w:color w:val="000000"/>
                <w:sz w:val="18"/>
                <w:szCs w:val="18"/>
              </w:rPr>
            </w:pPr>
            <w:r>
              <w:rPr>
                <w:rFonts w:ascii="Cambria" w:hAnsi="Cambria"/>
                <w:color w:val="000000"/>
                <w:sz w:val="18"/>
              </w:rPr>
              <w:t xml:space="preserve">              13 198 550 </w:t>
            </w:r>
          </w:p>
        </w:tc>
      </w:tr>
    </w:tbl>
    <w:p w14:paraId="7D353852" w14:textId="122F82F1" w:rsidR="00DB1F35" w:rsidRDefault="00DB1F35" w:rsidP="001B6BD6">
      <w:pPr>
        <w:spacing w:line="276" w:lineRule="auto"/>
        <w:jc w:val="both"/>
        <w:rPr>
          <w:rFonts w:ascii="Cambria" w:hAnsi="Cambria"/>
          <w:sz w:val="22"/>
          <w:szCs w:val="22"/>
        </w:rPr>
      </w:pPr>
    </w:p>
    <w:p w14:paraId="0E0D54F2" w14:textId="77777777" w:rsidR="004E1A57" w:rsidRDefault="004E1A57" w:rsidP="001B6BD6">
      <w:pPr>
        <w:spacing w:line="276" w:lineRule="auto"/>
        <w:jc w:val="both"/>
        <w:rPr>
          <w:rFonts w:ascii="Cambria" w:hAnsi="Cambria"/>
          <w:sz w:val="22"/>
          <w:szCs w:val="22"/>
        </w:rPr>
      </w:pPr>
    </w:p>
    <w:p w14:paraId="51E6F0EC" w14:textId="77777777" w:rsidR="001B6D59" w:rsidRPr="001B6D59" w:rsidRDefault="001B6D59" w:rsidP="001B6D59">
      <w:pPr>
        <w:pStyle w:val="Titolo2"/>
        <w:spacing w:line="360" w:lineRule="auto"/>
        <w:ind w:left="0"/>
        <w:jc w:val="left"/>
        <w:rPr>
          <w:i w:val="0"/>
        </w:rPr>
      </w:pPr>
      <w:bookmarkStart w:id="33" w:name="_Toc112768607"/>
      <w:r>
        <w:rPr>
          <w:i w:val="0"/>
        </w:rPr>
        <w:t>Informations relatives à l'environnement et au personnel</w:t>
      </w:r>
      <w:bookmarkEnd w:id="33"/>
    </w:p>
    <w:p w14:paraId="23B55E0F" w14:textId="6E997517" w:rsidR="002F6364" w:rsidRPr="00C17031" w:rsidRDefault="002F6364" w:rsidP="002F6364">
      <w:pPr>
        <w:spacing w:after="200" w:line="276" w:lineRule="auto"/>
        <w:jc w:val="both"/>
        <w:rPr>
          <w:rFonts w:ascii="Cambria" w:hAnsi="Cambria"/>
          <w:sz w:val="22"/>
          <w:szCs w:val="22"/>
        </w:rPr>
      </w:pPr>
      <w:r>
        <w:rPr>
          <w:rFonts w:ascii="Cambria" w:hAnsi="Cambria"/>
          <w:sz w:val="22"/>
        </w:rPr>
        <w:t xml:space="preserve">Compte tenu du rôle social de la société, également mis en évidence par le document sur le rapport de gestion du National Institute of </w:t>
      </w:r>
      <w:proofErr w:type="spellStart"/>
      <w:r>
        <w:rPr>
          <w:rFonts w:ascii="Cambria" w:hAnsi="Cambria"/>
          <w:sz w:val="22"/>
        </w:rPr>
        <w:t>Chartered</w:t>
      </w:r>
      <w:proofErr w:type="spellEnd"/>
      <w:r>
        <w:rPr>
          <w:rFonts w:ascii="Cambria" w:hAnsi="Cambria"/>
          <w:sz w:val="22"/>
        </w:rPr>
        <w:t xml:space="preserve"> </w:t>
      </w:r>
      <w:proofErr w:type="spellStart"/>
      <w:r>
        <w:rPr>
          <w:rFonts w:ascii="Cambria" w:hAnsi="Cambria"/>
          <w:sz w:val="22"/>
        </w:rPr>
        <w:t>Accountant</w:t>
      </w:r>
      <w:proofErr w:type="spellEnd"/>
      <w:r>
        <w:rPr>
          <w:rFonts w:ascii="Cambria" w:hAnsi="Cambria"/>
          <w:sz w:val="22"/>
        </w:rPr>
        <w:t>, il est jugé opportun de fournir les informations suivantes relatives à l'environnement et au personnel :</w:t>
      </w:r>
    </w:p>
    <w:p w14:paraId="7FE6347F" w14:textId="77777777" w:rsidR="001B6D59" w:rsidRPr="00C17031" w:rsidRDefault="001B6D59" w:rsidP="002F6364">
      <w:pPr>
        <w:spacing w:after="200" w:line="276" w:lineRule="auto"/>
        <w:jc w:val="both"/>
        <w:rPr>
          <w:rFonts w:ascii="Cambria" w:hAnsi="Cambria"/>
          <w:b/>
          <w:bCs/>
          <w:i/>
          <w:iCs/>
          <w:sz w:val="22"/>
          <w:szCs w:val="22"/>
        </w:rPr>
      </w:pPr>
      <w:r>
        <w:rPr>
          <w:rFonts w:ascii="Cambria" w:hAnsi="Cambria"/>
          <w:b/>
          <w:i/>
          <w:sz w:val="22"/>
        </w:rPr>
        <w:t>Personnel</w:t>
      </w:r>
    </w:p>
    <w:p w14:paraId="3D78DE2E" w14:textId="77777777" w:rsidR="001B6D59" w:rsidRPr="00C17031" w:rsidRDefault="001B6D59" w:rsidP="001B6D59">
      <w:pPr>
        <w:spacing w:after="200" w:line="276" w:lineRule="auto"/>
        <w:jc w:val="both"/>
        <w:rPr>
          <w:rFonts w:ascii="Cambria" w:hAnsi="Cambria"/>
          <w:sz w:val="22"/>
          <w:szCs w:val="22"/>
        </w:rPr>
      </w:pPr>
      <w:r>
        <w:rPr>
          <w:rFonts w:ascii="Cambria" w:hAnsi="Cambria"/>
          <w:sz w:val="22"/>
        </w:rPr>
        <w:t>Au cours de la période de référence :</w:t>
      </w:r>
    </w:p>
    <w:p w14:paraId="60F04FDE" w14:textId="77777777" w:rsidR="001B6D59" w:rsidRPr="00C17031" w:rsidRDefault="001B6D59" w:rsidP="001B6D59">
      <w:pPr>
        <w:pStyle w:val="Paragrafoelenco"/>
        <w:numPr>
          <w:ilvl w:val="0"/>
          <w:numId w:val="41"/>
        </w:numPr>
        <w:spacing w:after="200" w:line="276" w:lineRule="auto"/>
        <w:jc w:val="both"/>
        <w:rPr>
          <w:rFonts w:ascii="Cambria" w:hAnsi="Cambria"/>
          <w:sz w:val="22"/>
          <w:szCs w:val="22"/>
        </w:rPr>
      </w:pPr>
      <w:proofErr w:type="gramStart"/>
      <w:r>
        <w:rPr>
          <w:rFonts w:ascii="Cambria" w:hAnsi="Cambria"/>
          <w:sz w:val="22"/>
        </w:rPr>
        <w:t>aucun</w:t>
      </w:r>
      <w:proofErr w:type="gramEnd"/>
      <w:r>
        <w:rPr>
          <w:rFonts w:ascii="Cambria" w:hAnsi="Cambria"/>
          <w:sz w:val="22"/>
        </w:rPr>
        <w:t xml:space="preserve"> accident grave sur le lieu de travail n'a entraîné de blessures graves pour le personnel inscrit au registre des employés ;</w:t>
      </w:r>
    </w:p>
    <w:p w14:paraId="7E34EA96" w14:textId="77777777" w:rsidR="001B6D59" w:rsidRPr="00C17031" w:rsidRDefault="001B6D59" w:rsidP="008A28F5">
      <w:pPr>
        <w:pStyle w:val="Paragrafoelenco"/>
        <w:numPr>
          <w:ilvl w:val="0"/>
          <w:numId w:val="41"/>
        </w:numPr>
        <w:spacing w:line="276" w:lineRule="auto"/>
        <w:jc w:val="both"/>
        <w:rPr>
          <w:rFonts w:ascii="Cambria" w:hAnsi="Cambria"/>
          <w:sz w:val="22"/>
          <w:szCs w:val="22"/>
        </w:rPr>
      </w:pPr>
      <w:proofErr w:type="gramStart"/>
      <w:r>
        <w:rPr>
          <w:rFonts w:ascii="Cambria" w:hAnsi="Cambria"/>
          <w:sz w:val="22"/>
        </w:rPr>
        <w:t>il</w:t>
      </w:r>
      <w:proofErr w:type="gramEnd"/>
      <w:r>
        <w:rPr>
          <w:rFonts w:ascii="Cambria" w:hAnsi="Cambria"/>
          <w:sz w:val="22"/>
        </w:rPr>
        <w:t xml:space="preserve"> n'y a pas eu de charges relatives à des maladies professionnelles impliquant des salariés ou d'anciens salariés et des causes de mobbing pour lesquelles l'entreprise a été déclarée définitivement responsable.</w:t>
      </w:r>
    </w:p>
    <w:p w14:paraId="4F186EC2" w14:textId="12505D7B" w:rsidR="001B6D59" w:rsidRPr="00C17031" w:rsidRDefault="001B6D59" w:rsidP="008A28F5">
      <w:pPr>
        <w:spacing w:line="276" w:lineRule="auto"/>
        <w:jc w:val="both"/>
        <w:rPr>
          <w:rFonts w:ascii="Cambria" w:hAnsi="Cambria"/>
          <w:sz w:val="22"/>
          <w:szCs w:val="22"/>
        </w:rPr>
      </w:pPr>
      <w:r>
        <w:rPr>
          <w:rFonts w:ascii="Cambria" w:hAnsi="Cambria"/>
          <w:sz w:val="22"/>
        </w:rPr>
        <w:lastRenderedPageBreak/>
        <w:t xml:space="preserve">Au cours de la période, le Groupe a réalisé des investissements pour la sécurité du personnel. </w:t>
      </w:r>
    </w:p>
    <w:p w14:paraId="775DE276" w14:textId="693A427C" w:rsidR="001B6D59" w:rsidRDefault="001B6D59" w:rsidP="008A28F5">
      <w:pPr>
        <w:spacing w:line="276" w:lineRule="auto"/>
        <w:jc w:val="both"/>
        <w:rPr>
          <w:rFonts w:ascii="Cambria" w:hAnsi="Cambria"/>
          <w:sz w:val="22"/>
          <w:szCs w:val="22"/>
        </w:rPr>
      </w:pPr>
      <w:r>
        <w:rPr>
          <w:rFonts w:ascii="Cambria" w:hAnsi="Cambria"/>
          <w:sz w:val="22"/>
        </w:rPr>
        <w:t>Les effectifs au 30 juin 2021, nets des cessations d'activité, sont les suivants :</w:t>
      </w:r>
    </w:p>
    <w:tbl>
      <w:tblPr>
        <w:tblW w:w="5000" w:type="pct"/>
        <w:tblCellMar>
          <w:left w:w="70" w:type="dxa"/>
          <w:right w:w="70" w:type="dxa"/>
        </w:tblCellMar>
        <w:tblLook w:val="04A0" w:firstRow="1" w:lastRow="0" w:firstColumn="1" w:lastColumn="0" w:noHBand="0" w:noVBand="1"/>
      </w:tblPr>
      <w:tblGrid>
        <w:gridCol w:w="3164"/>
        <w:gridCol w:w="2096"/>
        <w:gridCol w:w="2312"/>
        <w:gridCol w:w="2066"/>
      </w:tblGrid>
      <w:tr w:rsidR="00776BEE" w:rsidRPr="0076441B" w14:paraId="186A4373" w14:textId="77777777" w:rsidTr="00454CF1">
        <w:trPr>
          <w:trHeight w:val="495"/>
        </w:trPr>
        <w:tc>
          <w:tcPr>
            <w:tcW w:w="1641" w:type="pct"/>
            <w:tcBorders>
              <w:top w:val="single" w:sz="4" w:space="0" w:color="0070C0"/>
              <w:left w:val="nil"/>
              <w:bottom w:val="single" w:sz="8" w:space="0" w:color="0070C0"/>
              <w:right w:val="nil"/>
            </w:tcBorders>
            <w:shd w:val="clear" w:color="auto" w:fill="auto"/>
            <w:noWrap/>
            <w:vAlign w:val="bottom"/>
            <w:hideMark/>
          </w:tcPr>
          <w:p w14:paraId="743C092B" w14:textId="77777777" w:rsidR="00776BEE" w:rsidRPr="0076441B" w:rsidRDefault="00776BEE" w:rsidP="008A28F5">
            <w:pPr>
              <w:rPr>
                <w:rFonts w:ascii="Cambria" w:hAnsi="Cambria" w:cs="Arial"/>
                <w:color w:val="000000"/>
                <w:sz w:val="18"/>
                <w:szCs w:val="18"/>
              </w:rPr>
            </w:pPr>
            <w:r>
              <w:rPr>
                <w:rFonts w:ascii="Cambria" w:hAnsi="Cambria"/>
                <w:color w:val="000000"/>
                <w:sz w:val="18"/>
              </w:rPr>
              <w:t>(Nb unités)</w:t>
            </w:r>
          </w:p>
        </w:tc>
        <w:tc>
          <w:tcPr>
            <w:tcW w:w="1087" w:type="pct"/>
            <w:tcBorders>
              <w:top w:val="single" w:sz="4" w:space="0" w:color="0070C0"/>
              <w:left w:val="nil"/>
              <w:bottom w:val="single" w:sz="8" w:space="0" w:color="0070C0"/>
              <w:right w:val="nil"/>
            </w:tcBorders>
            <w:shd w:val="clear" w:color="auto" w:fill="auto"/>
            <w:vAlign w:val="bottom"/>
            <w:hideMark/>
          </w:tcPr>
          <w:p w14:paraId="3E38B254" w14:textId="77777777" w:rsidR="00776BEE" w:rsidRPr="0076441B" w:rsidRDefault="00776BEE" w:rsidP="008A28F5">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1199" w:type="pct"/>
            <w:tcBorders>
              <w:top w:val="single" w:sz="4" w:space="0" w:color="0070C0"/>
              <w:left w:val="nil"/>
              <w:bottom w:val="single" w:sz="8" w:space="0" w:color="0070C0"/>
              <w:right w:val="nil"/>
            </w:tcBorders>
            <w:shd w:val="clear" w:color="auto" w:fill="auto"/>
            <w:vAlign w:val="bottom"/>
            <w:hideMark/>
          </w:tcPr>
          <w:p w14:paraId="201E1629" w14:textId="77777777" w:rsidR="00776BEE" w:rsidRPr="0076441B" w:rsidRDefault="00776BEE" w:rsidP="008A28F5">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c>
          <w:tcPr>
            <w:tcW w:w="1072" w:type="pct"/>
            <w:tcBorders>
              <w:top w:val="single" w:sz="4" w:space="0" w:color="0070C0"/>
              <w:left w:val="nil"/>
              <w:bottom w:val="single" w:sz="8" w:space="0" w:color="0070C0"/>
              <w:right w:val="nil"/>
            </w:tcBorders>
            <w:shd w:val="clear" w:color="auto" w:fill="auto"/>
            <w:vAlign w:val="bottom"/>
            <w:hideMark/>
          </w:tcPr>
          <w:p w14:paraId="3D44EDF9" w14:textId="77777777" w:rsidR="00776BEE" w:rsidRPr="0076441B" w:rsidRDefault="00776BEE" w:rsidP="008A28F5">
            <w:pPr>
              <w:jc w:val="center"/>
              <w:rPr>
                <w:rFonts w:ascii="Cambria" w:hAnsi="Cambria" w:cs="Arial"/>
                <w:b/>
                <w:bCs/>
                <w:color w:val="000000"/>
                <w:sz w:val="18"/>
                <w:szCs w:val="18"/>
              </w:rPr>
            </w:pPr>
            <w:r>
              <w:rPr>
                <w:rFonts w:ascii="Cambria" w:hAnsi="Cambria"/>
                <w:b/>
                <w:color w:val="000000"/>
                <w:sz w:val="18"/>
              </w:rPr>
              <w:t>Variations</w:t>
            </w:r>
          </w:p>
        </w:tc>
      </w:tr>
      <w:tr w:rsidR="00454CF1" w:rsidRPr="0076441B" w14:paraId="1C3DDE1B" w14:textId="77777777" w:rsidTr="00454CF1">
        <w:trPr>
          <w:trHeight w:val="240"/>
        </w:trPr>
        <w:tc>
          <w:tcPr>
            <w:tcW w:w="1641" w:type="pct"/>
            <w:tcBorders>
              <w:top w:val="nil"/>
              <w:left w:val="nil"/>
              <w:bottom w:val="nil"/>
              <w:right w:val="nil"/>
            </w:tcBorders>
            <w:shd w:val="clear" w:color="auto" w:fill="auto"/>
            <w:noWrap/>
            <w:vAlign w:val="bottom"/>
          </w:tcPr>
          <w:p w14:paraId="6C5BDFCF" w14:textId="1C41B54C" w:rsidR="00454CF1" w:rsidRPr="0076441B" w:rsidRDefault="00454CF1" w:rsidP="008A28F5">
            <w:pPr>
              <w:rPr>
                <w:rFonts w:ascii="Cambria" w:hAnsi="Cambria" w:cs="Arial"/>
                <w:b/>
                <w:bCs/>
                <w:color w:val="000000"/>
                <w:sz w:val="18"/>
                <w:szCs w:val="18"/>
              </w:rPr>
            </w:pPr>
            <w:r>
              <w:rPr>
                <w:rFonts w:ascii="Cambria" w:hAnsi="Cambria"/>
                <w:b/>
                <w:color w:val="000000"/>
                <w:sz w:val="18"/>
              </w:rPr>
              <w:t>Take OFF</w:t>
            </w:r>
          </w:p>
        </w:tc>
        <w:tc>
          <w:tcPr>
            <w:tcW w:w="1087" w:type="pct"/>
            <w:tcBorders>
              <w:top w:val="nil"/>
              <w:left w:val="nil"/>
              <w:bottom w:val="nil"/>
              <w:right w:val="nil"/>
            </w:tcBorders>
            <w:shd w:val="clear" w:color="auto" w:fill="auto"/>
            <w:noWrap/>
            <w:vAlign w:val="bottom"/>
          </w:tcPr>
          <w:p w14:paraId="1BA5ED48" w14:textId="77777777" w:rsidR="00454CF1" w:rsidRPr="0076441B" w:rsidRDefault="00454CF1" w:rsidP="008A28F5">
            <w:pPr>
              <w:rPr>
                <w:rFonts w:ascii="Cambria" w:hAnsi="Cambria" w:cs="Arial"/>
                <w:b/>
                <w:bCs/>
                <w:color w:val="000000"/>
                <w:sz w:val="18"/>
                <w:szCs w:val="18"/>
              </w:rPr>
            </w:pPr>
          </w:p>
        </w:tc>
        <w:tc>
          <w:tcPr>
            <w:tcW w:w="1199" w:type="pct"/>
            <w:tcBorders>
              <w:top w:val="nil"/>
              <w:left w:val="nil"/>
              <w:bottom w:val="nil"/>
              <w:right w:val="nil"/>
            </w:tcBorders>
            <w:shd w:val="clear" w:color="auto" w:fill="auto"/>
            <w:noWrap/>
            <w:vAlign w:val="bottom"/>
          </w:tcPr>
          <w:p w14:paraId="478C97FB" w14:textId="77777777" w:rsidR="00454CF1" w:rsidRPr="0076441B" w:rsidRDefault="00454CF1" w:rsidP="008A28F5">
            <w:pPr>
              <w:rPr>
                <w:b/>
                <w:bCs/>
                <w:sz w:val="20"/>
                <w:szCs w:val="20"/>
              </w:rPr>
            </w:pPr>
          </w:p>
        </w:tc>
        <w:tc>
          <w:tcPr>
            <w:tcW w:w="1072" w:type="pct"/>
            <w:tcBorders>
              <w:top w:val="nil"/>
              <w:left w:val="nil"/>
              <w:bottom w:val="nil"/>
              <w:right w:val="nil"/>
            </w:tcBorders>
            <w:shd w:val="clear" w:color="auto" w:fill="auto"/>
            <w:noWrap/>
            <w:vAlign w:val="bottom"/>
          </w:tcPr>
          <w:p w14:paraId="77AF5431" w14:textId="77777777" w:rsidR="00454CF1" w:rsidRPr="0076441B" w:rsidRDefault="00454CF1" w:rsidP="008A28F5">
            <w:pPr>
              <w:jc w:val="right"/>
              <w:rPr>
                <w:rFonts w:ascii="Cambria" w:hAnsi="Cambria" w:cs="Arial"/>
                <w:b/>
                <w:bCs/>
                <w:color w:val="000000"/>
                <w:sz w:val="18"/>
                <w:szCs w:val="18"/>
              </w:rPr>
            </w:pPr>
          </w:p>
        </w:tc>
      </w:tr>
      <w:tr w:rsidR="00776BEE" w:rsidRPr="0076441B" w14:paraId="1B9CAF2F" w14:textId="77777777" w:rsidTr="00454CF1">
        <w:trPr>
          <w:trHeight w:val="240"/>
        </w:trPr>
        <w:tc>
          <w:tcPr>
            <w:tcW w:w="1641" w:type="pct"/>
            <w:tcBorders>
              <w:top w:val="nil"/>
              <w:left w:val="nil"/>
              <w:bottom w:val="nil"/>
              <w:right w:val="nil"/>
            </w:tcBorders>
            <w:shd w:val="clear" w:color="auto" w:fill="auto"/>
            <w:noWrap/>
            <w:vAlign w:val="bottom"/>
            <w:hideMark/>
          </w:tcPr>
          <w:p w14:paraId="3FAA4C06" w14:textId="77777777" w:rsidR="00776BEE" w:rsidRPr="0076441B" w:rsidRDefault="00776BEE" w:rsidP="008A28F5">
            <w:pPr>
              <w:rPr>
                <w:rFonts w:ascii="Cambria" w:hAnsi="Cambria" w:cs="Arial"/>
                <w:color w:val="000000"/>
                <w:sz w:val="18"/>
                <w:szCs w:val="18"/>
              </w:rPr>
            </w:pPr>
            <w:r>
              <w:rPr>
                <w:rFonts w:ascii="Cambria" w:hAnsi="Cambria"/>
                <w:color w:val="000000"/>
                <w:sz w:val="18"/>
              </w:rPr>
              <w:t>Employés de bureau</w:t>
            </w:r>
          </w:p>
        </w:tc>
        <w:tc>
          <w:tcPr>
            <w:tcW w:w="1087" w:type="pct"/>
            <w:tcBorders>
              <w:top w:val="nil"/>
              <w:left w:val="nil"/>
              <w:bottom w:val="nil"/>
              <w:right w:val="nil"/>
            </w:tcBorders>
            <w:shd w:val="clear" w:color="auto" w:fill="auto"/>
            <w:noWrap/>
            <w:vAlign w:val="bottom"/>
            <w:hideMark/>
          </w:tcPr>
          <w:p w14:paraId="03335355" w14:textId="18B6F06B" w:rsidR="00776BEE" w:rsidRPr="0076441B" w:rsidRDefault="00947165" w:rsidP="008A28F5">
            <w:pPr>
              <w:jc w:val="right"/>
              <w:rPr>
                <w:rFonts w:ascii="Cambria" w:hAnsi="Cambria" w:cs="Arial"/>
                <w:color w:val="000000"/>
                <w:sz w:val="18"/>
                <w:szCs w:val="18"/>
              </w:rPr>
            </w:pPr>
            <w:r>
              <w:rPr>
                <w:rFonts w:ascii="Cambria" w:hAnsi="Cambria"/>
                <w:color w:val="000000"/>
                <w:sz w:val="18"/>
              </w:rPr>
              <w:t xml:space="preserve">                     9 </w:t>
            </w:r>
          </w:p>
        </w:tc>
        <w:tc>
          <w:tcPr>
            <w:tcW w:w="1199" w:type="pct"/>
            <w:tcBorders>
              <w:top w:val="nil"/>
              <w:left w:val="nil"/>
              <w:bottom w:val="nil"/>
              <w:right w:val="nil"/>
            </w:tcBorders>
            <w:shd w:val="clear" w:color="auto" w:fill="auto"/>
            <w:noWrap/>
            <w:vAlign w:val="bottom"/>
            <w:hideMark/>
          </w:tcPr>
          <w:p w14:paraId="63108C7D" w14:textId="3FD1BDAB" w:rsidR="00776BEE" w:rsidRPr="0076441B" w:rsidRDefault="00947165" w:rsidP="008A28F5">
            <w:pPr>
              <w:jc w:val="right"/>
              <w:rPr>
                <w:sz w:val="20"/>
                <w:szCs w:val="20"/>
              </w:rPr>
            </w:pPr>
            <w:r>
              <w:rPr>
                <w:sz w:val="20"/>
              </w:rPr>
              <w:t xml:space="preserve">                8 </w:t>
            </w:r>
          </w:p>
        </w:tc>
        <w:tc>
          <w:tcPr>
            <w:tcW w:w="1072" w:type="pct"/>
            <w:tcBorders>
              <w:top w:val="nil"/>
              <w:left w:val="nil"/>
              <w:bottom w:val="nil"/>
              <w:right w:val="nil"/>
            </w:tcBorders>
            <w:shd w:val="clear" w:color="auto" w:fill="auto"/>
            <w:noWrap/>
            <w:vAlign w:val="bottom"/>
            <w:hideMark/>
          </w:tcPr>
          <w:p w14:paraId="0CEA827D" w14:textId="6C661865" w:rsidR="00776BEE" w:rsidRPr="0076441B" w:rsidRDefault="00454CF1" w:rsidP="008A28F5">
            <w:pPr>
              <w:jc w:val="right"/>
              <w:rPr>
                <w:rFonts w:ascii="Cambria" w:hAnsi="Cambria" w:cs="Arial"/>
                <w:color w:val="000000"/>
                <w:sz w:val="18"/>
                <w:szCs w:val="18"/>
              </w:rPr>
            </w:pPr>
            <w:r>
              <w:rPr>
                <w:rFonts w:ascii="Cambria" w:hAnsi="Cambria"/>
                <w:color w:val="000000"/>
                <w:sz w:val="18"/>
              </w:rPr>
              <w:t>1</w:t>
            </w:r>
          </w:p>
        </w:tc>
      </w:tr>
      <w:tr w:rsidR="00776BEE" w:rsidRPr="0076441B" w14:paraId="2842F74D" w14:textId="77777777" w:rsidTr="00454CF1">
        <w:trPr>
          <w:trHeight w:val="240"/>
        </w:trPr>
        <w:tc>
          <w:tcPr>
            <w:tcW w:w="1641" w:type="pct"/>
            <w:tcBorders>
              <w:top w:val="nil"/>
              <w:left w:val="nil"/>
              <w:bottom w:val="nil"/>
              <w:right w:val="nil"/>
            </w:tcBorders>
            <w:shd w:val="clear" w:color="auto" w:fill="auto"/>
            <w:noWrap/>
            <w:vAlign w:val="bottom"/>
            <w:hideMark/>
          </w:tcPr>
          <w:p w14:paraId="64F95345" w14:textId="77777777" w:rsidR="00776BEE" w:rsidRPr="0076441B" w:rsidRDefault="00776BEE" w:rsidP="008A28F5">
            <w:pPr>
              <w:rPr>
                <w:rFonts w:ascii="Cambria" w:hAnsi="Cambria" w:cs="Arial"/>
                <w:color w:val="000000"/>
                <w:sz w:val="18"/>
                <w:szCs w:val="18"/>
              </w:rPr>
            </w:pPr>
            <w:r>
              <w:rPr>
                <w:rFonts w:ascii="Cambria" w:hAnsi="Cambria"/>
                <w:color w:val="000000"/>
                <w:sz w:val="18"/>
              </w:rPr>
              <w:t>Travailleurs manuels</w:t>
            </w:r>
          </w:p>
        </w:tc>
        <w:tc>
          <w:tcPr>
            <w:tcW w:w="1087" w:type="pct"/>
            <w:tcBorders>
              <w:top w:val="nil"/>
              <w:left w:val="nil"/>
              <w:bottom w:val="nil"/>
              <w:right w:val="nil"/>
            </w:tcBorders>
            <w:shd w:val="clear" w:color="auto" w:fill="auto"/>
            <w:noWrap/>
            <w:vAlign w:val="bottom"/>
            <w:hideMark/>
          </w:tcPr>
          <w:p w14:paraId="4BFC7CEB" w14:textId="4738CDAF" w:rsidR="00776BEE" w:rsidRPr="0076441B" w:rsidRDefault="00947165" w:rsidP="008A28F5">
            <w:pPr>
              <w:jc w:val="right"/>
              <w:rPr>
                <w:rFonts w:ascii="Cambria" w:hAnsi="Cambria" w:cs="Arial"/>
                <w:color w:val="000000"/>
                <w:sz w:val="18"/>
                <w:szCs w:val="18"/>
              </w:rPr>
            </w:pPr>
            <w:r>
              <w:rPr>
                <w:rFonts w:ascii="Cambria" w:hAnsi="Cambria"/>
                <w:color w:val="000000"/>
                <w:sz w:val="18"/>
              </w:rPr>
              <w:t xml:space="preserve">                207</w:t>
            </w:r>
          </w:p>
        </w:tc>
        <w:tc>
          <w:tcPr>
            <w:tcW w:w="1199" w:type="pct"/>
            <w:tcBorders>
              <w:top w:val="nil"/>
              <w:left w:val="nil"/>
              <w:bottom w:val="nil"/>
              <w:right w:val="nil"/>
            </w:tcBorders>
            <w:shd w:val="clear" w:color="auto" w:fill="auto"/>
            <w:noWrap/>
            <w:vAlign w:val="bottom"/>
            <w:hideMark/>
          </w:tcPr>
          <w:p w14:paraId="30513111" w14:textId="2DED2013" w:rsidR="00776BEE" w:rsidRPr="0076441B" w:rsidRDefault="00947165" w:rsidP="008A28F5">
            <w:pPr>
              <w:jc w:val="right"/>
              <w:rPr>
                <w:sz w:val="20"/>
                <w:szCs w:val="20"/>
              </w:rPr>
            </w:pPr>
            <w:r>
              <w:rPr>
                <w:sz w:val="20"/>
              </w:rPr>
              <w:t xml:space="preserve">            185</w:t>
            </w:r>
          </w:p>
        </w:tc>
        <w:tc>
          <w:tcPr>
            <w:tcW w:w="1072" w:type="pct"/>
            <w:tcBorders>
              <w:top w:val="nil"/>
              <w:left w:val="nil"/>
              <w:bottom w:val="nil"/>
              <w:right w:val="nil"/>
            </w:tcBorders>
            <w:shd w:val="clear" w:color="auto" w:fill="auto"/>
            <w:noWrap/>
            <w:vAlign w:val="bottom"/>
            <w:hideMark/>
          </w:tcPr>
          <w:p w14:paraId="35D43005" w14:textId="7CF4439A" w:rsidR="00776BEE" w:rsidRPr="0076441B" w:rsidRDefault="00454CF1" w:rsidP="008A28F5">
            <w:pPr>
              <w:jc w:val="right"/>
              <w:rPr>
                <w:rFonts w:ascii="Cambria" w:hAnsi="Cambria" w:cs="Arial"/>
                <w:color w:val="000000"/>
                <w:sz w:val="18"/>
                <w:szCs w:val="18"/>
              </w:rPr>
            </w:pPr>
            <w:r>
              <w:rPr>
                <w:rFonts w:ascii="Cambria" w:hAnsi="Cambria"/>
                <w:color w:val="000000"/>
                <w:sz w:val="18"/>
              </w:rPr>
              <w:t>22</w:t>
            </w:r>
          </w:p>
        </w:tc>
      </w:tr>
      <w:tr w:rsidR="00454CF1" w:rsidRPr="0076441B" w14:paraId="46B43BDE" w14:textId="77777777" w:rsidTr="00454CF1">
        <w:trPr>
          <w:trHeight w:val="240"/>
        </w:trPr>
        <w:tc>
          <w:tcPr>
            <w:tcW w:w="1641" w:type="pct"/>
            <w:tcBorders>
              <w:top w:val="nil"/>
              <w:left w:val="nil"/>
              <w:bottom w:val="nil"/>
              <w:right w:val="nil"/>
            </w:tcBorders>
            <w:shd w:val="clear" w:color="auto" w:fill="auto"/>
            <w:noWrap/>
            <w:vAlign w:val="bottom"/>
          </w:tcPr>
          <w:p w14:paraId="13BB91E6" w14:textId="325812B3" w:rsidR="00454CF1" w:rsidRPr="0076441B" w:rsidRDefault="00454CF1" w:rsidP="008A28F5">
            <w:pPr>
              <w:rPr>
                <w:rFonts w:ascii="Cambria" w:hAnsi="Cambria" w:cs="Arial"/>
                <w:b/>
                <w:bCs/>
                <w:color w:val="000000"/>
                <w:sz w:val="18"/>
                <w:szCs w:val="18"/>
              </w:rPr>
            </w:pPr>
            <w:r>
              <w:rPr>
                <w:rFonts w:ascii="Cambria" w:hAnsi="Cambria"/>
                <w:b/>
                <w:color w:val="000000"/>
                <w:sz w:val="18"/>
              </w:rPr>
              <w:t>Over</w:t>
            </w:r>
          </w:p>
        </w:tc>
        <w:tc>
          <w:tcPr>
            <w:tcW w:w="1087" w:type="pct"/>
            <w:tcBorders>
              <w:top w:val="nil"/>
              <w:left w:val="nil"/>
              <w:bottom w:val="nil"/>
              <w:right w:val="nil"/>
            </w:tcBorders>
            <w:shd w:val="clear" w:color="auto" w:fill="auto"/>
            <w:noWrap/>
            <w:vAlign w:val="bottom"/>
          </w:tcPr>
          <w:p w14:paraId="1DD8DB08" w14:textId="77777777" w:rsidR="00454CF1" w:rsidRPr="0076441B" w:rsidRDefault="00454CF1" w:rsidP="008A28F5">
            <w:pPr>
              <w:jc w:val="right"/>
              <w:rPr>
                <w:rFonts w:ascii="Cambria" w:hAnsi="Cambria" w:cs="Arial"/>
                <w:b/>
                <w:bCs/>
                <w:color w:val="000000"/>
                <w:sz w:val="18"/>
                <w:szCs w:val="18"/>
              </w:rPr>
            </w:pPr>
          </w:p>
        </w:tc>
        <w:tc>
          <w:tcPr>
            <w:tcW w:w="1199" w:type="pct"/>
            <w:tcBorders>
              <w:top w:val="nil"/>
              <w:left w:val="nil"/>
              <w:bottom w:val="nil"/>
              <w:right w:val="nil"/>
            </w:tcBorders>
            <w:shd w:val="clear" w:color="auto" w:fill="auto"/>
            <w:noWrap/>
            <w:vAlign w:val="bottom"/>
          </w:tcPr>
          <w:p w14:paraId="23577768" w14:textId="77777777" w:rsidR="00454CF1" w:rsidRPr="0076441B" w:rsidRDefault="00454CF1" w:rsidP="008A28F5">
            <w:pPr>
              <w:jc w:val="right"/>
              <w:rPr>
                <w:b/>
                <w:bCs/>
                <w:sz w:val="20"/>
                <w:szCs w:val="20"/>
              </w:rPr>
            </w:pPr>
          </w:p>
        </w:tc>
        <w:tc>
          <w:tcPr>
            <w:tcW w:w="1072" w:type="pct"/>
            <w:tcBorders>
              <w:top w:val="nil"/>
              <w:left w:val="nil"/>
              <w:bottom w:val="nil"/>
              <w:right w:val="nil"/>
            </w:tcBorders>
            <w:shd w:val="clear" w:color="auto" w:fill="auto"/>
            <w:noWrap/>
            <w:vAlign w:val="bottom"/>
          </w:tcPr>
          <w:p w14:paraId="6D8C9EC7" w14:textId="77777777" w:rsidR="00454CF1" w:rsidRPr="0076441B" w:rsidRDefault="00454CF1" w:rsidP="008A28F5">
            <w:pPr>
              <w:jc w:val="right"/>
              <w:rPr>
                <w:rFonts w:ascii="Cambria" w:hAnsi="Cambria" w:cs="Arial"/>
                <w:b/>
                <w:bCs/>
                <w:color w:val="000000"/>
                <w:sz w:val="18"/>
                <w:szCs w:val="18"/>
              </w:rPr>
            </w:pPr>
          </w:p>
        </w:tc>
      </w:tr>
      <w:tr w:rsidR="00454CF1" w:rsidRPr="0076441B" w14:paraId="0B00293E" w14:textId="77777777" w:rsidTr="00454CF1">
        <w:trPr>
          <w:trHeight w:val="240"/>
        </w:trPr>
        <w:tc>
          <w:tcPr>
            <w:tcW w:w="1641" w:type="pct"/>
            <w:tcBorders>
              <w:top w:val="nil"/>
              <w:left w:val="nil"/>
              <w:bottom w:val="nil"/>
              <w:right w:val="nil"/>
            </w:tcBorders>
            <w:shd w:val="clear" w:color="auto" w:fill="auto"/>
            <w:noWrap/>
            <w:vAlign w:val="bottom"/>
            <w:hideMark/>
          </w:tcPr>
          <w:p w14:paraId="0B698BFE" w14:textId="77777777" w:rsidR="00454CF1" w:rsidRPr="0076441B" w:rsidRDefault="00454CF1" w:rsidP="008A28F5">
            <w:pPr>
              <w:rPr>
                <w:rFonts w:ascii="Cambria" w:hAnsi="Cambria" w:cs="Arial"/>
                <w:color w:val="000000"/>
                <w:sz w:val="18"/>
                <w:szCs w:val="18"/>
              </w:rPr>
            </w:pPr>
            <w:r>
              <w:rPr>
                <w:rFonts w:ascii="Cambria" w:hAnsi="Cambria"/>
                <w:color w:val="000000"/>
                <w:sz w:val="18"/>
              </w:rPr>
              <w:t>Employés de bureau</w:t>
            </w:r>
          </w:p>
        </w:tc>
        <w:tc>
          <w:tcPr>
            <w:tcW w:w="1087" w:type="pct"/>
            <w:tcBorders>
              <w:top w:val="nil"/>
              <w:left w:val="nil"/>
              <w:bottom w:val="nil"/>
              <w:right w:val="nil"/>
            </w:tcBorders>
            <w:shd w:val="clear" w:color="auto" w:fill="auto"/>
            <w:noWrap/>
            <w:vAlign w:val="bottom"/>
            <w:hideMark/>
          </w:tcPr>
          <w:p w14:paraId="6B2C48AB" w14:textId="139194C4" w:rsidR="00454CF1" w:rsidRPr="0076441B" w:rsidRDefault="00454CF1" w:rsidP="008A28F5">
            <w:pPr>
              <w:jc w:val="right"/>
              <w:rPr>
                <w:rFonts w:ascii="Cambria" w:hAnsi="Cambria" w:cs="Arial"/>
                <w:color w:val="000000"/>
                <w:sz w:val="18"/>
                <w:szCs w:val="18"/>
              </w:rPr>
            </w:pPr>
            <w:r>
              <w:rPr>
                <w:rFonts w:ascii="Cambria" w:hAnsi="Cambria"/>
                <w:color w:val="000000"/>
                <w:sz w:val="18"/>
              </w:rPr>
              <w:t xml:space="preserve">                     7          </w:t>
            </w:r>
          </w:p>
        </w:tc>
        <w:tc>
          <w:tcPr>
            <w:tcW w:w="1199" w:type="pct"/>
            <w:tcBorders>
              <w:top w:val="nil"/>
              <w:left w:val="nil"/>
              <w:bottom w:val="nil"/>
              <w:right w:val="nil"/>
            </w:tcBorders>
            <w:shd w:val="clear" w:color="auto" w:fill="auto"/>
            <w:noWrap/>
            <w:vAlign w:val="bottom"/>
            <w:hideMark/>
          </w:tcPr>
          <w:p w14:paraId="1CECA735" w14:textId="2BFA3880" w:rsidR="00454CF1" w:rsidRPr="0076441B" w:rsidRDefault="00454CF1" w:rsidP="008A28F5">
            <w:pPr>
              <w:jc w:val="right"/>
              <w:rPr>
                <w:sz w:val="20"/>
                <w:szCs w:val="20"/>
              </w:rPr>
            </w:pPr>
            <w:r>
              <w:rPr>
                <w:sz w:val="20"/>
              </w:rPr>
              <w:t xml:space="preserve">                8</w:t>
            </w:r>
          </w:p>
        </w:tc>
        <w:tc>
          <w:tcPr>
            <w:tcW w:w="1072" w:type="pct"/>
            <w:tcBorders>
              <w:top w:val="nil"/>
              <w:left w:val="nil"/>
              <w:bottom w:val="nil"/>
              <w:right w:val="nil"/>
            </w:tcBorders>
            <w:shd w:val="clear" w:color="auto" w:fill="auto"/>
            <w:noWrap/>
            <w:vAlign w:val="bottom"/>
            <w:hideMark/>
          </w:tcPr>
          <w:p w14:paraId="3DD76310" w14:textId="5D7B1CDC" w:rsidR="00454CF1" w:rsidRPr="0076441B" w:rsidRDefault="00454CF1" w:rsidP="008A28F5">
            <w:pPr>
              <w:jc w:val="right"/>
              <w:rPr>
                <w:rFonts w:ascii="Cambria" w:hAnsi="Cambria" w:cs="Arial"/>
                <w:color w:val="000000"/>
                <w:sz w:val="18"/>
                <w:szCs w:val="18"/>
              </w:rPr>
            </w:pPr>
            <w:r>
              <w:rPr>
                <w:rFonts w:ascii="Cambria" w:hAnsi="Cambria"/>
                <w:color w:val="000000"/>
                <w:sz w:val="18"/>
              </w:rPr>
              <w:t>-1</w:t>
            </w:r>
          </w:p>
        </w:tc>
      </w:tr>
      <w:tr w:rsidR="00454CF1" w:rsidRPr="0076441B" w14:paraId="21B2695C" w14:textId="77777777" w:rsidTr="00454CF1">
        <w:trPr>
          <w:trHeight w:val="240"/>
        </w:trPr>
        <w:tc>
          <w:tcPr>
            <w:tcW w:w="1641" w:type="pct"/>
            <w:tcBorders>
              <w:top w:val="nil"/>
              <w:left w:val="nil"/>
              <w:bottom w:val="nil"/>
              <w:right w:val="nil"/>
            </w:tcBorders>
            <w:shd w:val="clear" w:color="auto" w:fill="auto"/>
            <w:noWrap/>
            <w:vAlign w:val="bottom"/>
            <w:hideMark/>
          </w:tcPr>
          <w:p w14:paraId="203AED7E" w14:textId="77777777" w:rsidR="00454CF1" w:rsidRPr="0076441B" w:rsidRDefault="00454CF1" w:rsidP="008A28F5">
            <w:pPr>
              <w:rPr>
                <w:rFonts w:ascii="Cambria" w:hAnsi="Cambria" w:cs="Arial"/>
                <w:color w:val="000000"/>
                <w:sz w:val="18"/>
                <w:szCs w:val="18"/>
              </w:rPr>
            </w:pPr>
            <w:r>
              <w:rPr>
                <w:rFonts w:ascii="Cambria" w:hAnsi="Cambria"/>
                <w:color w:val="000000"/>
                <w:sz w:val="18"/>
              </w:rPr>
              <w:t>Travailleurs manuels</w:t>
            </w:r>
          </w:p>
        </w:tc>
        <w:tc>
          <w:tcPr>
            <w:tcW w:w="1087" w:type="pct"/>
            <w:tcBorders>
              <w:top w:val="nil"/>
              <w:left w:val="nil"/>
              <w:bottom w:val="nil"/>
              <w:right w:val="nil"/>
            </w:tcBorders>
            <w:shd w:val="clear" w:color="auto" w:fill="auto"/>
            <w:noWrap/>
            <w:vAlign w:val="bottom"/>
            <w:hideMark/>
          </w:tcPr>
          <w:p w14:paraId="0FB5B692" w14:textId="0CF2B704" w:rsidR="00454CF1" w:rsidRPr="0076441B" w:rsidRDefault="00454CF1" w:rsidP="008A28F5">
            <w:pPr>
              <w:jc w:val="right"/>
              <w:rPr>
                <w:rFonts w:ascii="Cambria" w:hAnsi="Cambria" w:cs="Arial"/>
                <w:color w:val="000000"/>
                <w:sz w:val="18"/>
                <w:szCs w:val="18"/>
              </w:rPr>
            </w:pPr>
            <w:r>
              <w:rPr>
                <w:rFonts w:ascii="Cambria" w:hAnsi="Cambria"/>
                <w:color w:val="000000"/>
                <w:sz w:val="18"/>
              </w:rPr>
              <w:t xml:space="preserve">                14</w:t>
            </w:r>
          </w:p>
        </w:tc>
        <w:tc>
          <w:tcPr>
            <w:tcW w:w="1199" w:type="pct"/>
            <w:tcBorders>
              <w:top w:val="nil"/>
              <w:left w:val="nil"/>
              <w:bottom w:val="nil"/>
              <w:right w:val="nil"/>
            </w:tcBorders>
            <w:shd w:val="clear" w:color="auto" w:fill="auto"/>
            <w:noWrap/>
            <w:vAlign w:val="bottom"/>
            <w:hideMark/>
          </w:tcPr>
          <w:p w14:paraId="4929B091" w14:textId="3EDADC63" w:rsidR="00454CF1" w:rsidRPr="0076441B" w:rsidRDefault="00454CF1" w:rsidP="008A28F5">
            <w:pPr>
              <w:jc w:val="right"/>
              <w:rPr>
                <w:sz w:val="20"/>
                <w:szCs w:val="20"/>
              </w:rPr>
            </w:pPr>
            <w:r>
              <w:rPr>
                <w:sz w:val="20"/>
              </w:rPr>
              <w:t xml:space="preserve">            12</w:t>
            </w:r>
          </w:p>
        </w:tc>
        <w:tc>
          <w:tcPr>
            <w:tcW w:w="1072" w:type="pct"/>
            <w:tcBorders>
              <w:top w:val="nil"/>
              <w:left w:val="nil"/>
              <w:bottom w:val="nil"/>
              <w:right w:val="nil"/>
            </w:tcBorders>
            <w:shd w:val="clear" w:color="auto" w:fill="auto"/>
            <w:noWrap/>
            <w:vAlign w:val="bottom"/>
            <w:hideMark/>
          </w:tcPr>
          <w:p w14:paraId="5F6786FC" w14:textId="75830F80" w:rsidR="00454CF1" w:rsidRPr="0076441B" w:rsidRDefault="00454CF1" w:rsidP="008A28F5">
            <w:pPr>
              <w:jc w:val="right"/>
              <w:rPr>
                <w:rFonts w:ascii="Cambria" w:hAnsi="Cambria" w:cs="Arial"/>
                <w:color w:val="000000"/>
                <w:sz w:val="18"/>
                <w:szCs w:val="18"/>
              </w:rPr>
            </w:pPr>
            <w:r>
              <w:rPr>
                <w:rFonts w:ascii="Cambria" w:hAnsi="Cambria"/>
                <w:color w:val="000000"/>
                <w:sz w:val="18"/>
              </w:rPr>
              <w:t>2</w:t>
            </w:r>
          </w:p>
        </w:tc>
      </w:tr>
      <w:tr w:rsidR="00776BEE" w14:paraId="4CD53D75" w14:textId="77777777" w:rsidTr="00454CF1">
        <w:trPr>
          <w:trHeight w:val="255"/>
        </w:trPr>
        <w:tc>
          <w:tcPr>
            <w:tcW w:w="1641" w:type="pct"/>
            <w:tcBorders>
              <w:top w:val="nil"/>
              <w:left w:val="nil"/>
              <w:bottom w:val="nil"/>
              <w:right w:val="nil"/>
            </w:tcBorders>
            <w:shd w:val="clear" w:color="auto" w:fill="auto"/>
            <w:noWrap/>
            <w:vAlign w:val="bottom"/>
            <w:hideMark/>
          </w:tcPr>
          <w:p w14:paraId="2C160364" w14:textId="77777777" w:rsidR="00776BEE" w:rsidRPr="0076441B" w:rsidRDefault="00776BEE" w:rsidP="008A28F5">
            <w:pPr>
              <w:rPr>
                <w:rFonts w:ascii="Cambria" w:hAnsi="Cambria" w:cs="Arial"/>
                <w:b/>
                <w:bCs/>
                <w:color w:val="000000"/>
                <w:sz w:val="18"/>
                <w:szCs w:val="18"/>
              </w:rPr>
            </w:pPr>
            <w:r>
              <w:rPr>
                <w:rFonts w:ascii="Cambria" w:hAnsi="Cambria"/>
                <w:b/>
                <w:color w:val="000000"/>
                <w:sz w:val="18"/>
              </w:rPr>
              <w:t>Total</w:t>
            </w:r>
          </w:p>
        </w:tc>
        <w:tc>
          <w:tcPr>
            <w:tcW w:w="1087" w:type="pct"/>
            <w:tcBorders>
              <w:top w:val="single" w:sz="4" w:space="0" w:color="auto"/>
              <w:left w:val="nil"/>
              <w:bottom w:val="single" w:sz="8" w:space="0" w:color="auto"/>
              <w:right w:val="nil"/>
            </w:tcBorders>
            <w:shd w:val="clear" w:color="auto" w:fill="auto"/>
            <w:noWrap/>
            <w:vAlign w:val="bottom"/>
            <w:hideMark/>
          </w:tcPr>
          <w:p w14:paraId="638CD291" w14:textId="41D26ED2" w:rsidR="00776BEE" w:rsidRPr="0076441B" w:rsidRDefault="00454CF1" w:rsidP="008A28F5">
            <w:pPr>
              <w:jc w:val="right"/>
              <w:rPr>
                <w:rFonts w:ascii="Cambria" w:hAnsi="Cambria" w:cs="Arial"/>
                <w:b/>
                <w:bCs/>
                <w:color w:val="000000"/>
                <w:sz w:val="18"/>
                <w:szCs w:val="18"/>
              </w:rPr>
            </w:pPr>
            <w:r>
              <w:rPr>
                <w:rFonts w:ascii="Cambria" w:hAnsi="Cambria"/>
                <w:b/>
                <w:color w:val="000000"/>
                <w:sz w:val="18"/>
              </w:rPr>
              <w:t>237</w:t>
            </w:r>
          </w:p>
        </w:tc>
        <w:tc>
          <w:tcPr>
            <w:tcW w:w="1199" w:type="pct"/>
            <w:tcBorders>
              <w:top w:val="single" w:sz="4" w:space="0" w:color="auto"/>
              <w:left w:val="nil"/>
              <w:bottom w:val="single" w:sz="8" w:space="0" w:color="auto"/>
              <w:right w:val="nil"/>
            </w:tcBorders>
            <w:shd w:val="clear" w:color="auto" w:fill="auto"/>
            <w:noWrap/>
            <w:vAlign w:val="bottom"/>
            <w:hideMark/>
          </w:tcPr>
          <w:p w14:paraId="2C76EA35" w14:textId="40F23C24" w:rsidR="00776BEE" w:rsidRPr="0076441B" w:rsidRDefault="00454CF1" w:rsidP="008A28F5">
            <w:pPr>
              <w:jc w:val="right"/>
              <w:rPr>
                <w:rFonts w:ascii="Cambria" w:hAnsi="Cambria" w:cs="Arial"/>
                <w:b/>
                <w:bCs/>
                <w:color w:val="000000"/>
                <w:sz w:val="18"/>
                <w:szCs w:val="18"/>
              </w:rPr>
            </w:pPr>
            <w:r>
              <w:rPr>
                <w:rFonts w:ascii="Cambria" w:hAnsi="Cambria"/>
                <w:b/>
                <w:color w:val="000000"/>
                <w:sz w:val="18"/>
              </w:rPr>
              <w:t>213</w:t>
            </w:r>
          </w:p>
        </w:tc>
        <w:tc>
          <w:tcPr>
            <w:tcW w:w="1072" w:type="pct"/>
            <w:tcBorders>
              <w:top w:val="single" w:sz="4" w:space="0" w:color="auto"/>
              <w:left w:val="nil"/>
              <w:bottom w:val="single" w:sz="8" w:space="0" w:color="auto"/>
              <w:right w:val="nil"/>
            </w:tcBorders>
            <w:shd w:val="clear" w:color="auto" w:fill="auto"/>
            <w:noWrap/>
            <w:vAlign w:val="bottom"/>
            <w:hideMark/>
          </w:tcPr>
          <w:p w14:paraId="6903AB73" w14:textId="27FA005B" w:rsidR="00776BEE" w:rsidRDefault="00454CF1" w:rsidP="008A28F5">
            <w:pPr>
              <w:jc w:val="right"/>
              <w:rPr>
                <w:rFonts w:ascii="Cambria" w:hAnsi="Cambria" w:cs="Arial"/>
                <w:b/>
                <w:bCs/>
                <w:color w:val="000000"/>
                <w:sz w:val="18"/>
                <w:szCs w:val="18"/>
              </w:rPr>
            </w:pPr>
            <w:r>
              <w:rPr>
                <w:rFonts w:ascii="Cambria" w:hAnsi="Cambria"/>
                <w:b/>
                <w:color w:val="000000"/>
                <w:sz w:val="18"/>
              </w:rPr>
              <w:t>24</w:t>
            </w:r>
          </w:p>
        </w:tc>
      </w:tr>
    </w:tbl>
    <w:p w14:paraId="37E67C8D" w14:textId="34D9B59C" w:rsidR="002F6364" w:rsidRPr="00C17031" w:rsidRDefault="002F6364" w:rsidP="008A28F5">
      <w:pPr>
        <w:spacing w:line="276" w:lineRule="auto"/>
        <w:jc w:val="both"/>
        <w:rPr>
          <w:rFonts w:ascii="Cambria" w:hAnsi="Cambria"/>
          <w:b/>
          <w:bCs/>
          <w:i/>
          <w:iCs/>
          <w:sz w:val="22"/>
          <w:szCs w:val="22"/>
        </w:rPr>
      </w:pPr>
    </w:p>
    <w:p w14:paraId="2044F348" w14:textId="301EFB1F" w:rsidR="002F6364" w:rsidRPr="00C17031" w:rsidRDefault="002F6364" w:rsidP="008A28F5">
      <w:pPr>
        <w:jc w:val="both"/>
        <w:rPr>
          <w:rFonts w:ascii="Cambria" w:hAnsi="Cambria"/>
          <w:sz w:val="22"/>
          <w:szCs w:val="22"/>
        </w:rPr>
      </w:pPr>
      <w:r>
        <w:rPr>
          <w:rFonts w:ascii="Cambria" w:hAnsi="Cambria"/>
          <w:sz w:val="22"/>
        </w:rPr>
        <w:t>La formation joue un rôle décisif pour notre entreprise compte tenu de l'évolution constante des tendances dans le secteur de la mode. La formation du personnel visait à développer les compétences techniques et commerciales de tous les employés. En particulier, un engagement important a été consacré au secteur commercial, qui est définitivement stratégique.</w:t>
      </w:r>
    </w:p>
    <w:p w14:paraId="1035E4A1" w14:textId="77777777" w:rsidR="00BE2DD1" w:rsidRDefault="00BE2DD1" w:rsidP="008A28F5">
      <w:pPr>
        <w:spacing w:line="276" w:lineRule="auto"/>
        <w:jc w:val="both"/>
        <w:rPr>
          <w:rFonts w:ascii="Cambria" w:hAnsi="Cambria"/>
          <w:b/>
          <w:bCs/>
          <w:i/>
          <w:iCs/>
          <w:sz w:val="22"/>
          <w:szCs w:val="22"/>
        </w:rPr>
      </w:pPr>
    </w:p>
    <w:p w14:paraId="7E90B54C" w14:textId="77777777" w:rsidR="001B6D59" w:rsidRPr="00C17031" w:rsidRDefault="001B6D59" w:rsidP="008A28F5">
      <w:pPr>
        <w:spacing w:line="276" w:lineRule="auto"/>
        <w:jc w:val="both"/>
        <w:rPr>
          <w:rFonts w:ascii="Cambria" w:hAnsi="Cambria"/>
          <w:b/>
          <w:bCs/>
          <w:i/>
          <w:iCs/>
          <w:sz w:val="22"/>
          <w:szCs w:val="22"/>
        </w:rPr>
      </w:pPr>
      <w:r>
        <w:rPr>
          <w:rFonts w:ascii="Cambria" w:hAnsi="Cambria"/>
          <w:b/>
          <w:i/>
          <w:sz w:val="22"/>
        </w:rPr>
        <w:t>Environnement</w:t>
      </w:r>
    </w:p>
    <w:p w14:paraId="10882963" w14:textId="7B768638" w:rsidR="002F6364" w:rsidRPr="00C17031" w:rsidRDefault="00BF7B60" w:rsidP="008A28F5">
      <w:pPr>
        <w:pStyle w:val="Rientrocorpodeltesto2"/>
        <w:spacing w:line="276" w:lineRule="auto"/>
        <w:ind w:left="0"/>
        <w:rPr>
          <w:rFonts w:ascii="Cambria" w:hAnsi="Cambria"/>
          <w:sz w:val="22"/>
          <w:szCs w:val="22"/>
        </w:rPr>
      </w:pPr>
      <w:r>
        <w:rPr>
          <w:rFonts w:ascii="Cambria" w:hAnsi="Cambria"/>
          <w:sz w:val="22"/>
        </w:rPr>
        <w:t>Grâce aux investissements destinés à la restructuration de nos sièges sociaux, nous avons adapté ceux-ci à toutes les exigences des dispositions législatives en vigueur en matière d'environnement.</w:t>
      </w:r>
    </w:p>
    <w:p w14:paraId="52A86958" w14:textId="77777777" w:rsidR="001B6D59" w:rsidRPr="00C17031" w:rsidRDefault="002F6364" w:rsidP="008A28F5">
      <w:pPr>
        <w:pStyle w:val="Rientrocorpodeltesto2"/>
        <w:spacing w:line="276" w:lineRule="auto"/>
        <w:ind w:left="0"/>
        <w:rPr>
          <w:rFonts w:ascii="Cambria" w:hAnsi="Cambria"/>
          <w:color w:val="auto"/>
          <w:sz w:val="22"/>
          <w:szCs w:val="22"/>
        </w:rPr>
      </w:pPr>
      <w:r>
        <w:rPr>
          <w:rFonts w:ascii="Cambria" w:hAnsi="Cambria"/>
          <w:sz w:val="22"/>
        </w:rPr>
        <w:t>En matière de sécurité, nous avons confié à un professionnel externe la mission de dispenser des formations sur la prévention des risques sur le lieu de travail, toujours dans le respect de la législation en vigueur</w:t>
      </w:r>
      <w:r>
        <w:rPr>
          <w:rFonts w:ascii="Cambria" w:hAnsi="Cambria"/>
          <w:color w:val="auto"/>
          <w:sz w:val="22"/>
          <w:szCs w:val="22"/>
        </w:rPr>
        <w:t>.</w:t>
      </w:r>
    </w:p>
    <w:p w14:paraId="21DE3F85" w14:textId="77777777" w:rsidR="002F6364" w:rsidRDefault="002F6364" w:rsidP="008A28F5">
      <w:pPr>
        <w:pStyle w:val="Rientrocorpodeltesto2"/>
        <w:ind w:left="0"/>
        <w:rPr>
          <w:rFonts w:ascii="Arial" w:hAnsi="Arial" w:cs="Arial"/>
          <w:b/>
          <w:bCs/>
          <w:sz w:val="20"/>
          <w:szCs w:val="20"/>
          <w:highlight w:val="yellow"/>
        </w:rPr>
      </w:pPr>
    </w:p>
    <w:p w14:paraId="66379008" w14:textId="77777777" w:rsidR="001B6D59" w:rsidRPr="00EC75DF" w:rsidRDefault="001B6D59" w:rsidP="008A28F5">
      <w:pPr>
        <w:pStyle w:val="Titolo2"/>
        <w:spacing w:line="360" w:lineRule="auto"/>
        <w:ind w:left="0"/>
        <w:jc w:val="left"/>
        <w:rPr>
          <w:i w:val="0"/>
        </w:rPr>
      </w:pPr>
      <w:bookmarkStart w:id="34" w:name="_Toc112768608"/>
      <w:r>
        <w:rPr>
          <w:i w:val="0"/>
        </w:rPr>
        <w:t>Investissements</w:t>
      </w:r>
      <w:bookmarkEnd w:id="34"/>
    </w:p>
    <w:p w14:paraId="7C9D5E04" w14:textId="756FE63A" w:rsidR="002F6364" w:rsidRDefault="002F6364" w:rsidP="008A28F5">
      <w:pPr>
        <w:spacing w:line="276" w:lineRule="auto"/>
        <w:jc w:val="both"/>
        <w:rPr>
          <w:rFonts w:ascii="Cambria" w:hAnsi="Cambria"/>
          <w:color w:val="000000"/>
          <w:sz w:val="22"/>
          <w:szCs w:val="22"/>
        </w:rPr>
      </w:pPr>
      <w:r>
        <w:rPr>
          <w:rFonts w:ascii="Cambria" w:hAnsi="Cambria"/>
          <w:color w:val="000000"/>
          <w:sz w:val="22"/>
        </w:rPr>
        <w:t>Au cours de l'exercice, des investissements ont été réalisés dans les domaines suivants :</w:t>
      </w:r>
    </w:p>
    <w:tbl>
      <w:tblPr>
        <w:tblW w:w="5000" w:type="pct"/>
        <w:tblCellMar>
          <w:left w:w="70" w:type="dxa"/>
          <w:right w:w="70" w:type="dxa"/>
        </w:tblCellMar>
        <w:tblLook w:val="04A0" w:firstRow="1" w:lastRow="0" w:firstColumn="1" w:lastColumn="0" w:noHBand="0" w:noVBand="1"/>
      </w:tblPr>
      <w:tblGrid>
        <w:gridCol w:w="7180"/>
        <w:gridCol w:w="2458"/>
      </w:tblGrid>
      <w:tr w:rsidR="005A32D4" w14:paraId="7500A506" w14:textId="77777777" w:rsidTr="005A32D4">
        <w:trPr>
          <w:trHeight w:val="495"/>
        </w:trPr>
        <w:tc>
          <w:tcPr>
            <w:tcW w:w="3725" w:type="pct"/>
            <w:tcBorders>
              <w:top w:val="single" w:sz="4" w:space="0" w:color="0070C0"/>
              <w:left w:val="nil"/>
              <w:bottom w:val="single" w:sz="8" w:space="0" w:color="0070C0"/>
              <w:right w:val="nil"/>
            </w:tcBorders>
            <w:shd w:val="clear" w:color="auto" w:fill="auto"/>
            <w:noWrap/>
            <w:vAlign w:val="bottom"/>
            <w:hideMark/>
          </w:tcPr>
          <w:p w14:paraId="32D8A26B" w14:textId="77777777" w:rsidR="005A32D4" w:rsidRDefault="005A32D4" w:rsidP="008A28F5">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275" w:type="pct"/>
            <w:tcBorders>
              <w:top w:val="single" w:sz="4" w:space="0" w:color="0070C0"/>
              <w:left w:val="nil"/>
              <w:bottom w:val="single" w:sz="8" w:space="0" w:color="0070C0"/>
              <w:right w:val="nil"/>
            </w:tcBorders>
            <w:shd w:val="clear" w:color="auto" w:fill="auto"/>
            <w:vAlign w:val="bottom"/>
            <w:hideMark/>
          </w:tcPr>
          <w:p w14:paraId="3BDBA974" w14:textId="77777777" w:rsidR="005A32D4" w:rsidRDefault="005A32D4" w:rsidP="008A28F5">
            <w:pPr>
              <w:jc w:val="center"/>
              <w:rPr>
                <w:rFonts w:ascii="Cambria" w:hAnsi="Cambria" w:cs="Arial"/>
                <w:b/>
                <w:bCs/>
                <w:color w:val="000000"/>
                <w:sz w:val="18"/>
                <w:szCs w:val="18"/>
              </w:rPr>
            </w:pPr>
            <w:r>
              <w:rPr>
                <w:rFonts w:ascii="Cambria" w:hAnsi="Cambria"/>
                <w:b/>
                <w:color w:val="000000"/>
                <w:sz w:val="18"/>
              </w:rPr>
              <w:t xml:space="preserve">1er janvier 2021 - </w:t>
            </w:r>
            <w:r>
              <w:rPr>
                <w:rFonts w:ascii="Cambria" w:hAnsi="Cambria"/>
                <w:b/>
                <w:bCs/>
                <w:color w:val="000000"/>
                <w:sz w:val="18"/>
                <w:szCs w:val="18"/>
              </w:rPr>
              <w:br/>
            </w:r>
            <w:r>
              <w:rPr>
                <w:rFonts w:ascii="Cambria" w:hAnsi="Cambria"/>
                <w:b/>
                <w:color w:val="000000"/>
                <w:sz w:val="18"/>
              </w:rPr>
              <w:t>30 juin 2021</w:t>
            </w:r>
          </w:p>
        </w:tc>
      </w:tr>
      <w:tr w:rsidR="005A32D4" w14:paraId="41EE6374" w14:textId="77777777" w:rsidTr="005A32D4">
        <w:trPr>
          <w:trHeight w:val="240"/>
        </w:trPr>
        <w:tc>
          <w:tcPr>
            <w:tcW w:w="3725" w:type="pct"/>
            <w:tcBorders>
              <w:top w:val="nil"/>
              <w:left w:val="nil"/>
              <w:bottom w:val="nil"/>
              <w:right w:val="nil"/>
            </w:tcBorders>
            <w:shd w:val="clear" w:color="auto" w:fill="auto"/>
            <w:noWrap/>
            <w:vAlign w:val="bottom"/>
            <w:hideMark/>
          </w:tcPr>
          <w:p w14:paraId="34C7C7DF" w14:textId="77777777" w:rsidR="005A32D4" w:rsidRDefault="005A32D4" w:rsidP="008A28F5">
            <w:pPr>
              <w:rPr>
                <w:rFonts w:ascii="Cambria" w:hAnsi="Cambria" w:cs="Arial"/>
                <w:color w:val="000000"/>
                <w:sz w:val="18"/>
                <w:szCs w:val="18"/>
              </w:rPr>
            </w:pPr>
            <w:r>
              <w:rPr>
                <w:rFonts w:ascii="Cambria" w:hAnsi="Cambria"/>
                <w:color w:val="000000"/>
                <w:sz w:val="18"/>
              </w:rPr>
              <w:t>Investissements dans des immobilisations incorporelles</w:t>
            </w:r>
          </w:p>
        </w:tc>
        <w:tc>
          <w:tcPr>
            <w:tcW w:w="1275" w:type="pct"/>
            <w:tcBorders>
              <w:top w:val="nil"/>
              <w:left w:val="nil"/>
              <w:bottom w:val="nil"/>
              <w:right w:val="nil"/>
            </w:tcBorders>
            <w:shd w:val="clear" w:color="auto" w:fill="auto"/>
            <w:noWrap/>
            <w:vAlign w:val="bottom"/>
            <w:hideMark/>
          </w:tcPr>
          <w:p w14:paraId="6F4B970B" w14:textId="77777777" w:rsidR="005A32D4" w:rsidRDefault="005A32D4" w:rsidP="008A28F5">
            <w:pPr>
              <w:jc w:val="right"/>
              <w:rPr>
                <w:rFonts w:ascii="Cambria" w:hAnsi="Cambria" w:cs="Arial"/>
                <w:color w:val="000000"/>
                <w:sz w:val="18"/>
                <w:szCs w:val="18"/>
              </w:rPr>
            </w:pPr>
            <w:r>
              <w:rPr>
                <w:rFonts w:ascii="Cambria" w:hAnsi="Cambria"/>
                <w:color w:val="000000"/>
                <w:sz w:val="18"/>
              </w:rPr>
              <w:t>106 900</w:t>
            </w:r>
          </w:p>
        </w:tc>
      </w:tr>
      <w:tr w:rsidR="005A32D4" w14:paraId="15030D08" w14:textId="77777777" w:rsidTr="005A32D4">
        <w:trPr>
          <w:trHeight w:val="240"/>
        </w:trPr>
        <w:tc>
          <w:tcPr>
            <w:tcW w:w="3725" w:type="pct"/>
            <w:tcBorders>
              <w:top w:val="nil"/>
              <w:left w:val="nil"/>
              <w:bottom w:val="nil"/>
              <w:right w:val="nil"/>
            </w:tcBorders>
            <w:shd w:val="clear" w:color="auto" w:fill="auto"/>
            <w:noWrap/>
            <w:vAlign w:val="bottom"/>
            <w:hideMark/>
          </w:tcPr>
          <w:p w14:paraId="716A26B0" w14:textId="77777777" w:rsidR="005A32D4" w:rsidRDefault="005A32D4" w:rsidP="008A28F5">
            <w:pPr>
              <w:rPr>
                <w:rFonts w:ascii="Cambria" w:hAnsi="Cambria" w:cs="Arial"/>
                <w:color w:val="000000"/>
                <w:sz w:val="18"/>
                <w:szCs w:val="18"/>
              </w:rPr>
            </w:pPr>
            <w:r>
              <w:rPr>
                <w:rFonts w:ascii="Cambria" w:hAnsi="Cambria"/>
                <w:color w:val="000000"/>
                <w:sz w:val="18"/>
              </w:rPr>
              <w:t>Investissements en immobilisations corporelles</w:t>
            </w:r>
          </w:p>
        </w:tc>
        <w:tc>
          <w:tcPr>
            <w:tcW w:w="1275" w:type="pct"/>
            <w:tcBorders>
              <w:top w:val="nil"/>
              <w:left w:val="nil"/>
              <w:bottom w:val="nil"/>
              <w:right w:val="nil"/>
            </w:tcBorders>
            <w:shd w:val="clear" w:color="auto" w:fill="auto"/>
            <w:noWrap/>
            <w:vAlign w:val="bottom"/>
            <w:hideMark/>
          </w:tcPr>
          <w:p w14:paraId="105B2E11" w14:textId="77777777" w:rsidR="005A32D4" w:rsidRDefault="005A32D4" w:rsidP="008A28F5">
            <w:pPr>
              <w:jc w:val="right"/>
              <w:rPr>
                <w:rFonts w:ascii="Cambria" w:hAnsi="Cambria" w:cs="Arial"/>
                <w:color w:val="000000"/>
                <w:sz w:val="18"/>
                <w:szCs w:val="18"/>
              </w:rPr>
            </w:pPr>
            <w:r>
              <w:rPr>
                <w:rFonts w:ascii="Cambria" w:hAnsi="Cambria"/>
                <w:color w:val="000000"/>
                <w:sz w:val="18"/>
              </w:rPr>
              <w:t>122 000</w:t>
            </w:r>
          </w:p>
        </w:tc>
      </w:tr>
      <w:tr w:rsidR="005A32D4" w14:paraId="60CD3F20" w14:textId="77777777" w:rsidTr="005A32D4">
        <w:trPr>
          <w:trHeight w:val="240"/>
        </w:trPr>
        <w:tc>
          <w:tcPr>
            <w:tcW w:w="3725" w:type="pct"/>
            <w:tcBorders>
              <w:top w:val="nil"/>
              <w:left w:val="nil"/>
              <w:bottom w:val="nil"/>
              <w:right w:val="nil"/>
            </w:tcBorders>
            <w:shd w:val="clear" w:color="auto" w:fill="auto"/>
            <w:noWrap/>
            <w:vAlign w:val="bottom"/>
            <w:hideMark/>
          </w:tcPr>
          <w:p w14:paraId="3117B0FE" w14:textId="77777777" w:rsidR="005A32D4" w:rsidRDefault="005A32D4" w:rsidP="008A28F5">
            <w:pPr>
              <w:rPr>
                <w:rFonts w:ascii="Cambria" w:hAnsi="Cambria" w:cs="Arial"/>
                <w:color w:val="000000"/>
                <w:sz w:val="18"/>
                <w:szCs w:val="18"/>
              </w:rPr>
            </w:pPr>
            <w:r>
              <w:rPr>
                <w:rFonts w:ascii="Cambria" w:hAnsi="Cambria"/>
                <w:color w:val="000000"/>
                <w:sz w:val="18"/>
              </w:rPr>
              <w:t>Placements en actions</w:t>
            </w:r>
          </w:p>
        </w:tc>
        <w:tc>
          <w:tcPr>
            <w:tcW w:w="1275" w:type="pct"/>
            <w:tcBorders>
              <w:top w:val="nil"/>
              <w:left w:val="nil"/>
              <w:bottom w:val="single" w:sz="4" w:space="0" w:color="auto"/>
              <w:right w:val="nil"/>
            </w:tcBorders>
            <w:shd w:val="clear" w:color="auto" w:fill="auto"/>
            <w:noWrap/>
            <w:vAlign w:val="bottom"/>
            <w:hideMark/>
          </w:tcPr>
          <w:p w14:paraId="74EDC5E1" w14:textId="12734EAE" w:rsidR="005A32D4" w:rsidRDefault="001E338F" w:rsidP="008A28F5">
            <w:pPr>
              <w:jc w:val="right"/>
              <w:rPr>
                <w:rFonts w:ascii="Cambria" w:hAnsi="Cambria" w:cs="Arial"/>
                <w:color w:val="000000"/>
                <w:sz w:val="18"/>
                <w:szCs w:val="18"/>
              </w:rPr>
            </w:pPr>
            <w:r>
              <w:rPr>
                <w:rFonts w:ascii="Cambria" w:hAnsi="Cambria"/>
                <w:color w:val="000000"/>
                <w:sz w:val="18"/>
              </w:rPr>
              <w:t>- </w:t>
            </w:r>
          </w:p>
        </w:tc>
      </w:tr>
      <w:tr w:rsidR="005A32D4" w14:paraId="55C1E5BE" w14:textId="77777777" w:rsidTr="005A32D4">
        <w:trPr>
          <w:trHeight w:val="240"/>
        </w:trPr>
        <w:tc>
          <w:tcPr>
            <w:tcW w:w="3725" w:type="pct"/>
            <w:tcBorders>
              <w:top w:val="nil"/>
              <w:left w:val="nil"/>
              <w:bottom w:val="nil"/>
              <w:right w:val="nil"/>
            </w:tcBorders>
            <w:shd w:val="clear" w:color="auto" w:fill="auto"/>
            <w:noWrap/>
            <w:vAlign w:val="bottom"/>
            <w:hideMark/>
          </w:tcPr>
          <w:p w14:paraId="3CFB882A" w14:textId="77777777" w:rsidR="005A32D4" w:rsidRDefault="005A32D4" w:rsidP="008A28F5">
            <w:pPr>
              <w:rPr>
                <w:rFonts w:ascii="Cambria" w:hAnsi="Cambria" w:cs="Arial"/>
                <w:b/>
                <w:bCs/>
                <w:color w:val="000000"/>
                <w:sz w:val="18"/>
                <w:szCs w:val="18"/>
              </w:rPr>
            </w:pPr>
            <w:r>
              <w:rPr>
                <w:rFonts w:ascii="Cambria" w:hAnsi="Cambria"/>
                <w:b/>
                <w:color w:val="000000"/>
                <w:sz w:val="18"/>
              </w:rPr>
              <w:t>Total Investissements</w:t>
            </w:r>
          </w:p>
        </w:tc>
        <w:tc>
          <w:tcPr>
            <w:tcW w:w="1275" w:type="pct"/>
            <w:tcBorders>
              <w:top w:val="nil"/>
              <w:left w:val="nil"/>
              <w:bottom w:val="single" w:sz="4" w:space="0" w:color="auto"/>
              <w:right w:val="nil"/>
            </w:tcBorders>
            <w:shd w:val="clear" w:color="auto" w:fill="auto"/>
            <w:noWrap/>
            <w:vAlign w:val="bottom"/>
            <w:hideMark/>
          </w:tcPr>
          <w:p w14:paraId="18A38F6C" w14:textId="77777777" w:rsidR="005A32D4" w:rsidRDefault="005A32D4" w:rsidP="008A28F5">
            <w:pPr>
              <w:jc w:val="right"/>
              <w:rPr>
                <w:rFonts w:ascii="Cambria" w:hAnsi="Cambria" w:cs="Arial"/>
                <w:b/>
                <w:bCs/>
                <w:color w:val="000000"/>
                <w:sz w:val="18"/>
                <w:szCs w:val="18"/>
              </w:rPr>
            </w:pPr>
            <w:r>
              <w:rPr>
                <w:rFonts w:ascii="Cambria" w:hAnsi="Cambria"/>
                <w:b/>
                <w:color w:val="000000"/>
                <w:sz w:val="18"/>
              </w:rPr>
              <w:t>228 900</w:t>
            </w:r>
          </w:p>
        </w:tc>
      </w:tr>
    </w:tbl>
    <w:p w14:paraId="60E0463D" w14:textId="0C7BB617" w:rsidR="00DB1F35" w:rsidRDefault="00DB1F35" w:rsidP="008A28F5">
      <w:pPr>
        <w:spacing w:line="276" w:lineRule="auto"/>
        <w:jc w:val="both"/>
        <w:rPr>
          <w:rFonts w:ascii="Cambria" w:hAnsi="Cambria"/>
          <w:color w:val="000000"/>
          <w:sz w:val="22"/>
          <w:szCs w:val="22"/>
        </w:rPr>
      </w:pPr>
    </w:p>
    <w:p w14:paraId="3EC8FD00" w14:textId="77777777" w:rsidR="001B6D59" w:rsidRPr="00EC75DF" w:rsidRDefault="001B6D59" w:rsidP="008A28F5">
      <w:pPr>
        <w:pStyle w:val="Titolo2"/>
        <w:spacing w:line="360" w:lineRule="auto"/>
        <w:ind w:left="0"/>
        <w:jc w:val="left"/>
        <w:rPr>
          <w:i w:val="0"/>
        </w:rPr>
      </w:pPr>
      <w:bookmarkStart w:id="35" w:name="_Toc112768609"/>
      <w:r>
        <w:rPr>
          <w:i w:val="0"/>
        </w:rPr>
        <w:t>Activités de recherche et de développement</w:t>
      </w:r>
      <w:bookmarkEnd w:id="35"/>
    </w:p>
    <w:p w14:paraId="3F9EBBCC" w14:textId="758CA6B4" w:rsidR="001B6D59" w:rsidRPr="00C17031" w:rsidRDefault="001B6D59" w:rsidP="008A28F5">
      <w:pPr>
        <w:spacing w:line="276" w:lineRule="auto"/>
        <w:jc w:val="both"/>
        <w:rPr>
          <w:rFonts w:ascii="Cambria" w:hAnsi="Cambria"/>
          <w:sz w:val="22"/>
          <w:szCs w:val="22"/>
        </w:rPr>
      </w:pPr>
      <w:r>
        <w:rPr>
          <w:rFonts w:ascii="Cambria" w:hAnsi="Cambria"/>
          <w:sz w:val="22"/>
        </w:rPr>
        <w:t xml:space="preserve">Conformément à l'article 2428, paragraphe 2, numéro 1, du Code civil italien, les informations suivantes sont reconnues : Take Off et Over n'ont pas effectué d'activités de recherche et de développement au cours de l'exercice. </w:t>
      </w:r>
    </w:p>
    <w:p w14:paraId="47974FEF" w14:textId="18B477EA" w:rsidR="001B6D59" w:rsidRPr="00EC75DF" w:rsidRDefault="001B6D59" w:rsidP="00EC75DF">
      <w:pPr>
        <w:pStyle w:val="Titolo2"/>
        <w:spacing w:line="360" w:lineRule="auto"/>
        <w:ind w:left="0"/>
        <w:jc w:val="left"/>
        <w:rPr>
          <w:i w:val="0"/>
        </w:rPr>
      </w:pPr>
      <w:bookmarkStart w:id="36" w:name="_Toc112768610"/>
      <w:r>
        <w:rPr>
          <w:i w:val="0"/>
        </w:rPr>
        <w:t>Relations avec les parties liées</w:t>
      </w:r>
      <w:bookmarkEnd w:id="36"/>
      <w:r>
        <w:rPr>
          <w:i w:val="0"/>
        </w:rPr>
        <w:t xml:space="preserve"> </w:t>
      </w:r>
    </w:p>
    <w:p w14:paraId="12E260F7" w14:textId="717773F3" w:rsidR="001B6D59" w:rsidRDefault="001B6D59" w:rsidP="001B6D59">
      <w:pPr>
        <w:spacing w:after="200" w:line="276" w:lineRule="auto"/>
        <w:jc w:val="both"/>
        <w:rPr>
          <w:rFonts w:ascii="Cambria" w:hAnsi="Cambria"/>
          <w:sz w:val="22"/>
        </w:rPr>
      </w:pPr>
      <w:r>
        <w:rPr>
          <w:rFonts w:ascii="Cambria" w:hAnsi="Cambria"/>
          <w:sz w:val="22"/>
        </w:rPr>
        <w:t xml:space="preserve">Au cours de la période considérée, aucune relation commerciale ou financière n'a été entretenue avec les filiales, les sociétés apparentées et les sociétés mères. </w:t>
      </w:r>
    </w:p>
    <w:p w14:paraId="0EA825CB" w14:textId="7E44D542" w:rsidR="008A28F5" w:rsidRDefault="008A28F5" w:rsidP="001B6D59">
      <w:pPr>
        <w:spacing w:after="200" w:line="276" w:lineRule="auto"/>
        <w:jc w:val="both"/>
        <w:rPr>
          <w:rFonts w:ascii="Cambria" w:hAnsi="Cambria"/>
          <w:sz w:val="22"/>
        </w:rPr>
      </w:pPr>
    </w:p>
    <w:p w14:paraId="31B643C2" w14:textId="77777777" w:rsidR="008A28F5" w:rsidRPr="00C17031" w:rsidRDefault="008A28F5" w:rsidP="001B6D59">
      <w:pPr>
        <w:spacing w:after="200" w:line="276" w:lineRule="auto"/>
        <w:jc w:val="both"/>
        <w:rPr>
          <w:rFonts w:ascii="Cambria" w:hAnsi="Cambria"/>
          <w:sz w:val="22"/>
          <w:szCs w:val="22"/>
        </w:rPr>
      </w:pPr>
    </w:p>
    <w:p w14:paraId="11AE8EBE" w14:textId="77777777" w:rsidR="001B6D59" w:rsidRPr="00EC75DF" w:rsidRDefault="001B6D59" w:rsidP="00EC75DF">
      <w:pPr>
        <w:pStyle w:val="Titolo2"/>
        <w:spacing w:line="360" w:lineRule="auto"/>
        <w:ind w:left="0"/>
        <w:jc w:val="left"/>
        <w:rPr>
          <w:i w:val="0"/>
        </w:rPr>
      </w:pPr>
      <w:bookmarkStart w:id="37" w:name="_Toc112768611"/>
      <w:bookmarkStart w:id="38" w:name="OLE_LINK1"/>
      <w:r>
        <w:rPr>
          <w:i w:val="0"/>
        </w:rPr>
        <w:lastRenderedPageBreak/>
        <w:t>Actions propres et actions/quotas des sociétés mères</w:t>
      </w:r>
      <w:bookmarkEnd w:id="37"/>
    </w:p>
    <w:p w14:paraId="70A6CC89" w14:textId="722DB03F" w:rsidR="001B6D59" w:rsidRPr="00C17031" w:rsidRDefault="001B6D59" w:rsidP="001B6D59">
      <w:pPr>
        <w:spacing w:after="200" w:line="276" w:lineRule="auto"/>
        <w:jc w:val="both"/>
        <w:rPr>
          <w:rFonts w:ascii="Cambria" w:hAnsi="Cambria"/>
          <w:sz w:val="22"/>
          <w:szCs w:val="22"/>
        </w:rPr>
      </w:pPr>
      <w:r>
        <w:rPr>
          <w:rFonts w:ascii="Cambria" w:hAnsi="Cambria"/>
          <w:sz w:val="22"/>
        </w:rPr>
        <w:t xml:space="preserve">Les Sociétés ne possèdent pas et n'ont pas acquis ou cédé d'actions propres ou de parts de sociétés mères au cours de la période, que ce soit directement ou par l'intermédiaire d'une société de fiducie ou </w:t>
      </w:r>
      <w:bookmarkEnd w:id="38"/>
      <w:r>
        <w:rPr>
          <w:rFonts w:ascii="Cambria" w:hAnsi="Cambria"/>
          <w:sz w:val="22"/>
        </w:rPr>
        <w:t>d'un tiers.</w:t>
      </w:r>
    </w:p>
    <w:p w14:paraId="4A01A8D8" w14:textId="1503B075" w:rsidR="001B6D59" w:rsidRPr="00EC75DF" w:rsidRDefault="001B6D59" w:rsidP="00EC75DF">
      <w:pPr>
        <w:pStyle w:val="Titolo2"/>
        <w:spacing w:line="360" w:lineRule="auto"/>
        <w:ind w:left="0"/>
        <w:jc w:val="left"/>
        <w:rPr>
          <w:i w:val="0"/>
        </w:rPr>
      </w:pPr>
      <w:bookmarkStart w:id="39" w:name="_Toc112768612"/>
      <w:r>
        <w:rPr>
          <w:i w:val="0"/>
        </w:rPr>
        <w:t>Principaux risques et incertitudes</w:t>
      </w:r>
      <w:bookmarkEnd w:id="39"/>
    </w:p>
    <w:p w14:paraId="6C89439E" w14:textId="474B560E" w:rsidR="00FB29EE" w:rsidRDefault="00FB29EE" w:rsidP="001B6D59">
      <w:pPr>
        <w:spacing w:after="200" w:line="276" w:lineRule="auto"/>
        <w:jc w:val="both"/>
        <w:rPr>
          <w:rFonts w:ascii="Cambria" w:hAnsi="Cambria"/>
          <w:sz w:val="22"/>
          <w:szCs w:val="22"/>
        </w:rPr>
      </w:pPr>
      <w:r>
        <w:rPr>
          <w:rFonts w:ascii="Cambria" w:hAnsi="Cambria"/>
          <w:sz w:val="22"/>
        </w:rPr>
        <w:t>En ce qui concerne l'évaluation des principaux « risques et incertitudes », étant donné que le Groupe opère de manière prudente et adéquate afin de pouvoir faire face à tout événement imprévu et soudain de nature à déstabiliser le contexte dans lequel il opère, veuillez-vous référer à la communication des états financiers (voir note 45 "Gestion des risques financiers").</w:t>
      </w:r>
    </w:p>
    <w:p w14:paraId="371B0AF8" w14:textId="77777777" w:rsidR="001B6D59" w:rsidRPr="001B6D59" w:rsidRDefault="001B6D59" w:rsidP="001B6D59">
      <w:pPr>
        <w:pStyle w:val="Titolo2"/>
        <w:spacing w:line="360" w:lineRule="auto"/>
        <w:ind w:left="0"/>
        <w:jc w:val="left"/>
        <w:rPr>
          <w:i w:val="0"/>
        </w:rPr>
      </w:pPr>
      <w:bookmarkStart w:id="40" w:name="_Toc112768613"/>
      <w:r>
        <w:rPr>
          <w:i w:val="0"/>
        </w:rPr>
        <w:t>Situation économique</w:t>
      </w:r>
      <w:bookmarkEnd w:id="40"/>
    </w:p>
    <w:p w14:paraId="23809B72" w14:textId="77777777" w:rsidR="00A243AE" w:rsidRPr="00F175DC" w:rsidRDefault="001B6D59" w:rsidP="00E6019A">
      <w:pPr>
        <w:spacing w:after="200" w:line="276" w:lineRule="auto"/>
        <w:jc w:val="both"/>
        <w:rPr>
          <w:rFonts w:ascii="Cambria" w:hAnsi="Cambria"/>
          <w:sz w:val="22"/>
          <w:szCs w:val="22"/>
        </w:rPr>
      </w:pPr>
      <w:r>
        <w:rPr>
          <w:rFonts w:ascii="Cambria" w:hAnsi="Cambria"/>
          <w:sz w:val="22"/>
        </w:rPr>
        <w:t>Dès les premiers mois de 2020, le scénario national et international a été affecté négativement par la pandémie causée par la Covid-19. Les stratégies de confinement mises en œuvre par de nombreux gouvernements, dont le nôtre, pour faire face à la propagation du virus ont eu un impact négatif sur l'ensemble du secteur de la distribution et, en particulier, sur la vente de vêtements.</w:t>
      </w:r>
    </w:p>
    <w:p w14:paraId="17D8259B" w14:textId="3A185D6E" w:rsidR="00A243AE" w:rsidRPr="00F175DC" w:rsidRDefault="00A243AE" w:rsidP="00E6019A">
      <w:pPr>
        <w:spacing w:after="200" w:line="276" w:lineRule="auto"/>
        <w:jc w:val="both"/>
        <w:rPr>
          <w:rFonts w:ascii="Cambria" w:hAnsi="Cambria"/>
          <w:sz w:val="22"/>
          <w:szCs w:val="22"/>
        </w:rPr>
      </w:pPr>
      <w:r>
        <w:rPr>
          <w:rFonts w:ascii="Cambria" w:hAnsi="Cambria"/>
          <w:sz w:val="22"/>
        </w:rPr>
        <w:t>Le Groupe a su réagir rapidement à cette situation complexe, en réduisant certains coûts et en maintenant un excellent niveau de rentabilité, comme illustré ci-dessus.</w:t>
      </w:r>
    </w:p>
    <w:p w14:paraId="5A275FD5" w14:textId="0E6F5EF4" w:rsidR="00A243AE" w:rsidRPr="00F175DC" w:rsidRDefault="00A243AE" w:rsidP="00E6019A">
      <w:pPr>
        <w:spacing w:after="200" w:line="276" w:lineRule="auto"/>
        <w:jc w:val="both"/>
        <w:rPr>
          <w:rFonts w:ascii="Cambria" w:hAnsi="Cambria"/>
          <w:sz w:val="22"/>
          <w:szCs w:val="22"/>
        </w:rPr>
      </w:pPr>
      <w:r>
        <w:rPr>
          <w:rFonts w:ascii="Cambria" w:hAnsi="Cambria"/>
          <w:sz w:val="22"/>
        </w:rPr>
        <w:t>La deuxième phase de la pandémie a vu une approche différente des institutions, qui tentent de trouver un équilibre difficile entre la nécessité essentielle de protéger la santé et la survie du tissu économique et industriel du pays. Les fermetures partielles et la forte impulsion donnée au plan de vaccination permettent sans doute de continuer à fonctionner, mais dans un cadre général encore complexe, et aggravé par la propagation de certaines variantes du virus.</w:t>
      </w:r>
    </w:p>
    <w:p w14:paraId="339454E2" w14:textId="08828432" w:rsidR="00A243AE" w:rsidRPr="00C17031" w:rsidRDefault="00F175DC" w:rsidP="00E6019A">
      <w:pPr>
        <w:spacing w:after="200" w:line="276" w:lineRule="auto"/>
        <w:jc w:val="both"/>
        <w:rPr>
          <w:rFonts w:ascii="Cambria" w:hAnsi="Cambria"/>
          <w:sz w:val="22"/>
          <w:szCs w:val="22"/>
        </w:rPr>
      </w:pPr>
      <w:r>
        <w:rPr>
          <w:rFonts w:ascii="Cambria" w:hAnsi="Cambria"/>
          <w:sz w:val="22"/>
        </w:rPr>
        <w:t>Les dirigeants du Groupe, grâce aux politiques de maîtrise des coûts mises en œuvre et à leur capacité à faire face aux difficultés, sont toutefois non seulement confiants dans la bonne tendance des résultats économiques prévisionnels, bien qu'influencés par les effets de la pandémie, mais ils estiment qu'il est essentiel de continuer à investir dans son parcours de croissance et de développement, en profitant également des opportunités qui seront générées par les éventuelles crises de certains opérateurs du marché. Bien entendu, l'espoir est que nous puissions rapidement revenir à une situation normale.</w:t>
      </w:r>
    </w:p>
    <w:p w14:paraId="78BC8A00" w14:textId="0C0D7C1D" w:rsidR="001B6D59" w:rsidRPr="00EC75DF" w:rsidRDefault="00E6019A" w:rsidP="001B6D59">
      <w:pPr>
        <w:spacing w:after="200" w:line="276" w:lineRule="auto"/>
        <w:jc w:val="both"/>
        <w:rPr>
          <w:rFonts w:ascii="Cambria" w:hAnsi="Cambria"/>
          <w:sz w:val="22"/>
          <w:szCs w:val="22"/>
        </w:rPr>
      </w:pPr>
      <w:r>
        <w:rPr>
          <w:rFonts w:ascii="Cambria" w:hAnsi="Cambria"/>
          <w:sz w:val="22"/>
        </w:rPr>
        <w:t xml:space="preserve">Rome, le 07 septembre 2021                                                                       </w:t>
      </w:r>
    </w:p>
    <w:p w14:paraId="74072379" w14:textId="77777777" w:rsidR="001B6D59" w:rsidRPr="00C17031" w:rsidRDefault="00E6019A" w:rsidP="001B6D59">
      <w:pPr>
        <w:spacing w:after="200" w:line="276" w:lineRule="auto"/>
        <w:jc w:val="both"/>
        <w:rPr>
          <w:rFonts w:ascii="Cambria" w:hAnsi="Cambria"/>
          <w:sz w:val="22"/>
          <w:szCs w:val="22"/>
        </w:rPr>
      </w:pPr>
      <w:r>
        <w:rPr>
          <w:rFonts w:ascii="Cambria" w:hAnsi="Cambria"/>
          <w:sz w:val="22"/>
        </w:rPr>
        <w:t>Le Président du Conseil d'Administration</w:t>
      </w:r>
    </w:p>
    <w:p w14:paraId="50E8D45D" w14:textId="77777777" w:rsidR="001B6D59" w:rsidRPr="00C17031" w:rsidRDefault="00E6019A" w:rsidP="001B6D59">
      <w:pPr>
        <w:spacing w:after="200" w:line="276" w:lineRule="auto"/>
        <w:jc w:val="both"/>
        <w:rPr>
          <w:rFonts w:ascii="Cambria" w:hAnsi="Cambria"/>
          <w:sz w:val="22"/>
          <w:szCs w:val="22"/>
        </w:rPr>
      </w:pPr>
      <w:r>
        <w:rPr>
          <w:rFonts w:ascii="Cambria" w:hAnsi="Cambria"/>
          <w:sz w:val="22"/>
        </w:rPr>
        <w:t>Aldo Piccarreta</w:t>
      </w:r>
    </w:p>
    <w:p w14:paraId="0F27D3EC" w14:textId="77777777" w:rsidR="001B6D59" w:rsidRPr="00C17031" w:rsidRDefault="001B6D59" w:rsidP="001B6D59">
      <w:pPr>
        <w:spacing w:after="200" w:line="276" w:lineRule="auto"/>
        <w:jc w:val="both"/>
        <w:rPr>
          <w:rFonts w:ascii="Cambria" w:hAnsi="Cambria"/>
          <w:sz w:val="22"/>
          <w:szCs w:val="22"/>
        </w:rPr>
      </w:pPr>
    </w:p>
    <w:p w14:paraId="05F9B9F0" w14:textId="77777777" w:rsidR="001B6D59" w:rsidRPr="00C17031" w:rsidRDefault="001B6D59" w:rsidP="00F75C34">
      <w:pPr>
        <w:spacing w:after="200" w:line="276" w:lineRule="auto"/>
        <w:jc w:val="both"/>
        <w:rPr>
          <w:rFonts w:ascii="Cambria" w:hAnsi="Cambria"/>
          <w:sz w:val="22"/>
          <w:szCs w:val="22"/>
        </w:rPr>
        <w:sectPr w:rsidR="001B6D59" w:rsidRPr="00C17031" w:rsidSect="00783352">
          <w:footerReference w:type="default" r:id="rId18"/>
          <w:footerReference w:type="first" r:id="rId19"/>
          <w:pgSz w:w="11906" w:h="16838" w:code="9"/>
          <w:pgMar w:top="819" w:right="1134" w:bottom="1134" w:left="1134" w:header="851" w:footer="709" w:gutter="1134"/>
          <w:cols w:space="708"/>
          <w:titlePg/>
          <w:docGrid w:linePitch="360"/>
        </w:sectPr>
      </w:pPr>
    </w:p>
    <w:p w14:paraId="585EDE50" w14:textId="77777777" w:rsidR="00F75C34" w:rsidRPr="00F75C34" w:rsidRDefault="00F75C34" w:rsidP="00F75C34">
      <w:pPr>
        <w:spacing w:after="200" w:line="360" w:lineRule="auto"/>
        <w:jc w:val="both"/>
        <w:rPr>
          <w:rFonts w:ascii="Arial" w:hAnsi="Arial" w:cs="Arial"/>
        </w:rPr>
      </w:pPr>
    </w:p>
    <w:p w14:paraId="4A8390C2" w14:textId="77777777" w:rsidR="00F75C34" w:rsidRPr="00F75C34" w:rsidRDefault="00F75C34" w:rsidP="00F75C34"/>
    <w:p w14:paraId="34553952" w14:textId="0203415C" w:rsidR="00E16D12" w:rsidRPr="00FC0C93" w:rsidRDefault="00A664B0" w:rsidP="00E16D12">
      <w:pPr>
        <w:spacing w:after="200" w:line="276" w:lineRule="auto"/>
        <w:jc w:val="both"/>
        <w:rPr>
          <w:highlight w:val="green"/>
        </w:rPr>
        <w:sectPr w:rsidR="00E16D12" w:rsidRPr="00FC0C93" w:rsidSect="00BE1D27">
          <w:footerReference w:type="first" r:id="rId20"/>
          <w:pgSz w:w="11906" w:h="16838" w:code="9"/>
          <w:pgMar w:top="819" w:right="1134" w:bottom="1134" w:left="1134" w:header="851" w:footer="709" w:gutter="1134"/>
          <w:pgNumType w:start="1"/>
          <w:cols w:space="708"/>
          <w:titlePg/>
          <w:docGrid w:linePitch="360"/>
        </w:sectPr>
      </w:pPr>
      <w:r>
        <w:rPr>
          <w:i/>
          <w:noProof/>
          <w:highlight w:val="green"/>
        </w:rPr>
        <mc:AlternateContent>
          <mc:Choice Requires="wps">
            <w:drawing>
              <wp:anchor distT="0" distB="0" distL="114300" distR="114300" simplePos="0" relativeHeight="251654656" behindDoc="0" locked="0" layoutInCell="1" allowOverlap="1" wp14:anchorId="086EEA2E" wp14:editId="50B5F7B9">
                <wp:simplePos x="0" y="0"/>
                <wp:positionH relativeFrom="column">
                  <wp:posOffset>57785</wp:posOffset>
                </wp:positionH>
                <wp:positionV relativeFrom="paragraph">
                  <wp:posOffset>2192020</wp:posOffset>
                </wp:positionV>
                <wp:extent cx="6372225" cy="1076325"/>
                <wp:effectExtent l="0" t="0" r="0"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76325"/>
                        </a:xfrm>
                        <a:prstGeom prst="rect">
                          <a:avLst/>
                        </a:prstGeom>
                        <a:solidFill>
                          <a:srgbClr val="C00000"/>
                        </a:solidFill>
                        <a:ln>
                          <a:noFill/>
                        </a:ln>
                        <a:effectLst>
                          <a:outerShdw dist="23000" dir="5400000" rotWithShape="0">
                            <a:srgbClr val="000000">
                              <a:alpha val="34999"/>
                            </a:srgbClr>
                          </a:outerShdw>
                        </a:effectLst>
                      </wps:spPr>
                      <wps:txbx>
                        <w:txbxContent>
                          <w:p w14:paraId="1BC68C29" w14:textId="77777777" w:rsidR="00FB17B8" w:rsidRPr="00C17031" w:rsidRDefault="00FB17B8" w:rsidP="00E16D12">
                            <w:pPr>
                              <w:rPr>
                                <w:rFonts w:ascii="Cambria" w:hAnsi="Cambria"/>
                                <w:sz w:val="36"/>
                              </w:rPr>
                            </w:pPr>
                          </w:p>
                          <w:p w14:paraId="18DF2344" w14:textId="4FA49415" w:rsidR="00FB17B8" w:rsidRDefault="00FB17B8" w:rsidP="003F166F">
                            <w:pPr>
                              <w:jc w:val="center"/>
                            </w:pPr>
                            <w:r>
                              <w:rPr>
                                <w:rFonts w:ascii="Cambria" w:hAnsi="Cambria"/>
                                <w:sz w:val="36"/>
                              </w:rPr>
                              <w:t>États financiers agrégés au 30 juin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EEA2E" id="Text Box 5" o:spid="_x0000_s1030" type="#_x0000_t202" style="position:absolute;left:0;text-align:left;margin-left:4.55pt;margin-top:172.6pt;width:501.75pt;height:8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" fillcolor="#c00000" stroked="f">
                <v:shadow on="t" color="black" opacity="22936f" origin=",.5" offset="0,.63889mm"/>
                <v:textbox>
                  <w:txbxContent>
                    <w:p w14:paraId="1BC68C29" w14:textId="77777777" w:rsidR="00FB17B8" w:rsidRPr="00C17031" w:rsidRDefault="00FB17B8" w:rsidP="00E16D12">
                      <w:pPr>
                        <w:rPr>
                          <w:rFonts w:ascii="Cambria" w:hAnsi="Cambria"/>
                          <w:sz w:val="36"/>
                        </w:rPr>
                      </w:pPr>
                    </w:p>
                    <w:p w14:paraId="18DF2344" w14:textId="4FA49415" w:rsidR="00FB17B8" w:rsidRDefault="00FB17B8" w:rsidP="003F166F">
                      <w:pPr>
                        <w:jc w:val="center"/>
                      </w:pPr>
                      <w:r>
                        <w:rPr>
                          <w:rFonts w:ascii="Cambria" w:hAnsi="Cambria"/>
                          <w:sz w:val="36"/>
                        </w:rPr>
                        <w:t>États financiers agrégés au 30 juin 2021</w:t>
                      </w:r>
                    </w:p>
                  </w:txbxContent>
                </v:textbox>
              </v:shape>
            </w:pict>
          </mc:Fallback>
        </mc:AlternateContent>
      </w:r>
    </w:p>
    <w:p w14:paraId="179B77AF" w14:textId="7D020918" w:rsidR="00431871" w:rsidRDefault="00F94B18" w:rsidP="0089588F">
      <w:pPr>
        <w:pStyle w:val="Titolo1"/>
        <w:spacing w:line="240" w:lineRule="auto"/>
        <w:ind w:left="0" w:right="0"/>
        <w:jc w:val="left"/>
        <w:rPr>
          <w:sz w:val="28"/>
          <w:szCs w:val="28"/>
        </w:rPr>
      </w:pPr>
      <w:bookmarkStart w:id="41" w:name="_Toc112768614"/>
      <w:r>
        <w:rPr>
          <w:sz w:val="28"/>
        </w:rPr>
        <w:lastRenderedPageBreak/>
        <w:t>État de la situation financière</w:t>
      </w:r>
      <w:bookmarkEnd w:id="41"/>
    </w:p>
    <w:p w14:paraId="5223E2F1" w14:textId="77777777" w:rsidR="00A42EA4" w:rsidRPr="00A42EA4" w:rsidRDefault="00A42EA4" w:rsidP="00A42EA4"/>
    <w:tbl>
      <w:tblPr>
        <w:tblW w:w="5053" w:type="pct"/>
        <w:tblCellMar>
          <w:left w:w="70" w:type="dxa"/>
          <w:right w:w="70" w:type="dxa"/>
        </w:tblCellMar>
        <w:tblLook w:val="04A0" w:firstRow="1" w:lastRow="0" w:firstColumn="1" w:lastColumn="0" w:noHBand="0" w:noVBand="1"/>
      </w:tblPr>
      <w:tblGrid>
        <w:gridCol w:w="5529"/>
        <w:gridCol w:w="1147"/>
        <w:gridCol w:w="1506"/>
        <w:gridCol w:w="1558"/>
      </w:tblGrid>
      <w:tr w:rsidR="001E338F" w14:paraId="7945A39C" w14:textId="77777777" w:rsidTr="0061181E">
        <w:trPr>
          <w:trHeight w:val="705"/>
        </w:trPr>
        <w:tc>
          <w:tcPr>
            <w:tcW w:w="2838" w:type="pct"/>
            <w:tcBorders>
              <w:top w:val="single" w:sz="4" w:space="0" w:color="0070C0"/>
              <w:left w:val="nil"/>
              <w:bottom w:val="single" w:sz="8" w:space="0" w:color="0070C0"/>
              <w:right w:val="nil"/>
            </w:tcBorders>
            <w:shd w:val="clear" w:color="auto" w:fill="auto"/>
            <w:noWrap/>
            <w:vAlign w:val="bottom"/>
            <w:hideMark/>
          </w:tcPr>
          <w:p w14:paraId="1FD2F2B1" w14:textId="77777777" w:rsidR="001E338F" w:rsidRDefault="001E338F">
            <w:pPr>
              <w:rPr>
                <w:rFonts w:ascii="Calibri Light" w:hAnsi="Calibri Light" w:cs="Calibri Light"/>
                <w:color w:val="000000"/>
                <w:sz w:val="18"/>
                <w:szCs w:val="18"/>
              </w:rPr>
            </w:pPr>
            <w:bookmarkStart w:id="42" w:name="RANGE!B3:H72"/>
            <w:r>
              <w:rPr>
                <w:rFonts w:ascii="Calibri Light" w:hAnsi="Calibri Light"/>
                <w:color w:val="000000"/>
                <w:sz w:val="18"/>
              </w:rPr>
              <w:t>(</w:t>
            </w:r>
            <w:proofErr w:type="gramStart"/>
            <w:r>
              <w:rPr>
                <w:rFonts w:ascii="Calibri Light" w:hAnsi="Calibri Light"/>
                <w:color w:val="000000"/>
                <w:sz w:val="18"/>
              </w:rPr>
              <w:t>en</w:t>
            </w:r>
            <w:proofErr w:type="gramEnd"/>
            <w:r>
              <w:rPr>
                <w:rFonts w:ascii="Calibri Light" w:hAnsi="Calibri Light"/>
                <w:color w:val="000000"/>
                <w:sz w:val="18"/>
              </w:rPr>
              <w:t xml:space="preserve"> euros)</w:t>
            </w:r>
            <w:bookmarkEnd w:id="42"/>
          </w:p>
        </w:tc>
        <w:tc>
          <w:tcPr>
            <w:tcW w:w="589" w:type="pct"/>
            <w:tcBorders>
              <w:top w:val="single" w:sz="4" w:space="0" w:color="0070C0"/>
              <w:left w:val="nil"/>
              <w:bottom w:val="single" w:sz="8" w:space="0" w:color="0070C0"/>
              <w:right w:val="nil"/>
            </w:tcBorders>
            <w:shd w:val="clear" w:color="auto" w:fill="auto"/>
            <w:vAlign w:val="center"/>
            <w:hideMark/>
          </w:tcPr>
          <w:p w14:paraId="7AB54052" w14:textId="77777777" w:rsidR="001E338F" w:rsidRDefault="001E338F">
            <w:pPr>
              <w:jc w:val="center"/>
              <w:rPr>
                <w:rFonts w:ascii="Calibri Light" w:hAnsi="Calibri Light" w:cs="Calibri Light"/>
                <w:b/>
                <w:bCs/>
                <w:color w:val="000000"/>
                <w:sz w:val="18"/>
                <w:szCs w:val="18"/>
              </w:rPr>
            </w:pPr>
            <w:r>
              <w:rPr>
                <w:rFonts w:ascii="Calibri Light" w:hAnsi="Calibri Light"/>
                <w:b/>
                <w:color w:val="000000"/>
                <w:sz w:val="18"/>
              </w:rPr>
              <w:t>Note</w:t>
            </w:r>
          </w:p>
        </w:tc>
        <w:tc>
          <w:tcPr>
            <w:tcW w:w="773" w:type="pct"/>
            <w:tcBorders>
              <w:top w:val="single" w:sz="4" w:space="0" w:color="0070C0"/>
              <w:left w:val="nil"/>
              <w:bottom w:val="single" w:sz="8" w:space="0" w:color="0070C0"/>
              <w:right w:val="nil"/>
            </w:tcBorders>
            <w:shd w:val="clear" w:color="auto" w:fill="auto"/>
            <w:hideMark/>
          </w:tcPr>
          <w:p w14:paraId="167189B2" w14:textId="7826723B" w:rsidR="001E338F" w:rsidRDefault="001E338F">
            <w:pPr>
              <w:jc w:val="center"/>
              <w:rPr>
                <w:rFonts w:ascii="Calibri Light" w:hAnsi="Calibri Light" w:cs="Calibri Light"/>
                <w:b/>
                <w:bCs/>
                <w:color w:val="000000"/>
                <w:sz w:val="18"/>
                <w:szCs w:val="18"/>
              </w:rPr>
            </w:pPr>
            <w:r>
              <w:rPr>
                <w:rFonts w:ascii="Calibri Light" w:hAnsi="Calibri Light"/>
                <w:b/>
                <w:bCs/>
                <w:color w:val="000000"/>
                <w:sz w:val="18"/>
                <w:szCs w:val="18"/>
              </w:rPr>
              <w:br/>
            </w:r>
            <w:r>
              <w:rPr>
                <w:rFonts w:ascii="Calibri Light" w:hAnsi="Calibri Light"/>
                <w:b/>
                <w:color w:val="000000"/>
                <w:sz w:val="18"/>
              </w:rPr>
              <w:t>AGRÉGATION IFRS 30 juin 2021</w:t>
            </w:r>
          </w:p>
        </w:tc>
        <w:tc>
          <w:tcPr>
            <w:tcW w:w="800" w:type="pct"/>
            <w:tcBorders>
              <w:top w:val="single" w:sz="4" w:space="0" w:color="0070C0"/>
              <w:left w:val="nil"/>
              <w:bottom w:val="single" w:sz="8" w:space="0" w:color="0070C0"/>
              <w:right w:val="nil"/>
            </w:tcBorders>
            <w:shd w:val="clear" w:color="auto" w:fill="auto"/>
            <w:hideMark/>
          </w:tcPr>
          <w:p w14:paraId="1CBC278A" w14:textId="385AC8A4" w:rsidR="001E338F" w:rsidRDefault="001E338F">
            <w:pPr>
              <w:jc w:val="center"/>
              <w:rPr>
                <w:rFonts w:ascii="Calibri Light" w:hAnsi="Calibri Light" w:cs="Calibri Light"/>
                <w:b/>
                <w:bCs/>
                <w:color w:val="000000"/>
                <w:sz w:val="18"/>
                <w:szCs w:val="18"/>
              </w:rPr>
            </w:pPr>
            <w:r>
              <w:rPr>
                <w:rFonts w:ascii="Calibri Light" w:hAnsi="Calibri Light"/>
                <w:b/>
                <w:bCs/>
                <w:color w:val="000000"/>
                <w:sz w:val="18"/>
                <w:szCs w:val="18"/>
              </w:rPr>
              <w:br/>
            </w:r>
            <w:r>
              <w:rPr>
                <w:rFonts w:ascii="Calibri Light" w:hAnsi="Calibri Light"/>
                <w:b/>
                <w:color w:val="000000"/>
                <w:sz w:val="18"/>
              </w:rPr>
              <w:t>AGRÉGATION IFRS 31 décembre 2020</w:t>
            </w:r>
          </w:p>
        </w:tc>
      </w:tr>
      <w:tr w:rsidR="001E338F" w14:paraId="283EA7CD" w14:textId="77777777" w:rsidTr="0061181E">
        <w:trPr>
          <w:trHeight w:val="240"/>
        </w:trPr>
        <w:tc>
          <w:tcPr>
            <w:tcW w:w="2838" w:type="pct"/>
            <w:tcBorders>
              <w:top w:val="nil"/>
              <w:left w:val="nil"/>
              <w:bottom w:val="nil"/>
              <w:right w:val="nil"/>
            </w:tcBorders>
            <w:shd w:val="clear" w:color="auto" w:fill="auto"/>
            <w:noWrap/>
            <w:vAlign w:val="bottom"/>
            <w:hideMark/>
          </w:tcPr>
          <w:p w14:paraId="7FA286A3" w14:textId="77777777" w:rsidR="001E338F" w:rsidRDefault="001E338F">
            <w:pPr>
              <w:rPr>
                <w:rFonts w:ascii="Calibri Light" w:hAnsi="Calibri Light" w:cs="Calibri Light"/>
                <w:b/>
                <w:bCs/>
                <w:color w:val="000000"/>
                <w:sz w:val="18"/>
                <w:szCs w:val="18"/>
              </w:rPr>
            </w:pPr>
            <w:r>
              <w:rPr>
                <w:rFonts w:ascii="Calibri Light" w:hAnsi="Calibri Light"/>
                <w:b/>
                <w:color w:val="000000"/>
                <w:sz w:val="18"/>
              </w:rPr>
              <w:t>ACTIF</w:t>
            </w:r>
          </w:p>
        </w:tc>
        <w:tc>
          <w:tcPr>
            <w:tcW w:w="589" w:type="pct"/>
            <w:tcBorders>
              <w:top w:val="nil"/>
              <w:left w:val="nil"/>
              <w:bottom w:val="nil"/>
              <w:right w:val="nil"/>
            </w:tcBorders>
            <w:shd w:val="clear" w:color="auto" w:fill="auto"/>
            <w:noWrap/>
            <w:vAlign w:val="bottom"/>
            <w:hideMark/>
          </w:tcPr>
          <w:p w14:paraId="19141BDF" w14:textId="77777777" w:rsidR="001E338F" w:rsidRDefault="001E338F">
            <w:pPr>
              <w:rPr>
                <w:rFonts w:ascii="Calibri Light" w:hAnsi="Calibri Light" w:cs="Calibri Light"/>
                <w:b/>
                <w:bCs/>
                <w:color w:val="000000"/>
                <w:sz w:val="18"/>
                <w:szCs w:val="18"/>
              </w:rPr>
            </w:pPr>
          </w:p>
        </w:tc>
        <w:tc>
          <w:tcPr>
            <w:tcW w:w="773" w:type="pct"/>
            <w:tcBorders>
              <w:top w:val="nil"/>
              <w:left w:val="nil"/>
              <w:bottom w:val="nil"/>
              <w:right w:val="nil"/>
            </w:tcBorders>
            <w:shd w:val="clear" w:color="auto" w:fill="auto"/>
            <w:vAlign w:val="bottom"/>
            <w:hideMark/>
          </w:tcPr>
          <w:p w14:paraId="337DE8D8" w14:textId="77777777" w:rsidR="001E338F" w:rsidRDefault="001E338F">
            <w:pPr>
              <w:rPr>
                <w:sz w:val="20"/>
                <w:szCs w:val="20"/>
              </w:rPr>
            </w:pPr>
          </w:p>
        </w:tc>
        <w:tc>
          <w:tcPr>
            <w:tcW w:w="800" w:type="pct"/>
            <w:tcBorders>
              <w:top w:val="nil"/>
              <w:left w:val="nil"/>
              <w:bottom w:val="nil"/>
              <w:right w:val="nil"/>
            </w:tcBorders>
            <w:shd w:val="clear" w:color="auto" w:fill="auto"/>
            <w:vAlign w:val="bottom"/>
            <w:hideMark/>
          </w:tcPr>
          <w:p w14:paraId="005A6E1B" w14:textId="77777777" w:rsidR="001E338F" w:rsidRDefault="001E338F">
            <w:pPr>
              <w:jc w:val="center"/>
              <w:rPr>
                <w:sz w:val="20"/>
                <w:szCs w:val="20"/>
              </w:rPr>
            </w:pPr>
          </w:p>
        </w:tc>
      </w:tr>
      <w:tr w:rsidR="001E338F" w14:paraId="7E7E815B" w14:textId="77777777" w:rsidTr="0061181E">
        <w:trPr>
          <w:trHeight w:val="240"/>
        </w:trPr>
        <w:tc>
          <w:tcPr>
            <w:tcW w:w="2838" w:type="pct"/>
            <w:tcBorders>
              <w:top w:val="nil"/>
              <w:left w:val="nil"/>
              <w:bottom w:val="nil"/>
              <w:right w:val="nil"/>
            </w:tcBorders>
            <w:shd w:val="clear" w:color="auto" w:fill="auto"/>
            <w:noWrap/>
            <w:vAlign w:val="bottom"/>
            <w:hideMark/>
          </w:tcPr>
          <w:p w14:paraId="06B81A7A" w14:textId="77777777" w:rsidR="001E338F" w:rsidRDefault="001E338F">
            <w:pPr>
              <w:jc w:val="center"/>
              <w:rPr>
                <w:sz w:val="20"/>
                <w:szCs w:val="20"/>
              </w:rPr>
            </w:pPr>
          </w:p>
        </w:tc>
        <w:tc>
          <w:tcPr>
            <w:tcW w:w="589" w:type="pct"/>
            <w:tcBorders>
              <w:top w:val="nil"/>
              <w:left w:val="nil"/>
              <w:bottom w:val="nil"/>
              <w:right w:val="nil"/>
            </w:tcBorders>
            <w:shd w:val="clear" w:color="auto" w:fill="auto"/>
            <w:noWrap/>
            <w:vAlign w:val="bottom"/>
            <w:hideMark/>
          </w:tcPr>
          <w:p w14:paraId="5FDC6241" w14:textId="77777777" w:rsidR="001E338F" w:rsidRDefault="001E338F">
            <w:pPr>
              <w:rPr>
                <w:sz w:val="20"/>
                <w:szCs w:val="20"/>
              </w:rPr>
            </w:pPr>
          </w:p>
        </w:tc>
        <w:tc>
          <w:tcPr>
            <w:tcW w:w="773" w:type="pct"/>
            <w:tcBorders>
              <w:top w:val="nil"/>
              <w:left w:val="nil"/>
              <w:bottom w:val="nil"/>
              <w:right w:val="nil"/>
            </w:tcBorders>
            <w:shd w:val="clear" w:color="auto" w:fill="auto"/>
            <w:vAlign w:val="bottom"/>
            <w:hideMark/>
          </w:tcPr>
          <w:p w14:paraId="24B250B3" w14:textId="77777777" w:rsidR="001E338F" w:rsidRDefault="001E338F">
            <w:pPr>
              <w:rPr>
                <w:sz w:val="20"/>
                <w:szCs w:val="20"/>
              </w:rPr>
            </w:pPr>
          </w:p>
        </w:tc>
        <w:tc>
          <w:tcPr>
            <w:tcW w:w="800" w:type="pct"/>
            <w:tcBorders>
              <w:top w:val="nil"/>
              <w:left w:val="nil"/>
              <w:bottom w:val="nil"/>
              <w:right w:val="nil"/>
            </w:tcBorders>
            <w:shd w:val="clear" w:color="auto" w:fill="auto"/>
            <w:vAlign w:val="bottom"/>
            <w:hideMark/>
          </w:tcPr>
          <w:p w14:paraId="67CEAAE2" w14:textId="77777777" w:rsidR="001E338F" w:rsidRDefault="001E338F">
            <w:pPr>
              <w:jc w:val="center"/>
              <w:rPr>
                <w:sz w:val="20"/>
                <w:szCs w:val="20"/>
              </w:rPr>
            </w:pPr>
          </w:p>
        </w:tc>
      </w:tr>
      <w:tr w:rsidR="001E338F" w14:paraId="6FA6050E" w14:textId="77777777" w:rsidTr="0061181E">
        <w:trPr>
          <w:trHeight w:val="240"/>
        </w:trPr>
        <w:tc>
          <w:tcPr>
            <w:tcW w:w="2838" w:type="pct"/>
            <w:tcBorders>
              <w:top w:val="nil"/>
              <w:left w:val="nil"/>
              <w:bottom w:val="nil"/>
              <w:right w:val="nil"/>
            </w:tcBorders>
            <w:shd w:val="clear" w:color="auto" w:fill="auto"/>
            <w:noWrap/>
            <w:vAlign w:val="bottom"/>
            <w:hideMark/>
          </w:tcPr>
          <w:p w14:paraId="5635776B" w14:textId="77777777" w:rsidR="001E338F" w:rsidRDefault="001E338F">
            <w:pPr>
              <w:rPr>
                <w:rFonts w:ascii="Calibri Light" w:hAnsi="Calibri Light" w:cs="Calibri Light"/>
                <w:b/>
                <w:bCs/>
                <w:color w:val="000000"/>
                <w:sz w:val="18"/>
                <w:szCs w:val="18"/>
              </w:rPr>
            </w:pPr>
            <w:r>
              <w:rPr>
                <w:rFonts w:ascii="Calibri Light" w:hAnsi="Calibri Light"/>
                <w:b/>
                <w:color w:val="000000"/>
                <w:sz w:val="18"/>
              </w:rPr>
              <w:t>Actifs à long terme</w:t>
            </w:r>
          </w:p>
        </w:tc>
        <w:tc>
          <w:tcPr>
            <w:tcW w:w="589" w:type="pct"/>
            <w:tcBorders>
              <w:top w:val="nil"/>
              <w:left w:val="nil"/>
              <w:bottom w:val="nil"/>
              <w:right w:val="nil"/>
            </w:tcBorders>
            <w:shd w:val="clear" w:color="auto" w:fill="auto"/>
            <w:noWrap/>
            <w:vAlign w:val="bottom"/>
            <w:hideMark/>
          </w:tcPr>
          <w:p w14:paraId="5C332B58" w14:textId="77777777" w:rsidR="001E338F" w:rsidRDefault="001E338F">
            <w:pPr>
              <w:rPr>
                <w:rFonts w:ascii="Calibri Light" w:hAnsi="Calibri Light" w:cs="Calibri Light"/>
                <w:b/>
                <w:bCs/>
                <w:color w:val="000000"/>
                <w:sz w:val="18"/>
                <w:szCs w:val="18"/>
              </w:rPr>
            </w:pPr>
          </w:p>
        </w:tc>
        <w:tc>
          <w:tcPr>
            <w:tcW w:w="773" w:type="pct"/>
            <w:tcBorders>
              <w:top w:val="nil"/>
              <w:left w:val="nil"/>
              <w:bottom w:val="nil"/>
              <w:right w:val="nil"/>
            </w:tcBorders>
            <w:shd w:val="clear" w:color="auto" w:fill="auto"/>
            <w:noWrap/>
            <w:vAlign w:val="bottom"/>
            <w:hideMark/>
          </w:tcPr>
          <w:p w14:paraId="3212C941" w14:textId="77777777" w:rsidR="001E338F" w:rsidRDefault="001E338F">
            <w:pPr>
              <w:rPr>
                <w:sz w:val="20"/>
                <w:szCs w:val="20"/>
              </w:rPr>
            </w:pPr>
          </w:p>
        </w:tc>
        <w:tc>
          <w:tcPr>
            <w:tcW w:w="800" w:type="pct"/>
            <w:tcBorders>
              <w:top w:val="nil"/>
              <w:left w:val="nil"/>
              <w:bottom w:val="nil"/>
              <w:right w:val="nil"/>
            </w:tcBorders>
            <w:shd w:val="clear" w:color="auto" w:fill="auto"/>
            <w:noWrap/>
            <w:vAlign w:val="bottom"/>
            <w:hideMark/>
          </w:tcPr>
          <w:p w14:paraId="15BF86E0" w14:textId="77777777" w:rsidR="001E338F" w:rsidRDefault="001E338F">
            <w:pPr>
              <w:rPr>
                <w:sz w:val="20"/>
                <w:szCs w:val="20"/>
              </w:rPr>
            </w:pPr>
          </w:p>
        </w:tc>
      </w:tr>
      <w:tr w:rsidR="001E338F" w14:paraId="3EDFB34B" w14:textId="77777777" w:rsidTr="0061181E">
        <w:trPr>
          <w:trHeight w:val="240"/>
        </w:trPr>
        <w:tc>
          <w:tcPr>
            <w:tcW w:w="2838" w:type="pct"/>
            <w:tcBorders>
              <w:top w:val="nil"/>
              <w:left w:val="nil"/>
              <w:bottom w:val="nil"/>
              <w:right w:val="nil"/>
            </w:tcBorders>
            <w:shd w:val="clear" w:color="auto" w:fill="auto"/>
            <w:noWrap/>
            <w:vAlign w:val="bottom"/>
            <w:hideMark/>
          </w:tcPr>
          <w:p w14:paraId="4F1CE771" w14:textId="77777777" w:rsidR="001E338F" w:rsidRDefault="001E338F">
            <w:pPr>
              <w:rPr>
                <w:rFonts w:ascii="Calibri Light" w:hAnsi="Calibri Light" w:cs="Calibri Light"/>
                <w:color w:val="000000"/>
                <w:sz w:val="18"/>
                <w:szCs w:val="18"/>
              </w:rPr>
            </w:pPr>
            <w:r>
              <w:rPr>
                <w:rFonts w:ascii="Calibri Light" w:hAnsi="Calibri Light"/>
                <w:color w:val="000000"/>
                <w:sz w:val="18"/>
              </w:rPr>
              <w:t>Immobilisations corporelles</w:t>
            </w:r>
          </w:p>
        </w:tc>
        <w:tc>
          <w:tcPr>
            <w:tcW w:w="589" w:type="pct"/>
            <w:tcBorders>
              <w:top w:val="nil"/>
              <w:left w:val="nil"/>
              <w:bottom w:val="nil"/>
              <w:right w:val="nil"/>
            </w:tcBorders>
            <w:shd w:val="clear" w:color="auto" w:fill="auto"/>
            <w:noWrap/>
            <w:vAlign w:val="bottom"/>
            <w:hideMark/>
          </w:tcPr>
          <w:p w14:paraId="22E7AF8C"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(7)</w:t>
            </w:r>
          </w:p>
        </w:tc>
        <w:tc>
          <w:tcPr>
            <w:tcW w:w="773" w:type="pct"/>
            <w:tcBorders>
              <w:top w:val="nil"/>
              <w:left w:val="nil"/>
              <w:bottom w:val="nil"/>
              <w:right w:val="nil"/>
            </w:tcBorders>
            <w:shd w:val="clear" w:color="auto" w:fill="auto"/>
            <w:noWrap/>
            <w:vAlign w:val="bottom"/>
            <w:hideMark/>
          </w:tcPr>
          <w:p w14:paraId="2D464B01"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1 328 086</w:t>
            </w:r>
          </w:p>
        </w:tc>
        <w:tc>
          <w:tcPr>
            <w:tcW w:w="800" w:type="pct"/>
            <w:tcBorders>
              <w:top w:val="nil"/>
              <w:left w:val="nil"/>
              <w:bottom w:val="nil"/>
              <w:right w:val="nil"/>
            </w:tcBorders>
            <w:shd w:val="clear" w:color="auto" w:fill="auto"/>
            <w:noWrap/>
            <w:vAlign w:val="bottom"/>
            <w:hideMark/>
          </w:tcPr>
          <w:p w14:paraId="7CB8213A"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1 961 109</w:t>
            </w:r>
          </w:p>
        </w:tc>
      </w:tr>
      <w:tr w:rsidR="001E338F" w14:paraId="1004E548" w14:textId="77777777" w:rsidTr="0061181E">
        <w:trPr>
          <w:trHeight w:val="240"/>
        </w:trPr>
        <w:tc>
          <w:tcPr>
            <w:tcW w:w="2838" w:type="pct"/>
            <w:tcBorders>
              <w:top w:val="nil"/>
              <w:left w:val="nil"/>
              <w:bottom w:val="nil"/>
              <w:right w:val="nil"/>
            </w:tcBorders>
            <w:shd w:val="clear" w:color="auto" w:fill="auto"/>
            <w:noWrap/>
            <w:vAlign w:val="bottom"/>
            <w:hideMark/>
          </w:tcPr>
          <w:p w14:paraId="26EE1C97" w14:textId="77777777" w:rsidR="001E338F" w:rsidRDefault="001E338F">
            <w:pPr>
              <w:rPr>
                <w:rFonts w:ascii="Calibri Light" w:hAnsi="Calibri Light" w:cs="Calibri Light"/>
                <w:color w:val="000000"/>
                <w:sz w:val="18"/>
                <w:szCs w:val="18"/>
              </w:rPr>
            </w:pPr>
            <w:r>
              <w:rPr>
                <w:rFonts w:ascii="Calibri Light" w:hAnsi="Calibri Light"/>
                <w:color w:val="000000"/>
                <w:sz w:val="18"/>
              </w:rPr>
              <w:t>Immobilisations incorporelles</w:t>
            </w:r>
          </w:p>
        </w:tc>
        <w:tc>
          <w:tcPr>
            <w:tcW w:w="589" w:type="pct"/>
            <w:tcBorders>
              <w:top w:val="nil"/>
              <w:left w:val="nil"/>
              <w:bottom w:val="nil"/>
              <w:right w:val="nil"/>
            </w:tcBorders>
            <w:shd w:val="clear" w:color="auto" w:fill="auto"/>
            <w:noWrap/>
            <w:vAlign w:val="bottom"/>
            <w:hideMark/>
          </w:tcPr>
          <w:p w14:paraId="17CB8641"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(8)</w:t>
            </w:r>
          </w:p>
        </w:tc>
        <w:tc>
          <w:tcPr>
            <w:tcW w:w="773" w:type="pct"/>
            <w:tcBorders>
              <w:top w:val="nil"/>
              <w:left w:val="nil"/>
              <w:bottom w:val="nil"/>
              <w:right w:val="nil"/>
            </w:tcBorders>
            <w:shd w:val="clear" w:color="auto" w:fill="auto"/>
            <w:noWrap/>
            <w:vAlign w:val="bottom"/>
            <w:hideMark/>
          </w:tcPr>
          <w:p w14:paraId="75EA2455"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119 607</w:t>
            </w:r>
          </w:p>
        </w:tc>
        <w:tc>
          <w:tcPr>
            <w:tcW w:w="800" w:type="pct"/>
            <w:tcBorders>
              <w:top w:val="nil"/>
              <w:left w:val="nil"/>
              <w:bottom w:val="nil"/>
              <w:right w:val="nil"/>
            </w:tcBorders>
            <w:shd w:val="clear" w:color="auto" w:fill="auto"/>
            <w:noWrap/>
            <w:vAlign w:val="bottom"/>
            <w:hideMark/>
          </w:tcPr>
          <w:p w14:paraId="3280BDFA"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15 185</w:t>
            </w:r>
          </w:p>
        </w:tc>
      </w:tr>
      <w:tr w:rsidR="001E338F" w14:paraId="06861BEA" w14:textId="77777777" w:rsidTr="0061181E">
        <w:trPr>
          <w:trHeight w:val="240"/>
        </w:trPr>
        <w:tc>
          <w:tcPr>
            <w:tcW w:w="2838" w:type="pct"/>
            <w:tcBorders>
              <w:top w:val="nil"/>
              <w:left w:val="nil"/>
              <w:bottom w:val="nil"/>
              <w:right w:val="nil"/>
            </w:tcBorders>
            <w:shd w:val="clear" w:color="auto" w:fill="auto"/>
            <w:noWrap/>
            <w:vAlign w:val="bottom"/>
            <w:hideMark/>
          </w:tcPr>
          <w:p w14:paraId="26DCBD3F" w14:textId="77777777" w:rsidR="001E338F" w:rsidRDefault="001E338F">
            <w:pPr>
              <w:rPr>
                <w:rFonts w:ascii="Calibri Light" w:hAnsi="Calibri Light" w:cs="Calibri Light"/>
                <w:color w:val="000000"/>
                <w:sz w:val="18"/>
                <w:szCs w:val="18"/>
              </w:rPr>
            </w:pPr>
            <w:r>
              <w:rPr>
                <w:rFonts w:ascii="Calibri Light" w:hAnsi="Calibri Light"/>
                <w:color w:val="000000"/>
                <w:sz w:val="18"/>
              </w:rPr>
              <w:t>Droits d’utilisation</w:t>
            </w:r>
          </w:p>
        </w:tc>
        <w:tc>
          <w:tcPr>
            <w:tcW w:w="589" w:type="pct"/>
            <w:tcBorders>
              <w:top w:val="nil"/>
              <w:left w:val="nil"/>
              <w:bottom w:val="nil"/>
              <w:right w:val="nil"/>
            </w:tcBorders>
            <w:shd w:val="clear" w:color="auto" w:fill="auto"/>
            <w:noWrap/>
            <w:vAlign w:val="bottom"/>
            <w:hideMark/>
          </w:tcPr>
          <w:p w14:paraId="7D54D54D"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(9)</w:t>
            </w:r>
          </w:p>
        </w:tc>
        <w:tc>
          <w:tcPr>
            <w:tcW w:w="773" w:type="pct"/>
            <w:tcBorders>
              <w:top w:val="nil"/>
              <w:left w:val="nil"/>
              <w:bottom w:val="nil"/>
              <w:right w:val="nil"/>
            </w:tcBorders>
            <w:shd w:val="clear" w:color="auto" w:fill="auto"/>
            <w:noWrap/>
            <w:vAlign w:val="bottom"/>
            <w:hideMark/>
          </w:tcPr>
          <w:p w14:paraId="3A87ECC0"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7 125 449</w:t>
            </w:r>
          </w:p>
        </w:tc>
        <w:tc>
          <w:tcPr>
            <w:tcW w:w="800" w:type="pct"/>
            <w:tcBorders>
              <w:top w:val="nil"/>
              <w:left w:val="nil"/>
              <w:bottom w:val="nil"/>
              <w:right w:val="nil"/>
            </w:tcBorders>
            <w:shd w:val="clear" w:color="auto" w:fill="auto"/>
            <w:noWrap/>
            <w:vAlign w:val="bottom"/>
            <w:hideMark/>
          </w:tcPr>
          <w:p w14:paraId="0B924C4F"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7 789 800</w:t>
            </w:r>
          </w:p>
        </w:tc>
      </w:tr>
      <w:tr w:rsidR="001E338F" w14:paraId="2FC3C8DC" w14:textId="77777777" w:rsidTr="0061181E">
        <w:trPr>
          <w:trHeight w:val="240"/>
        </w:trPr>
        <w:tc>
          <w:tcPr>
            <w:tcW w:w="2838" w:type="pct"/>
            <w:tcBorders>
              <w:top w:val="nil"/>
              <w:left w:val="nil"/>
              <w:bottom w:val="nil"/>
              <w:right w:val="nil"/>
            </w:tcBorders>
            <w:shd w:val="clear" w:color="auto" w:fill="auto"/>
            <w:noWrap/>
            <w:vAlign w:val="bottom"/>
            <w:hideMark/>
          </w:tcPr>
          <w:p w14:paraId="126E5D4C" w14:textId="77777777" w:rsidR="001E338F" w:rsidRDefault="001E338F">
            <w:pPr>
              <w:rPr>
                <w:rFonts w:ascii="Calibri Light" w:hAnsi="Calibri Light" w:cs="Calibri Light"/>
                <w:color w:val="000000"/>
                <w:sz w:val="18"/>
                <w:szCs w:val="18"/>
              </w:rPr>
            </w:pPr>
            <w:r>
              <w:rPr>
                <w:rFonts w:ascii="Calibri Light" w:hAnsi="Calibri Light"/>
                <w:color w:val="000000"/>
                <w:sz w:val="18"/>
              </w:rPr>
              <w:t>Autres créances à long terme</w:t>
            </w:r>
          </w:p>
        </w:tc>
        <w:tc>
          <w:tcPr>
            <w:tcW w:w="589" w:type="pct"/>
            <w:tcBorders>
              <w:top w:val="nil"/>
              <w:left w:val="nil"/>
              <w:bottom w:val="nil"/>
              <w:right w:val="nil"/>
            </w:tcBorders>
            <w:shd w:val="clear" w:color="auto" w:fill="auto"/>
            <w:noWrap/>
            <w:vAlign w:val="bottom"/>
            <w:hideMark/>
          </w:tcPr>
          <w:p w14:paraId="2EFDF691"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(10)</w:t>
            </w:r>
          </w:p>
        </w:tc>
        <w:tc>
          <w:tcPr>
            <w:tcW w:w="773" w:type="pct"/>
            <w:tcBorders>
              <w:top w:val="nil"/>
              <w:left w:val="nil"/>
              <w:bottom w:val="nil"/>
              <w:right w:val="nil"/>
            </w:tcBorders>
            <w:shd w:val="clear" w:color="auto" w:fill="auto"/>
            <w:noWrap/>
            <w:vAlign w:val="bottom"/>
            <w:hideMark/>
          </w:tcPr>
          <w:p w14:paraId="5FE8D6DD"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470 071</w:t>
            </w:r>
          </w:p>
        </w:tc>
        <w:tc>
          <w:tcPr>
            <w:tcW w:w="800" w:type="pct"/>
            <w:tcBorders>
              <w:top w:val="nil"/>
              <w:left w:val="nil"/>
              <w:bottom w:val="nil"/>
              <w:right w:val="nil"/>
            </w:tcBorders>
            <w:shd w:val="clear" w:color="auto" w:fill="auto"/>
            <w:noWrap/>
            <w:vAlign w:val="bottom"/>
            <w:hideMark/>
          </w:tcPr>
          <w:p w14:paraId="0287D35A"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479 103</w:t>
            </w:r>
          </w:p>
        </w:tc>
      </w:tr>
      <w:tr w:rsidR="001E338F" w14:paraId="43CEBBDC" w14:textId="77777777" w:rsidTr="0061181E">
        <w:trPr>
          <w:trHeight w:val="240"/>
        </w:trPr>
        <w:tc>
          <w:tcPr>
            <w:tcW w:w="2838" w:type="pct"/>
            <w:tcBorders>
              <w:top w:val="nil"/>
              <w:left w:val="nil"/>
              <w:bottom w:val="nil"/>
              <w:right w:val="nil"/>
            </w:tcBorders>
            <w:shd w:val="clear" w:color="auto" w:fill="auto"/>
            <w:noWrap/>
            <w:vAlign w:val="bottom"/>
            <w:hideMark/>
          </w:tcPr>
          <w:p w14:paraId="04FD7D5D" w14:textId="77777777" w:rsidR="001E338F" w:rsidRDefault="001E338F">
            <w:pPr>
              <w:rPr>
                <w:rFonts w:ascii="Calibri Light" w:hAnsi="Calibri Light" w:cs="Calibri Light"/>
                <w:color w:val="000000"/>
                <w:sz w:val="18"/>
                <w:szCs w:val="18"/>
              </w:rPr>
            </w:pPr>
            <w:r>
              <w:rPr>
                <w:rFonts w:ascii="Calibri Light" w:hAnsi="Calibri Light"/>
                <w:color w:val="000000"/>
                <w:sz w:val="18"/>
              </w:rPr>
              <w:t>Actif d’impôt différé</w:t>
            </w:r>
          </w:p>
        </w:tc>
        <w:tc>
          <w:tcPr>
            <w:tcW w:w="589" w:type="pct"/>
            <w:tcBorders>
              <w:top w:val="nil"/>
              <w:left w:val="nil"/>
              <w:bottom w:val="nil"/>
              <w:right w:val="nil"/>
            </w:tcBorders>
            <w:shd w:val="clear" w:color="auto" w:fill="auto"/>
            <w:noWrap/>
            <w:vAlign w:val="bottom"/>
            <w:hideMark/>
          </w:tcPr>
          <w:p w14:paraId="0BBF104F"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(11)</w:t>
            </w:r>
          </w:p>
        </w:tc>
        <w:tc>
          <w:tcPr>
            <w:tcW w:w="773" w:type="pct"/>
            <w:tcBorders>
              <w:top w:val="nil"/>
              <w:left w:val="nil"/>
              <w:bottom w:val="nil"/>
              <w:right w:val="nil"/>
            </w:tcBorders>
            <w:shd w:val="clear" w:color="auto" w:fill="auto"/>
            <w:noWrap/>
            <w:vAlign w:val="bottom"/>
            <w:hideMark/>
          </w:tcPr>
          <w:p w14:paraId="3BE17107"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1 361 408</w:t>
            </w:r>
          </w:p>
        </w:tc>
        <w:tc>
          <w:tcPr>
            <w:tcW w:w="800" w:type="pct"/>
            <w:tcBorders>
              <w:top w:val="nil"/>
              <w:left w:val="nil"/>
              <w:bottom w:val="nil"/>
              <w:right w:val="nil"/>
            </w:tcBorders>
            <w:shd w:val="clear" w:color="auto" w:fill="auto"/>
            <w:noWrap/>
            <w:vAlign w:val="bottom"/>
            <w:hideMark/>
          </w:tcPr>
          <w:p w14:paraId="52B9FA93"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1 543 811</w:t>
            </w:r>
          </w:p>
        </w:tc>
      </w:tr>
      <w:tr w:rsidR="001E338F" w14:paraId="076D7BA6" w14:textId="77777777" w:rsidTr="0061181E">
        <w:trPr>
          <w:trHeight w:val="240"/>
        </w:trPr>
        <w:tc>
          <w:tcPr>
            <w:tcW w:w="2838" w:type="pct"/>
            <w:tcBorders>
              <w:top w:val="nil"/>
              <w:left w:val="nil"/>
              <w:bottom w:val="nil"/>
              <w:right w:val="nil"/>
            </w:tcBorders>
            <w:shd w:val="clear" w:color="auto" w:fill="auto"/>
            <w:noWrap/>
            <w:vAlign w:val="bottom"/>
            <w:hideMark/>
          </w:tcPr>
          <w:p w14:paraId="6D09B452" w14:textId="77777777" w:rsidR="001E338F" w:rsidRDefault="001E338F">
            <w:pPr>
              <w:rPr>
                <w:rFonts w:ascii="Calibri Light" w:hAnsi="Calibri Light" w:cs="Calibri Light"/>
                <w:b/>
                <w:bCs/>
                <w:color w:val="000000"/>
                <w:sz w:val="18"/>
                <w:szCs w:val="18"/>
              </w:rPr>
            </w:pPr>
            <w:r>
              <w:rPr>
                <w:rFonts w:ascii="Calibri Light" w:hAnsi="Calibri Light"/>
                <w:b/>
                <w:color w:val="000000"/>
                <w:sz w:val="18"/>
              </w:rPr>
              <w:t>TOTAL ACTIFS À LONG TERME</w:t>
            </w:r>
          </w:p>
        </w:tc>
        <w:tc>
          <w:tcPr>
            <w:tcW w:w="589" w:type="pct"/>
            <w:tcBorders>
              <w:top w:val="nil"/>
              <w:left w:val="nil"/>
              <w:bottom w:val="nil"/>
              <w:right w:val="nil"/>
            </w:tcBorders>
            <w:shd w:val="clear" w:color="auto" w:fill="auto"/>
            <w:noWrap/>
            <w:vAlign w:val="bottom"/>
            <w:hideMark/>
          </w:tcPr>
          <w:p w14:paraId="28579FFB" w14:textId="77777777" w:rsidR="001E338F" w:rsidRDefault="001E338F">
            <w:pPr>
              <w:rPr>
                <w:rFonts w:ascii="Calibri Light" w:hAnsi="Calibri Light" w:cs="Calibri Light"/>
                <w:b/>
                <w:bCs/>
                <w:color w:val="000000"/>
                <w:sz w:val="18"/>
                <w:szCs w:val="18"/>
              </w:rPr>
            </w:pPr>
          </w:p>
        </w:tc>
        <w:tc>
          <w:tcPr>
            <w:tcW w:w="773" w:type="pct"/>
            <w:tcBorders>
              <w:top w:val="single" w:sz="4" w:space="0" w:color="auto"/>
              <w:left w:val="nil"/>
              <w:bottom w:val="nil"/>
              <w:right w:val="nil"/>
            </w:tcBorders>
            <w:shd w:val="clear" w:color="auto" w:fill="auto"/>
            <w:noWrap/>
            <w:vAlign w:val="bottom"/>
            <w:hideMark/>
          </w:tcPr>
          <w:p w14:paraId="44A13321" w14:textId="77777777" w:rsidR="001E338F" w:rsidRDefault="001E338F">
            <w:pPr>
              <w:jc w:val="right"/>
              <w:rPr>
                <w:rFonts w:ascii="Calibri Light" w:hAnsi="Calibri Light" w:cs="Calibri Light"/>
                <w:b/>
                <w:bCs/>
                <w:color w:val="000000"/>
                <w:sz w:val="18"/>
                <w:szCs w:val="18"/>
              </w:rPr>
            </w:pPr>
            <w:r>
              <w:rPr>
                <w:rFonts w:ascii="Calibri Light" w:hAnsi="Calibri Light"/>
                <w:b/>
                <w:color w:val="000000"/>
                <w:sz w:val="18"/>
              </w:rPr>
              <w:t>10 404 620</w:t>
            </w:r>
          </w:p>
        </w:tc>
        <w:tc>
          <w:tcPr>
            <w:tcW w:w="800" w:type="pct"/>
            <w:tcBorders>
              <w:top w:val="single" w:sz="4" w:space="0" w:color="auto"/>
              <w:left w:val="nil"/>
              <w:bottom w:val="nil"/>
              <w:right w:val="nil"/>
            </w:tcBorders>
            <w:shd w:val="clear" w:color="auto" w:fill="auto"/>
            <w:noWrap/>
            <w:vAlign w:val="bottom"/>
            <w:hideMark/>
          </w:tcPr>
          <w:p w14:paraId="773355BF" w14:textId="77777777" w:rsidR="001E338F" w:rsidRDefault="001E338F">
            <w:pPr>
              <w:jc w:val="right"/>
              <w:rPr>
                <w:rFonts w:ascii="Calibri Light" w:hAnsi="Calibri Light" w:cs="Calibri Light"/>
                <w:b/>
                <w:bCs/>
                <w:color w:val="000000"/>
                <w:sz w:val="18"/>
                <w:szCs w:val="18"/>
              </w:rPr>
            </w:pPr>
            <w:r>
              <w:rPr>
                <w:rFonts w:ascii="Calibri Light" w:hAnsi="Calibri Light"/>
                <w:b/>
                <w:color w:val="000000"/>
                <w:sz w:val="18"/>
              </w:rPr>
              <w:t>11 789 008</w:t>
            </w:r>
          </w:p>
        </w:tc>
      </w:tr>
      <w:tr w:rsidR="001E338F" w14:paraId="42135C36" w14:textId="77777777" w:rsidTr="0061181E">
        <w:trPr>
          <w:trHeight w:val="240"/>
        </w:trPr>
        <w:tc>
          <w:tcPr>
            <w:tcW w:w="2838" w:type="pct"/>
            <w:tcBorders>
              <w:top w:val="nil"/>
              <w:left w:val="nil"/>
              <w:bottom w:val="nil"/>
              <w:right w:val="nil"/>
            </w:tcBorders>
            <w:shd w:val="clear" w:color="auto" w:fill="auto"/>
            <w:noWrap/>
            <w:vAlign w:val="bottom"/>
            <w:hideMark/>
          </w:tcPr>
          <w:p w14:paraId="0E2D3B24" w14:textId="77777777" w:rsidR="001E338F" w:rsidRDefault="001E338F">
            <w:pPr>
              <w:jc w:val="right"/>
              <w:rPr>
                <w:rFonts w:ascii="Calibri Light" w:hAnsi="Calibri Light" w:cs="Calibri Light"/>
                <w:b/>
                <w:bCs/>
                <w:color w:val="000000"/>
                <w:sz w:val="18"/>
                <w:szCs w:val="18"/>
              </w:rPr>
            </w:pPr>
          </w:p>
        </w:tc>
        <w:tc>
          <w:tcPr>
            <w:tcW w:w="589" w:type="pct"/>
            <w:tcBorders>
              <w:top w:val="nil"/>
              <w:left w:val="nil"/>
              <w:bottom w:val="nil"/>
              <w:right w:val="nil"/>
            </w:tcBorders>
            <w:shd w:val="clear" w:color="auto" w:fill="auto"/>
            <w:noWrap/>
            <w:vAlign w:val="bottom"/>
            <w:hideMark/>
          </w:tcPr>
          <w:p w14:paraId="78429184" w14:textId="77777777" w:rsidR="001E338F" w:rsidRDefault="001E338F">
            <w:pPr>
              <w:rPr>
                <w:sz w:val="20"/>
                <w:szCs w:val="20"/>
              </w:rPr>
            </w:pPr>
          </w:p>
        </w:tc>
        <w:tc>
          <w:tcPr>
            <w:tcW w:w="773" w:type="pct"/>
            <w:tcBorders>
              <w:top w:val="nil"/>
              <w:left w:val="nil"/>
              <w:bottom w:val="nil"/>
              <w:right w:val="nil"/>
            </w:tcBorders>
            <w:shd w:val="clear" w:color="auto" w:fill="auto"/>
            <w:noWrap/>
            <w:vAlign w:val="bottom"/>
            <w:hideMark/>
          </w:tcPr>
          <w:p w14:paraId="2CD5730F" w14:textId="77777777" w:rsidR="001E338F" w:rsidRDefault="001E338F">
            <w:pPr>
              <w:jc w:val="center"/>
              <w:rPr>
                <w:sz w:val="20"/>
                <w:szCs w:val="20"/>
              </w:rPr>
            </w:pPr>
          </w:p>
        </w:tc>
        <w:tc>
          <w:tcPr>
            <w:tcW w:w="800" w:type="pct"/>
            <w:tcBorders>
              <w:top w:val="nil"/>
              <w:left w:val="nil"/>
              <w:bottom w:val="nil"/>
              <w:right w:val="nil"/>
            </w:tcBorders>
            <w:shd w:val="clear" w:color="auto" w:fill="auto"/>
            <w:noWrap/>
            <w:vAlign w:val="bottom"/>
            <w:hideMark/>
          </w:tcPr>
          <w:p w14:paraId="13ABD4E7" w14:textId="77777777" w:rsidR="001E338F" w:rsidRDefault="001E338F">
            <w:pPr>
              <w:rPr>
                <w:sz w:val="20"/>
                <w:szCs w:val="20"/>
              </w:rPr>
            </w:pPr>
          </w:p>
        </w:tc>
      </w:tr>
      <w:tr w:rsidR="001E338F" w14:paraId="27F7F7FF" w14:textId="77777777" w:rsidTr="0061181E">
        <w:trPr>
          <w:trHeight w:val="240"/>
        </w:trPr>
        <w:tc>
          <w:tcPr>
            <w:tcW w:w="2838" w:type="pct"/>
            <w:tcBorders>
              <w:top w:val="nil"/>
              <w:left w:val="nil"/>
              <w:bottom w:val="nil"/>
              <w:right w:val="nil"/>
            </w:tcBorders>
            <w:shd w:val="clear" w:color="auto" w:fill="auto"/>
            <w:noWrap/>
            <w:vAlign w:val="bottom"/>
            <w:hideMark/>
          </w:tcPr>
          <w:p w14:paraId="7BC56997" w14:textId="77777777" w:rsidR="001E338F" w:rsidRDefault="001E338F">
            <w:pPr>
              <w:rPr>
                <w:rFonts w:ascii="Calibri Light" w:hAnsi="Calibri Light" w:cs="Calibri Light"/>
                <w:b/>
                <w:bCs/>
                <w:color w:val="000000"/>
                <w:sz w:val="18"/>
                <w:szCs w:val="18"/>
              </w:rPr>
            </w:pPr>
            <w:r>
              <w:rPr>
                <w:rFonts w:ascii="Calibri Light" w:hAnsi="Calibri Light"/>
                <w:b/>
                <w:color w:val="000000"/>
                <w:sz w:val="18"/>
              </w:rPr>
              <w:t>Actif circulant</w:t>
            </w:r>
          </w:p>
        </w:tc>
        <w:tc>
          <w:tcPr>
            <w:tcW w:w="589" w:type="pct"/>
            <w:tcBorders>
              <w:top w:val="nil"/>
              <w:left w:val="nil"/>
              <w:bottom w:val="nil"/>
              <w:right w:val="nil"/>
            </w:tcBorders>
            <w:shd w:val="clear" w:color="auto" w:fill="auto"/>
            <w:noWrap/>
            <w:vAlign w:val="bottom"/>
            <w:hideMark/>
          </w:tcPr>
          <w:p w14:paraId="5F70CE39" w14:textId="77777777" w:rsidR="001E338F" w:rsidRDefault="001E338F">
            <w:pPr>
              <w:rPr>
                <w:rFonts w:ascii="Calibri Light" w:hAnsi="Calibri Light" w:cs="Calibri Light"/>
                <w:b/>
                <w:bCs/>
                <w:color w:val="000000"/>
                <w:sz w:val="18"/>
                <w:szCs w:val="18"/>
              </w:rPr>
            </w:pPr>
          </w:p>
        </w:tc>
        <w:tc>
          <w:tcPr>
            <w:tcW w:w="773" w:type="pct"/>
            <w:tcBorders>
              <w:top w:val="nil"/>
              <w:left w:val="nil"/>
              <w:bottom w:val="nil"/>
              <w:right w:val="nil"/>
            </w:tcBorders>
            <w:shd w:val="clear" w:color="auto" w:fill="auto"/>
            <w:noWrap/>
            <w:vAlign w:val="bottom"/>
            <w:hideMark/>
          </w:tcPr>
          <w:p w14:paraId="05A45107" w14:textId="77777777" w:rsidR="001E338F" w:rsidRDefault="001E338F">
            <w:pPr>
              <w:jc w:val="center"/>
              <w:rPr>
                <w:sz w:val="20"/>
                <w:szCs w:val="20"/>
              </w:rPr>
            </w:pPr>
          </w:p>
        </w:tc>
        <w:tc>
          <w:tcPr>
            <w:tcW w:w="800" w:type="pct"/>
            <w:tcBorders>
              <w:top w:val="nil"/>
              <w:left w:val="nil"/>
              <w:bottom w:val="nil"/>
              <w:right w:val="nil"/>
            </w:tcBorders>
            <w:shd w:val="clear" w:color="auto" w:fill="auto"/>
            <w:noWrap/>
            <w:vAlign w:val="bottom"/>
            <w:hideMark/>
          </w:tcPr>
          <w:p w14:paraId="0BC537BD" w14:textId="77777777" w:rsidR="001E338F" w:rsidRDefault="001E338F">
            <w:pPr>
              <w:rPr>
                <w:sz w:val="20"/>
                <w:szCs w:val="20"/>
              </w:rPr>
            </w:pPr>
          </w:p>
        </w:tc>
      </w:tr>
      <w:tr w:rsidR="001E338F" w14:paraId="151F3DB7" w14:textId="77777777" w:rsidTr="0061181E">
        <w:trPr>
          <w:trHeight w:val="240"/>
        </w:trPr>
        <w:tc>
          <w:tcPr>
            <w:tcW w:w="2838" w:type="pct"/>
            <w:tcBorders>
              <w:top w:val="nil"/>
              <w:left w:val="nil"/>
              <w:bottom w:val="nil"/>
              <w:right w:val="nil"/>
            </w:tcBorders>
            <w:shd w:val="clear" w:color="auto" w:fill="auto"/>
            <w:noWrap/>
            <w:vAlign w:val="bottom"/>
            <w:hideMark/>
          </w:tcPr>
          <w:p w14:paraId="6EF1BD29" w14:textId="77777777" w:rsidR="001E338F" w:rsidRDefault="001E338F">
            <w:pPr>
              <w:rPr>
                <w:rFonts w:ascii="Calibri Light" w:hAnsi="Calibri Light" w:cs="Calibri Light"/>
                <w:color w:val="000000"/>
                <w:sz w:val="18"/>
                <w:szCs w:val="18"/>
              </w:rPr>
            </w:pPr>
            <w:r>
              <w:rPr>
                <w:rFonts w:ascii="Calibri Light" w:hAnsi="Calibri Light"/>
                <w:color w:val="000000"/>
                <w:sz w:val="18"/>
              </w:rPr>
              <w:t>Stocks</w:t>
            </w:r>
          </w:p>
        </w:tc>
        <w:tc>
          <w:tcPr>
            <w:tcW w:w="589" w:type="pct"/>
            <w:tcBorders>
              <w:top w:val="nil"/>
              <w:left w:val="nil"/>
              <w:bottom w:val="nil"/>
              <w:right w:val="nil"/>
            </w:tcBorders>
            <w:shd w:val="clear" w:color="auto" w:fill="auto"/>
            <w:noWrap/>
            <w:vAlign w:val="bottom"/>
            <w:hideMark/>
          </w:tcPr>
          <w:p w14:paraId="4AF2D1B1"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(12)</w:t>
            </w:r>
          </w:p>
        </w:tc>
        <w:tc>
          <w:tcPr>
            <w:tcW w:w="773" w:type="pct"/>
            <w:tcBorders>
              <w:top w:val="nil"/>
              <w:left w:val="nil"/>
              <w:bottom w:val="nil"/>
              <w:right w:val="nil"/>
            </w:tcBorders>
            <w:shd w:val="clear" w:color="auto" w:fill="auto"/>
            <w:noWrap/>
            <w:vAlign w:val="bottom"/>
            <w:hideMark/>
          </w:tcPr>
          <w:p w14:paraId="6063609F"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10 604 097</w:t>
            </w:r>
          </w:p>
        </w:tc>
        <w:tc>
          <w:tcPr>
            <w:tcW w:w="800" w:type="pct"/>
            <w:tcBorders>
              <w:top w:val="nil"/>
              <w:left w:val="nil"/>
              <w:bottom w:val="nil"/>
              <w:right w:val="nil"/>
            </w:tcBorders>
            <w:shd w:val="clear" w:color="auto" w:fill="auto"/>
            <w:noWrap/>
            <w:vAlign w:val="bottom"/>
            <w:hideMark/>
          </w:tcPr>
          <w:p w14:paraId="5F7E8E20"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10 981 873</w:t>
            </w:r>
          </w:p>
        </w:tc>
      </w:tr>
      <w:tr w:rsidR="001E338F" w14:paraId="78CF3D5D" w14:textId="77777777" w:rsidTr="0061181E">
        <w:trPr>
          <w:trHeight w:val="240"/>
        </w:trPr>
        <w:tc>
          <w:tcPr>
            <w:tcW w:w="2838" w:type="pct"/>
            <w:tcBorders>
              <w:top w:val="nil"/>
              <w:left w:val="nil"/>
              <w:bottom w:val="nil"/>
              <w:right w:val="nil"/>
            </w:tcBorders>
            <w:shd w:val="clear" w:color="auto" w:fill="auto"/>
            <w:noWrap/>
            <w:vAlign w:val="bottom"/>
            <w:hideMark/>
          </w:tcPr>
          <w:p w14:paraId="6A8F5205" w14:textId="77777777" w:rsidR="001E338F" w:rsidRDefault="001E338F">
            <w:pPr>
              <w:rPr>
                <w:rFonts w:ascii="Calibri Light" w:hAnsi="Calibri Light" w:cs="Calibri Light"/>
                <w:color w:val="000000"/>
                <w:sz w:val="18"/>
                <w:szCs w:val="18"/>
              </w:rPr>
            </w:pPr>
            <w:r>
              <w:rPr>
                <w:rFonts w:ascii="Calibri Light" w:hAnsi="Calibri Light"/>
                <w:color w:val="000000"/>
                <w:sz w:val="18"/>
              </w:rPr>
              <w:t>Créances commerciales</w:t>
            </w:r>
          </w:p>
        </w:tc>
        <w:tc>
          <w:tcPr>
            <w:tcW w:w="589" w:type="pct"/>
            <w:tcBorders>
              <w:top w:val="nil"/>
              <w:left w:val="nil"/>
              <w:bottom w:val="nil"/>
              <w:right w:val="nil"/>
            </w:tcBorders>
            <w:shd w:val="clear" w:color="auto" w:fill="auto"/>
            <w:noWrap/>
            <w:vAlign w:val="bottom"/>
            <w:hideMark/>
          </w:tcPr>
          <w:p w14:paraId="174A8108"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(13)</w:t>
            </w:r>
          </w:p>
        </w:tc>
        <w:tc>
          <w:tcPr>
            <w:tcW w:w="773" w:type="pct"/>
            <w:tcBorders>
              <w:top w:val="nil"/>
              <w:left w:val="nil"/>
              <w:bottom w:val="nil"/>
              <w:right w:val="nil"/>
            </w:tcBorders>
            <w:shd w:val="clear" w:color="auto" w:fill="auto"/>
            <w:noWrap/>
            <w:vAlign w:val="bottom"/>
            <w:hideMark/>
          </w:tcPr>
          <w:p w14:paraId="2044C302"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111 884</w:t>
            </w:r>
          </w:p>
        </w:tc>
        <w:tc>
          <w:tcPr>
            <w:tcW w:w="800" w:type="pct"/>
            <w:tcBorders>
              <w:top w:val="nil"/>
              <w:left w:val="nil"/>
              <w:bottom w:val="nil"/>
              <w:right w:val="nil"/>
            </w:tcBorders>
            <w:shd w:val="clear" w:color="auto" w:fill="auto"/>
            <w:noWrap/>
            <w:vAlign w:val="bottom"/>
            <w:hideMark/>
          </w:tcPr>
          <w:p w14:paraId="08F9F8EC"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179 780</w:t>
            </w:r>
          </w:p>
        </w:tc>
      </w:tr>
      <w:tr w:rsidR="001E338F" w14:paraId="26DD6209" w14:textId="77777777" w:rsidTr="0061181E">
        <w:trPr>
          <w:trHeight w:val="240"/>
        </w:trPr>
        <w:tc>
          <w:tcPr>
            <w:tcW w:w="2838" w:type="pct"/>
            <w:tcBorders>
              <w:top w:val="nil"/>
              <w:left w:val="nil"/>
              <w:bottom w:val="nil"/>
              <w:right w:val="nil"/>
            </w:tcBorders>
            <w:shd w:val="clear" w:color="auto" w:fill="auto"/>
            <w:noWrap/>
            <w:vAlign w:val="bottom"/>
            <w:hideMark/>
          </w:tcPr>
          <w:p w14:paraId="41720B80" w14:textId="77777777" w:rsidR="001E338F" w:rsidRDefault="001E338F">
            <w:pPr>
              <w:rPr>
                <w:rFonts w:ascii="Calibri Light" w:hAnsi="Calibri Light" w:cs="Calibri Light"/>
                <w:color w:val="000000"/>
                <w:sz w:val="18"/>
                <w:szCs w:val="18"/>
              </w:rPr>
            </w:pPr>
            <w:r>
              <w:rPr>
                <w:rFonts w:ascii="Calibri Light" w:hAnsi="Calibri Light"/>
                <w:color w:val="000000"/>
                <w:sz w:val="18"/>
              </w:rPr>
              <w:t>Autres créances à court terme</w:t>
            </w:r>
          </w:p>
        </w:tc>
        <w:tc>
          <w:tcPr>
            <w:tcW w:w="589" w:type="pct"/>
            <w:tcBorders>
              <w:top w:val="nil"/>
              <w:left w:val="nil"/>
              <w:bottom w:val="nil"/>
              <w:right w:val="nil"/>
            </w:tcBorders>
            <w:shd w:val="clear" w:color="auto" w:fill="auto"/>
            <w:noWrap/>
            <w:vAlign w:val="bottom"/>
            <w:hideMark/>
          </w:tcPr>
          <w:p w14:paraId="4F300AEF"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(14)</w:t>
            </w:r>
          </w:p>
        </w:tc>
        <w:tc>
          <w:tcPr>
            <w:tcW w:w="773" w:type="pct"/>
            <w:tcBorders>
              <w:top w:val="nil"/>
              <w:left w:val="nil"/>
              <w:bottom w:val="nil"/>
              <w:right w:val="nil"/>
            </w:tcBorders>
            <w:shd w:val="clear" w:color="auto" w:fill="auto"/>
            <w:noWrap/>
            <w:vAlign w:val="bottom"/>
            <w:hideMark/>
          </w:tcPr>
          <w:p w14:paraId="01206013"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683 154</w:t>
            </w:r>
          </w:p>
        </w:tc>
        <w:tc>
          <w:tcPr>
            <w:tcW w:w="800" w:type="pct"/>
            <w:tcBorders>
              <w:top w:val="nil"/>
              <w:left w:val="nil"/>
              <w:bottom w:val="nil"/>
              <w:right w:val="nil"/>
            </w:tcBorders>
            <w:shd w:val="clear" w:color="auto" w:fill="auto"/>
            <w:noWrap/>
            <w:vAlign w:val="bottom"/>
            <w:hideMark/>
          </w:tcPr>
          <w:p w14:paraId="521265EF"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737 372</w:t>
            </w:r>
          </w:p>
        </w:tc>
      </w:tr>
      <w:tr w:rsidR="001E338F" w14:paraId="5F3B97E4" w14:textId="77777777" w:rsidTr="0061181E">
        <w:trPr>
          <w:trHeight w:val="240"/>
        </w:trPr>
        <w:tc>
          <w:tcPr>
            <w:tcW w:w="2838" w:type="pct"/>
            <w:tcBorders>
              <w:top w:val="nil"/>
              <w:left w:val="nil"/>
              <w:bottom w:val="nil"/>
              <w:right w:val="nil"/>
            </w:tcBorders>
            <w:shd w:val="clear" w:color="auto" w:fill="auto"/>
            <w:noWrap/>
            <w:vAlign w:val="bottom"/>
            <w:hideMark/>
          </w:tcPr>
          <w:p w14:paraId="1606BAE7" w14:textId="77777777" w:rsidR="001E338F" w:rsidRDefault="001E338F">
            <w:pPr>
              <w:rPr>
                <w:rFonts w:ascii="Calibri Light" w:hAnsi="Calibri Light" w:cs="Calibri Light"/>
                <w:color w:val="000000"/>
                <w:sz w:val="18"/>
                <w:szCs w:val="18"/>
              </w:rPr>
            </w:pPr>
            <w:r>
              <w:rPr>
                <w:rFonts w:ascii="Calibri Light" w:hAnsi="Calibri Light"/>
                <w:color w:val="000000"/>
                <w:sz w:val="18"/>
              </w:rPr>
              <w:t>Créances fiscales</w:t>
            </w:r>
          </w:p>
        </w:tc>
        <w:tc>
          <w:tcPr>
            <w:tcW w:w="589" w:type="pct"/>
            <w:tcBorders>
              <w:top w:val="nil"/>
              <w:left w:val="nil"/>
              <w:bottom w:val="nil"/>
              <w:right w:val="nil"/>
            </w:tcBorders>
            <w:shd w:val="clear" w:color="auto" w:fill="auto"/>
            <w:noWrap/>
            <w:vAlign w:val="bottom"/>
            <w:hideMark/>
          </w:tcPr>
          <w:p w14:paraId="1B3CFC46"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(15)</w:t>
            </w:r>
          </w:p>
        </w:tc>
        <w:tc>
          <w:tcPr>
            <w:tcW w:w="773" w:type="pct"/>
            <w:tcBorders>
              <w:top w:val="nil"/>
              <w:left w:val="nil"/>
              <w:bottom w:val="nil"/>
              <w:right w:val="nil"/>
            </w:tcBorders>
            <w:shd w:val="clear" w:color="auto" w:fill="auto"/>
            <w:noWrap/>
            <w:vAlign w:val="bottom"/>
            <w:hideMark/>
          </w:tcPr>
          <w:p w14:paraId="0DA6C06E"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1 334 353</w:t>
            </w:r>
          </w:p>
        </w:tc>
        <w:tc>
          <w:tcPr>
            <w:tcW w:w="800" w:type="pct"/>
            <w:tcBorders>
              <w:top w:val="nil"/>
              <w:left w:val="nil"/>
              <w:bottom w:val="nil"/>
              <w:right w:val="nil"/>
            </w:tcBorders>
            <w:shd w:val="clear" w:color="auto" w:fill="auto"/>
            <w:noWrap/>
            <w:vAlign w:val="bottom"/>
            <w:hideMark/>
          </w:tcPr>
          <w:p w14:paraId="5130FBE0"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17 222</w:t>
            </w:r>
          </w:p>
        </w:tc>
      </w:tr>
      <w:tr w:rsidR="001E338F" w14:paraId="102E6319" w14:textId="77777777" w:rsidTr="0061181E">
        <w:trPr>
          <w:trHeight w:val="240"/>
        </w:trPr>
        <w:tc>
          <w:tcPr>
            <w:tcW w:w="2838" w:type="pct"/>
            <w:tcBorders>
              <w:top w:val="nil"/>
              <w:left w:val="nil"/>
              <w:bottom w:val="nil"/>
              <w:right w:val="nil"/>
            </w:tcBorders>
            <w:shd w:val="clear" w:color="auto" w:fill="auto"/>
            <w:noWrap/>
            <w:vAlign w:val="bottom"/>
            <w:hideMark/>
          </w:tcPr>
          <w:p w14:paraId="710182D3" w14:textId="77777777" w:rsidR="001E338F" w:rsidRDefault="001E338F">
            <w:pPr>
              <w:rPr>
                <w:rFonts w:ascii="Calibri Light" w:hAnsi="Calibri Light" w:cs="Calibri Light"/>
                <w:color w:val="000000"/>
                <w:sz w:val="18"/>
                <w:szCs w:val="18"/>
              </w:rPr>
            </w:pPr>
            <w:r>
              <w:rPr>
                <w:rFonts w:ascii="Calibri Light" w:hAnsi="Calibri Light"/>
                <w:color w:val="000000"/>
                <w:sz w:val="18"/>
              </w:rPr>
              <w:t>Trésorerie et équivalents de trésorerie</w:t>
            </w:r>
          </w:p>
        </w:tc>
        <w:tc>
          <w:tcPr>
            <w:tcW w:w="589" w:type="pct"/>
            <w:tcBorders>
              <w:top w:val="nil"/>
              <w:left w:val="nil"/>
              <w:bottom w:val="nil"/>
              <w:right w:val="nil"/>
            </w:tcBorders>
            <w:shd w:val="clear" w:color="auto" w:fill="auto"/>
            <w:noWrap/>
            <w:vAlign w:val="bottom"/>
            <w:hideMark/>
          </w:tcPr>
          <w:p w14:paraId="6204DC4D"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(16)</w:t>
            </w:r>
          </w:p>
        </w:tc>
        <w:tc>
          <w:tcPr>
            <w:tcW w:w="773" w:type="pct"/>
            <w:tcBorders>
              <w:top w:val="nil"/>
              <w:left w:val="nil"/>
              <w:bottom w:val="nil"/>
              <w:right w:val="nil"/>
            </w:tcBorders>
            <w:shd w:val="clear" w:color="auto" w:fill="auto"/>
            <w:noWrap/>
            <w:vAlign w:val="bottom"/>
            <w:hideMark/>
          </w:tcPr>
          <w:p w14:paraId="6F84555B"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14 452 998</w:t>
            </w:r>
          </w:p>
        </w:tc>
        <w:tc>
          <w:tcPr>
            <w:tcW w:w="800" w:type="pct"/>
            <w:tcBorders>
              <w:top w:val="nil"/>
              <w:left w:val="nil"/>
              <w:bottom w:val="nil"/>
              <w:right w:val="nil"/>
            </w:tcBorders>
            <w:shd w:val="clear" w:color="auto" w:fill="auto"/>
            <w:noWrap/>
            <w:vAlign w:val="bottom"/>
            <w:hideMark/>
          </w:tcPr>
          <w:p w14:paraId="42CB66AA"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15 405 808</w:t>
            </w:r>
          </w:p>
        </w:tc>
      </w:tr>
      <w:tr w:rsidR="001E338F" w14:paraId="3EF3E5C7" w14:textId="77777777" w:rsidTr="0061181E">
        <w:trPr>
          <w:trHeight w:val="240"/>
        </w:trPr>
        <w:tc>
          <w:tcPr>
            <w:tcW w:w="2838" w:type="pct"/>
            <w:tcBorders>
              <w:top w:val="nil"/>
              <w:left w:val="nil"/>
              <w:bottom w:val="nil"/>
              <w:right w:val="nil"/>
            </w:tcBorders>
            <w:shd w:val="clear" w:color="auto" w:fill="auto"/>
            <w:noWrap/>
            <w:vAlign w:val="bottom"/>
            <w:hideMark/>
          </w:tcPr>
          <w:p w14:paraId="5E9C79AA" w14:textId="77777777" w:rsidR="001E338F" w:rsidRDefault="001E338F">
            <w:pPr>
              <w:rPr>
                <w:rFonts w:ascii="Calibri Light" w:hAnsi="Calibri Light" w:cs="Calibri Light"/>
                <w:b/>
                <w:bCs/>
                <w:color w:val="000000"/>
                <w:sz w:val="18"/>
                <w:szCs w:val="18"/>
              </w:rPr>
            </w:pPr>
            <w:r>
              <w:rPr>
                <w:rFonts w:ascii="Calibri Light" w:hAnsi="Calibri Light"/>
                <w:b/>
                <w:color w:val="000000"/>
                <w:sz w:val="18"/>
              </w:rPr>
              <w:t>TOTAL ACTIF CIRCULANT</w:t>
            </w:r>
          </w:p>
        </w:tc>
        <w:tc>
          <w:tcPr>
            <w:tcW w:w="589" w:type="pct"/>
            <w:tcBorders>
              <w:top w:val="nil"/>
              <w:left w:val="nil"/>
              <w:bottom w:val="nil"/>
              <w:right w:val="nil"/>
            </w:tcBorders>
            <w:shd w:val="clear" w:color="auto" w:fill="auto"/>
            <w:noWrap/>
            <w:vAlign w:val="bottom"/>
            <w:hideMark/>
          </w:tcPr>
          <w:p w14:paraId="33F468D1" w14:textId="77777777" w:rsidR="001E338F" w:rsidRDefault="001E338F">
            <w:pPr>
              <w:rPr>
                <w:rFonts w:ascii="Calibri Light" w:hAnsi="Calibri Light" w:cs="Calibri Light"/>
                <w:b/>
                <w:bCs/>
                <w:color w:val="000000"/>
                <w:sz w:val="18"/>
                <w:szCs w:val="18"/>
              </w:rPr>
            </w:pPr>
          </w:p>
        </w:tc>
        <w:tc>
          <w:tcPr>
            <w:tcW w:w="773" w:type="pct"/>
            <w:tcBorders>
              <w:top w:val="single" w:sz="4" w:space="0" w:color="auto"/>
              <w:left w:val="nil"/>
              <w:bottom w:val="nil"/>
              <w:right w:val="nil"/>
            </w:tcBorders>
            <w:shd w:val="clear" w:color="auto" w:fill="auto"/>
            <w:noWrap/>
            <w:vAlign w:val="bottom"/>
            <w:hideMark/>
          </w:tcPr>
          <w:p w14:paraId="4265EFA5" w14:textId="77777777" w:rsidR="001E338F" w:rsidRDefault="001E338F">
            <w:pPr>
              <w:jc w:val="right"/>
              <w:rPr>
                <w:rFonts w:ascii="Calibri Light" w:hAnsi="Calibri Light" w:cs="Calibri Light"/>
                <w:b/>
                <w:bCs/>
                <w:color w:val="000000"/>
                <w:sz w:val="18"/>
                <w:szCs w:val="18"/>
              </w:rPr>
            </w:pPr>
            <w:r>
              <w:rPr>
                <w:rFonts w:ascii="Calibri Light" w:hAnsi="Calibri Light"/>
                <w:b/>
                <w:color w:val="000000"/>
                <w:sz w:val="18"/>
              </w:rPr>
              <w:t>27 186 487</w:t>
            </w:r>
          </w:p>
        </w:tc>
        <w:tc>
          <w:tcPr>
            <w:tcW w:w="800" w:type="pct"/>
            <w:tcBorders>
              <w:top w:val="single" w:sz="4" w:space="0" w:color="auto"/>
              <w:left w:val="nil"/>
              <w:bottom w:val="nil"/>
              <w:right w:val="nil"/>
            </w:tcBorders>
            <w:shd w:val="clear" w:color="auto" w:fill="auto"/>
            <w:noWrap/>
            <w:vAlign w:val="bottom"/>
            <w:hideMark/>
          </w:tcPr>
          <w:p w14:paraId="5BA75EFD" w14:textId="77777777" w:rsidR="001E338F" w:rsidRDefault="001E338F">
            <w:pPr>
              <w:jc w:val="right"/>
              <w:rPr>
                <w:rFonts w:ascii="Calibri Light" w:hAnsi="Calibri Light" w:cs="Calibri Light"/>
                <w:b/>
                <w:bCs/>
                <w:color w:val="000000"/>
                <w:sz w:val="18"/>
                <w:szCs w:val="18"/>
              </w:rPr>
            </w:pPr>
            <w:r>
              <w:rPr>
                <w:rFonts w:ascii="Calibri Light" w:hAnsi="Calibri Light"/>
                <w:b/>
                <w:color w:val="000000"/>
                <w:sz w:val="18"/>
              </w:rPr>
              <w:t>27 322 056</w:t>
            </w:r>
          </w:p>
        </w:tc>
      </w:tr>
      <w:tr w:rsidR="001E338F" w14:paraId="682881B6" w14:textId="77777777" w:rsidTr="0061181E">
        <w:trPr>
          <w:trHeight w:val="240"/>
        </w:trPr>
        <w:tc>
          <w:tcPr>
            <w:tcW w:w="2838" w:type="pct"/>
            <w:tcBorders>
              <w:top w:val="nil"/>
              <w:left w:val="nil"/>
              <w:bottom w:val="nil"/>
              <w:right w:val="nil"/>
            </w:tcBorders>
            <w:shd w:val="clear" w:color="auto" w:fill="auto"/>
            <w:noWrap/>
            <w:vAlign w:val="bottom"/>
            <w:hideMark/>
          </w:tcPr>
          <w:p w14:paraId="2DC2E347" w14:textId="77777777" w:rsidR="001E338F" w:rsidRDefault="001E338F">
            <w:pPr>
              <w:jc w:val="right"/>
              <w:rPr>
                <w:rFonts w:ascii="Calibri Light" w:hAnsi="Calibri Light" w:cs="Calibri Light"/>
                <w:b/>
                <w:bCs/>
                <w:color w:val="000000"/>
                <w:sz w:val="18"/>
                <w:szCs w:val="18"/>
              </w:rPr>
            </w:pPr>
          </w:p>
        </w:tc>
        <w:tc>
          <w:tcPr>
            <w:tcW w:w="589" w:type="pct"/>
            <w:tcBorders>
              <w:top w:val="nil"/>
              <w:left w:val="nil"/>
              <w:bottom w:val="nil"/>
              <w:right w:val="nil"/>
            </w:tcBorders>
            <w:shd w:val="clear" w:color="auto" w:fill="auto"/>
            <w:noWrap/>
            <w:vAlign w:val="bottom"/>
            <w:hideMark/>
          </w:tcPr>
          <w:p w14:paraId="2895E86C" w14:textId="77777777" w:rsidR="001E338F" w:rsidRDefault="001E338F">
            <w:pPr>
              <w:rPr>
                <w:sz w:val="20"/>
                <w:szCs w:val="20"/>
              </w:rPr>
            </w:pPr>
          </w:p>
        </w:tc>
        <w:tc>
          <w:tcPr>
            <w:tcW w:w="773" w:type="pct"/>
            <w:tcBorders>
              <w:top w:val="nil"/>
              <w:left w:val="nil"/>
              <w:bottom w:val="nil"/>
              <w:right w:val="nil"/>
            </w:tcBorders>
            <w:shd w:val="clear" w:color="auto" w:fill="auto"/>
            <w:noWrap/>
            <w:vAlign w:val="bottom"/>
            <w:hideMark/>
          </w:tcPr>
          <w:p w14:paraId="1A02319B" w14:textId="77777777" w:rsidR="001E338F" w:rsidRDefault="001E338F">
            <w:pPr>
              <w:jc w:val="center"/>
              <w:rPr>
                <w:sz w:val="20"/>
                <w:szCs w:val="20"/>
              </w:rPr>
            </w:pPr>
          </w:p>
        </w:tc>
        <w:tc>
          <w:tcPr>
            <w:tcW w:w="800" w:type="pct"/>
            <w:tcBorders>
              <w:top w:val="nil"/>
              <w:left w:val="nil"/>
              <w:bottom w:val="nil"/>
              <w:right w:val="nil"/>
            </w:tcBorders>
            <w:shd w:val="clear" w:color="auto" w:fill="auto"/>
            <w:noWrap/>
            <w:vAlign w:val="bottom"/>
            <w:hideMark/>
          </w:tcPr>
          <w:p w14:paraId="6135CDE4" w14:textId="77777777" w:rsidR="001E338F" w:rsidRDefault="001E338F">
            <w:pPr>
              <w:rPr>
                <w:sz w:val="20"/>
                <w:szCs w:val="20"/>
              </w:rPr>
            </w:pPr>
          </w:p>
        </w:tc>
      </w:tr>
      <w:tr w:rsidR="001E338F" w14:paraId="10346728" w14:textId="77777777" w:rsidTr="0061181E">
        <w:trPr>
          <w:trHeight w:val="252"/>
        </w:trPr>
        <w:tc>
          <w:tcPr>
            <w:tcW w:w="2838" w:type="pct"/>
            <w:tcBorders>
              <w:top w:val="nil"/>
              <w:left w:val="nil"/>
              <w:bottom w:val="nil"/>
              <w:right w:val="nil"/>
            </w:tcBorders>
            <w:shd w:val="clear" w:color="auto" w:fill="auto"/>
            <w:noWrap/>
            <w:vAlign w:val="bottom"/>
            <w:hideMark/>
          </w:tcPr>
          <w:p w14:paraId="750513CE" w14:textId="77777777" w:rsidR="001E338F" w:rsidRDefault="001E338F">
            <w:pPr>
              <w:rPr>
                <w:rFonts w:ascii="Calibri Light" w:hAnsi="Calibri Light" w:cs="Calibri Light"/>
                <w:b/>
                <w:bCs/>
                <w:color w:val="000000"/>
                <w:sz w:val="18"/>
                <w:szCs w:val="18"/>
              </w:rPr>
            </w:pPr>
            <w:r>
              <w:rPr>
                <w:rFonts w:ascii="Calibri Light" w:hAnsi="Calibri Light"/>
                <w:b/>
                <w:color w:val="000000"/>
                <w:sz w:val="18"/>
              </w:rPr>
              <w:t>TOTAL ACTIF</w:t>
            </w:r>
          </w:p>
        </w:tc>
        <w:tc>
          <w:tcPr>
            <w:tcW w:w="589" w:type="pct"/>
            <w:tcBorders>
              <w:top w:val="nil"/>
              <w:left w:val="nil"/>
              <w:bottom w:val="nil"/>
              <w:right w:val="nil"/>
            </w:tcBorders>
            <w:shd w:val="clear" w:color="auto" w:fill="auto"/>
            <w:noWrap/>
            <w:vAlign w:val="bottom"/>
            <w:hideMark/>
          </w:tcPr>
          <w:p w14:paraId="5ED5CD3B" w14:textId="77777777" w:rsidR="001E338F" w:rsidRDefault="001E338F">
            <w:pPr>
              <w:rPr>
                <w:rFonts w:ascii="Calibri Light" w:hAnsi="Calibri Light" w:cs="Calibri Light"/>
                <w:b/>
                <w:bCs/>
                <w:color w:val="000000"/>
                <w:sz w:val="18"/>
                <w:szCs w:val="18"/>
              </w:rPr>
            </w:pPr>
          </w:p>
        </w:tc>
        <w:tc>
          <w:tcPr>
            <w:tcW w:w="773" w:type="pct"/>
            <w:tcBorders>
              <w:top w:val="single" w:sz="4" w:space="0" w:color="auto"/>
              <w:left w:val="nil"/>
              <w:bottom w:val="single" w:sz="8" w:space="0" w:color="auto"/>
              <w:right w:val="nil"/>
            </w:tcBorders>
            <w:shd w:val="clear" w:color="auto" w:fill="auto"/>
            <w:noWrap/>
            <w:vAlign w:val="bottom"/>
            <w:hideMark/>
          </w:tcPr>
          <w:p w14:paraId="4B2F32F7" w14:textId="77777777" w:rsidR="001E338F" w:rsidRDefault="001E338F">
            <w:pPr>
              <w:jc w:val="right"/>
              <w:rPr>
                <w:rFonts w:ascii="Calibri Light" w:hAnsi="Calibri Light" w:cs="Calibri Light"/>
                <w:b/>
                <w:bCs/>
                <w:color w:val="000000"/>
                <w:sz w:val="18"/>
                <w:szCs w:val="18"/>
              </w:rPr>
            </w:pPr>
            <w:r>
              <w:rPr>
                <w:rFonts w:ascii="Calibri Light" w:hAnsi="Calibri Light"/>
                <w:b/>
                <w:color w:val="000000"/>
                <w:sz w:val="18"/>
              </w:rPr>
              <w:t>37 591 107</w:t>
            </w:r>
          </w:p>
        </w:tc>
        <w:tc>
          <w:tcPr>
            <w:tcW w:w="800" w:type="pct"/>
            <w:tcBorders>
              <w:top w:val="single" w:sz="4" w:space="0" w:color="auto"/>
              <w:left w:val="nil"/>
              <w:bottom w:val="single" w:sz="8" w:space="0" w:color="auto"/>
              <w:right w:val="nil"/>
            </w:tcBorders>
            <w:shd w:val="clear" w:color="auto" w:fill="auto"/>
            <w:noWrap/>
            <w:vAlign w:val="bottom"/>
            <w:hideMark/>
          </w:tcPr>
          <w:p w14:paraId="6CC30219" w14:textId="77777777" w:rsidR="001E338F" w:rsidRDefault="001E338F">
            <w:pPr>
              <w:jc w:val="right"/>
              <w:rPr>
                <w:rFonts w:ascii="Calibri Light" w:hAnsi="Calibri Light" w:cs="Calibri Light"/>
                <w:b/>
                <w:bCs/>
                <w:color w:val="000000"/>
                <w:sz w:val="18"/>
                <w:szCs w:val="18"/>
              </w:rPr>
            </w:pPr>
            <w:r>
              <w:rPr>
                <w:rFonts w:ascii="Calibri Light" w:hAnsi="Calibri Light"/>
                <w:b/>
                <w:color w:val="000000"/>
                <w:sz w:val="18"/>
              </w:rPr>
              <w:t>39 111 065</w:t>
            </w:r>
          </w:p>
        </w:tc>
      </w:tr>
      <w:tr w:rsidR="001E338F" w14:paraId="75985177" w14:textId="77777777" w:rsidTr="0061181E">
        <w:trPr>
          <w:trHeight w:val="240"/>
        </w:trPr>
        <w:tc>
          <w:tcPr>
            <w:tcW w:w="2838" w:type="pct"/>
            <w:tcBorders>
              <w:top w:val="nil"/>
              <w:left w:val="nil"/>
              <w:bottom w:val="nil"/>
              <w:right w:val="nil"/>
            </w:tcBorders>
            <w:shd w:val="clear" w:color="auto" w:fill="auto"/>
            <w:noWrap/>
            <w:vAlign w:val="bottom"/>
            <w:hideMark/>
          </w:tcPr>
          <w:p w14:paraId="45661690" w14:textId="77777777" w:rsidR="001E338F" w:rsidRDefault="001E338F">
            <w:pPr>
              <w:jc w:val="right"/>
              <w:rPr>
                <w:rFonts w:ascii="Calibri Light" w:hAnsi="Calibri Light" w:cs="Calibri Light"/>
                <w:b/>
                <w:bCs/>
                <w:color w:val="000000"/>
                <w:sz w:val="18"/>
                <w:szCs w:val="18"/>
              </w:rPr>
            </w:pPr>
          </w:p>
        </w:tc>
        <w:tc>
          <w:tcPr>
            <w:tcW w:w="589" w:type="pct"/>
            <w:tcBorders>
              <w:top w:val="nil"/>
              <w:left w:val="nil"/>
              <w:bottom w:val="nil"/>
              <w:right w:val="nil"/>
            </w:tcBorders>
            <w:shd w:val="clear" w:color="auto" w:fill="auto"/>
            <w:noWrap/>
            <w:vAlign w:val="bottom"/>
            <w:hideMark/>
          </w:tcPr>
          <w:p w14:paraId="787C7284" w14:textId="77777777" w:rsidR="001E338F" w:rsidRDefault="001E338F">
            <w:pPr>
              <w:rPr>
                <w:sz w:val="20"/>
                <w:szCs w:val="20"/>
              </w:rPr>
            </w:pPr>
          </w:p>
        </w:tc>
        <w:tc>
          <w:tcPr>
            <w:tcW w:w="773" w:type="pct"/>
            <w:tcBorders>
              <w:top w:val="nil"/>
              <w:left w:val="nil"/>
              <w:bottom w:val="nil"/>
              <w:right w:val="nil"/>
            </w:tcBorders>
            <w:shd w:val="clear" w:color="auto" w:fill="auto"/>
            <w:noWrap/>
            <w:vAlign w:val="bottom"/>
            <w:hideMark/>
          </w:tcPr>
          <w:p w14:paraId="59423AD9" w14:textId="77777777" w:rsidR="001E338F" w:rsidRDefault="001E338F">
            <w:pPr>
              <w:jc w:val="center"/>
              <w:rPr>
                <w:sz w:val="20"/>
                <w:szCs w:val="20"/>
              </w:rPr>
            </w:pPr>
          </w:p>
        </w:tc>
        <w:tc>
          <w:tcPr>
            <w:tcW w:w="800" w:type="pct"/>
            <w:tcBorders>
              <w:top w:val="nil"/>
              <w:left w:val="nil"/>
              <w:bottom w:val="nil"/>
              <w:right w:val="nil"/>
            </w:tcBorders>
            <w:shd w:val="clear" w:color="auto" w:fill="auto"/>
            <w:noWrap/>
            <w:vAlign w:val="bottom"/>
            <w:hideMark/>
          </w:tcPr>
          <w:p w14:paraId="5CD86B46" w14:textId="77777777" w:rsidR="001E338F" w:rsidRDefault="001E338F">
            <w:pPr>
              <w:rPr>
                <w:sz w:val="20"/>
                <w:szCs w:val="20"/>
              </w:rPr>
            </w:pPr>
          </w:p>
        </w:tc>
      </w:tr>
      <w:tr w:rsidR="001E338F" w14:paraId="059A7805" w14:textId="77777777" w:rsidTr="0061181E">
        <w:trPr>
          <w:trHeight w:val="240"/>
        </w:trPr>
        <w:tc>
          <w:tcPr>
            <w:tcW w:w="2838" w:type="pct"/>
            <w:tcBorders>
              <w:top w:val="nil"/>
              <w:left w:val="nil"/>
              <w:bottom w:val="nil"/>
              <w:right w:val="nil"/>
            </w:tcBorders>
            <w:shd w:val="clear" w:color="auto" w:fill="auto"/>
            <w:noWrap/>
            <w:vAlign w:val="bottom"/>
            <w:hideMark/>
          </w:tcPr>
          <w:p w14:paraId="6F7A37CA" w14:textId="77777777" w:rsidR="001E338F" w:rsidRDefault="001E338F">
            <w:pPr>
              <w:rPr>
                <w:rFonts w:ascii="Calibri Light" w:hAnsi="Calibri Light" w:cs="Calibri Light"/>
                <w:b/>
                <w:bCs/>
                <w:sz w:val="18"/>
                <w:szCs w:val="18"/>
              </w:rPr>
            </w:pPr>
            <w:r>
              <w:rPr>
                <w:rFonts w:ascii="Calibri Light" w:hAnsi="Calibri Light"/>
                <w:b/>
                <w:sz w:val="18"/>
              </w:rPr>
              <w:t xml:space="preserve">CAPITAUX PROPRES </w:t>
            </w:r>
          </w:p>
        </w:tc>
        <w:tc>
          <w:tcPr>
            <w:tcW w:w="589" w:type="pct"/>
            <w:tcBorders>
              <w:top w:val="nil"/>
              <w:left w:val="nil"/>
              <w:bottom w:val="nil"/>
              <w:right w:val="nil"/>
            </w:tcBorders>
            <w:shd w:val="clear" w:color="auto" w:fill="auto"/>
            <w:noWrap/>
            <w:vAlign w:val="bottom"/>
            <w:hideMark/>
          </w:tcPr>
          <w:p w14:paraId="3EBB4070" w14:textId="77777777" w:rsidR="001E338F" w:rsidRDefault="001E338F">
            <w:pPr>
              <w:rPr>
                <w:rFonts w:ascii="Calibri Light" w:hAnsi="Calibri Light" w:cs="Calibri Light"/>
                <w:b/>
                <w:bCs/>
                <w:sz w:val="18"/>
                <w:szCs w:val="18"/>
              </w:rPr>
            </w:pPr>
          </w:p>
        </w:tc>
        <w:tc>
          <w:tcPr>
            <w:tcW w:w="773" w:type="pct"/>
            <w:tcBorders>
              <w:top w:val="nil"/>
              <w:left w:val="nil"/>
              <w:bottom w:val="nil"/>
              <w:right w:val="nil"/>
            </w:tcBorders>
            <w:shd w:val="clear" w:color="auto" w:fill="auto"/>
            <w:noWrap/>
            <w:vAlign w:val="bottom"/>
            <w:hideMark/>
          </w:tcPr>
          <w:p w14:paraId="30A3CC80" w14:textId="77777777" w:rsidR="001E338F" w:rsidRDefault="001E338F">
            <w:pPr>
              <w:jc w:val="center"/>
              <w:rPr>
                <w:sz w:val="20"/>
                <w:szCs w:val="20"/>
              </w:rPr>
            </w:pPr>
          </w:p>
        </w:tc>
        <w:tc>
          <w:tcPr>
            <w:tcW w:w="800" w:type="pct"/>
            <w:tcBorders>
              <w:top w:val="nil"/>
              <w:left w:val="nil"/>
              <w:bottom w:val="nil"/>
              <w:right w:val="nil"/>
            </w:tcBorders>
            <w:shd w:val="clear" w:color="auto" w:fill="auto"/>
            <w:noWrap/>
            <w:vAlign w:val="bottom"/>
            <w:hideMark/>
          </w:tcPr>
          <w:p w14:paraId="16E90CBD" w14:textId="77777777" w:rsidR="001E338F" w:rsidRDefault="001E338F">
            <w:pPr>
              <w:rPr>
                <w:sz w:val="20"/>
                <w:szCs w:val="20"/>
              </w:rPr>
            </w:pPr>
          </w:p>
        </w:tc>
      </w:tr>
      <w:tr w:rsidR="001E338F" w14:paraId="18C8D417" w14:textId="77777777" w:rsidTr="0061181E">
        <w:trPr>
          <w:trHeight w:val="240"/>
        </w:trPr>
        <w:tc>
          <w:tcPr>
            <w:tcW w:w="2838" w:type="pct"/>
            <w:tcBorders>
              <w:top w:val="nil"/>
              <w:left w:val="nil"/>
              <w:bottom w:val="nil"/>
              <w:right w:val="nil"/>
            </w:tcBorders>
            <w:shd w:val="clear" w:color="auto" w:fill="auto"/>
            <w:noWrap/>
            <w:vAlign w:val="bottom"/>
            <w:hideMark/>
          </w:tcPr>
          <w:p w14:paraId="11FB04A0" w14:textId="77777777" w:rsidR="001E338F" w:rsidRDefault="001E338F">
            <w:pPr>
              <w:rPr>
                <w:rFonts w:ascii="Calibri Light" w:hAnsi="Calibri Light" w:cs="Calibri Light"/>
                <w:sz w:val="18"/>
                <w:szCs w:val="18"/>
              </w:rPr>
            </w:pPr>
            <w:r>
              <w:rPr>
                <w:rFonts w:ascii="Calibri Light" w:hAnsi="Calibri Light"/>
                <w:sz w:val="18"/>
              </w:rPr>
              <w:t>Capital social</w:t>
            </w:r>
          </w:p>
        </w:tc>
        <w:tc>
          <w:tcPr>
            <w:tcW w:w="589" w:type="pct"/>
            <w:tcBorders>
              <w:top w:val="nil"/>
              <w:left w:val="nil"/>
              <w:bottom w:val="nil"/>
              <w:right w:val="nil"/>
            </w:tcBorders>
            <w:shd w:val="clear" w:color="auto" w:fill="auto"/>
            <w:noWrap/>
            <w:vAlign w:val="bottom"/>
            <w:hideMark/>
          </w:tcPr>
          <w:p w14:paraId="65ED396D" w14:textId="77777777" w:rsidR="001E338F" w:rsidRDefault="001E338F">
            <w:pPr>
              <w:rPr>
                <w:rFonts w:ascii="Calibri Light" w:hAnsi="Calibri Light" w:cs="Calibri Light"/>
                <w:sz w:val="18"/>
                <w:szCs w:val="18"/>
              </w:rPr>
            </w:pPr>
          </w:p>
        </w:tc>
        <w:tc>
          <w:tcPr>
            <w:tcW w:w="773" w:type="pct"/>
            <w:tcBorders>
              <w:top w:val="nil"/>
              <w:left w:val="nil"/>
              <w:bottom w:val="nil"/>
              <w:right w:val="nil"/>
            </w:tcBorders>
            <w:shd w:val="clear" w:color="auto" w:fill="auto"/>
            <w:noWrap/>
            <w:vAlign w:val="bottom"/>
            <w:hideMark/>
          </w:tcPr>
          <w:p w14:paraId="58C0F97E"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2 000 000</w:t>
            </w:r>
          </w:p>
        </w:tc>
        <w:tc>
          <w:tcPr>
            <w:tcW w:w="800" w:type="pct"/>
            <w:tcBorders>
              <w:top w:val="nil"/>
              <w:left w:val="nil"/>
              <w:bottom w:val="nil"/>
              <w:right w:val="nil"/>
            </w:tcBorders>
            <w:shd w:val="clear" w:color="auto" w:fill="auto"/>
            <w:noWrap/>
            <w:vAlign w:val="bottom"/>
            <w:hideMark/>
          </w:tcPr>
          <w:p w14:paraId="7E302A04"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1 186 667</w:t>
            </w:r>
          </w:p>
        </w:tc>
      </w:tr>
      <w:tr w:rsidR="001E338F" w14:paraId="1E44CC82" w14:textId="77777777" w:rsidTr="0061181E">
        <w:trPr>
          <w:trHeight w:val="240"/>
        </w:trPr>
        <w:tc>
          <w:tcPr>
            <w:tcW w:w="2838" w:type="pct"/>
            <w:tcBorders>
              <w:top w:val="nil"/>
              <w:left w:val="nil"/>
              <w:bottom w:val="nil"/>
              <w:right w:val="nil"/>
            </w:tcBorders>
            <w:shd w:val="clear" w:color="auto" w:fill="auto"/>
            <w:noWrap/>
            <w:vAlign w:val="bottom"/>
            <w:hideMark/>
          </w:tcPr>
          <w:p w14:paraId="6B7D3AEA" w14:textId="77777777" w:rsidR="001E338F" w:rsidRDefault="001E338F">
            <w:pPr>
              <w:rPr>
                <w:rFonts w:ascii="Calibri Light" w:hAnsi="Calibri Light" w:cs="Calibri Light"/>
                <w:sz w:val="18"/>
                <w:szCs w:val="18"/>
              </w:rPr>
            </w:pPr>
            <w:r>
              <w:rPr>
                <w:rFonts w:ascii="Calibri Light" w:hAnsi="Calibri Light"/>
                <w:sz w:val="18"/>
              </w:rPr>
              <w:t>Réserve légale</w:t>
            </w:r>
          </w:p>
        </w:tc>
        <w:tc>
          <w:tcPr>
            <w:tcW w:w="589" w:type="pct"/>
            <w:tcBorders>
              <w:top w:val="nil"/>
              <w:left w:val="nil"/>
              <w:bottom w:val="nil"/>
              <w:right w:val="nil"/>
            </w:tcBorders>
            <w:shd w:val="clear" w:color="auto" w:fill="auto"/>
            <w:noWrap/>
            <w:vAlign w:val="bottom"/>
            <w:hideMark/>
          </w:tcPr>
          <w:p w14:paraId="3E4A0491" w14:textId="77777777" w:rsidR="001E338F" w:rsidRDefault="001E338F">
            <w:pPr>
              <w:rPr>
                <w:rFonts w:ascii="Calibri Light" w:hAnsi="Calibri Light" w:cs="Calibri Light"/>
                <w:sz w:val="18"/>
                <w:szCs w:val="18"/>
              </w:rPr>
            </w:pPr>
          </w:p>
        </w:tc>
        <w:tc>
          <w:tcPr>
            <w:tcW w:w="773" w:type="pct"/>
            <w:tcBorders>
              <w:top w:val="nil"/>
              <w:left w:val="nil"/>
              <w:bottom w:val="nil"/>
              <w:right w:val="nil"/>
            </w:tcBorders>
            <w:shd w:val="clear" w:color="auto" w:fill="auto"/>
            <w:noWrap/>
            <w:vAlign w:val="bottom"/>
            <w:hideMark/>
          </w:tcPr>
          <w:p w14:paraId="389DF555"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237 333</w:t>
            </w:r>
          </w:p>
        </w:tc>
        <w:tc>
          <w:tcPr>
            <w:tcW w:w="800" w:type="pct"/>
            <w:tcBorders>
              <w:top w:val="nil"/>
              <w:left w:val="nil"/>
              <w:bottom w:val="nil"/>
              <w:right w:val="nil"/>
            </w:tcBorders>
            <w:shd w:val="clear" w:color="auto" w:fill="auto"/>
            <w:noWrap/>
            <w:vAlign w:val="bottom"/>
            <w:hideMark/>
          </w:tcPr>
          <w:p w14:paraId="1ED9A2BC"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191 399</w:t>
            </w:r>
          </w:p>
        </w:tc>
      </w:tr>
      <w:tr w:rsidR="001E338F" w14:paraId="19DABB63" w14:textId="77777777" w:rsidTr="0061181E">
        <w:trPr>
          <w:trHeight w:val="240"/>
        </w:trPr>
        <w:tc>
          <w:tcPr>
            <w:tcW w:w="2838" w:type="pct"/>
            <w:tcBorders>
              <w:top w:val="nil"/>
              <w:left w:val="nil"/>
              <w:bottom w:val="nil"/>
              <w:right w:val="nil"/>
            </w:tcBorders>
            <w:shd w:val="clear" w:color="auto" w:fill="auto"/>
            <w:noWrap/>
            <w:vAlign w:val="bottom"/>
            <w:hideMark/>
          </w:tcPr>
          <w:p w14:paraId="50665245" w14:textId="77777777" w:rsidR="001E338F" w:rsidRDefault="001E338F">
            <w:pPr>
              <w:rPr>
                <w:rFonts w:ascii="Calibri Light" w:hAnsi="Calibri Light" w:cs="Calibri Light"/>
                <w:sz w:val="18"/>
                <w:szCs w:val="18"/>
              </w:rPr>
            </w:pPr>
            <w:r>
              <w:rPr>
                <w:rFonts w:ascii="Calibri Light" w:hAnsi="Calibri Light"/>
                <w:sz w:val="18"/>
              </w:rPr>
              <w:t>Réserve pour écarts de conversion</w:t>
            </w:r>
          </w:p>
        </w:tc>
        <w:tc>
          <w:tcPr>
            <w:tcW w:w="589" w:type="pct"/>
            <w:tcBorders>
              <w:top w:val="nil"/>
              <w:left w:val="nil"/>
              <w:bottom w:val="nil"/>
              <w:right w:val="nil"/>
            </w:tcBorders>
            <w:shd w:val="clear" w:color="auto" w:fill="auto"/>
            <w:noWrap/>
            <w:vAlign w:val="bottom"/>
            <w:hideMark/>
          </w:tcPr>
          <w:p w14:paraId="006F0001" w14:textId="77777777" w:rsidR="001E338F" w:rsidRDefault="001E338F">
            <w:pPr>
              <w:rPr>
                <w:rFonts w:ascii="Calibri Light" w:hAnsi="Calibri Light" w:cs="Calibri Light"/>
                <w:sz w:val="18"/>
                <w:szCs w:val="18"/>
              </w:rPr>
            </w:pPr>
          </w:p>
        </w:tc>
        <w:tc>
          <w:tcPr>
            <w:tcW w:w="773" w:type="pct"/>
            <w:tcBorders>
              <w:top w:val="nil"/>
              <w:left w:val="nil"/>
              <w:bottom w:val="nil"/>
              <w:right w:val="nil"/>
            </w:tcBorders>
            <w:shd w:val="clear" w:color="auto" w:fill="auto"/>
            <w:noWrap/>
            <w:vAlign w:val="bottom"/>
            <w:hideMark/>
          </w:tcPr>
          <w:p w14:paraId="3D5FDF29"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2 440 366</w:t>
            </w:r>
          </w:p>
        </w:tc>
        <w:tc>
          <w:tcPr>
            <w:tcW w:w="800" w:type="pct"/>
            <w:tcBorders>
              <w:top w:val="nil"/>
              <w:left w:val="nil"/>
              <w:bottom w:val="nil"/>
              <w:right w:val="nil"/>
            </w:tcBorders>
            <w:shd w:val="clear" w:color="auto" w:fill="auto"/>
            <w:noWrap/>
            <w:vAlign w:val="bottom"/>
            <w:hideMark/>
          </w:tcPr>
          <w:p w14:paraId="2200F599"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2 440 366</w:t>
            </w:r>
          </w:p>
        </w:tc>
      </w:tr>
      <w:tr w:rsidR="001E338F" w14:paraId="5643C128" w14:textId="77777777" w:rsidTr="0061181E">
        <w:trPr>
          <w:trHeight w:val="240"/>
        </w:trPr>
        <w:tc>
          <w:tcPr>
            <w:tcW w:w="2838" w:type="pct"/>
            <w:tcBorders>
              <w:top w:val="nil"/>
              <w:left w:val="nil"/>
              <w:bottom w:val="nil"/>
              <w:right w:val="nil"/>
            </w:tcBorders>
            <w:shd w:val="clear" w:color="auto" w:fill="auto"/>
            <w:noWrap/>
            <w:vAlign w:val="bottom"/>
            <w:hideMark/>
          </w:tcPr>
          <w:p w14:paraId="77537F68" w14:textId="77777777" w:rsidR="001E338F" w:rsidRDefault="001E338F">
            <w:pPr>
              <w:rPr>
                <w:rFonts w:ascii="Calibri Light" w:hAnsi="Calibri Light" w:cs="Calibri Light"/>
                <w:sz w:val="18"/>
                <w:szCs w:val="18"/>
              </w:rPr>
            </w:pPr>
            <w:r>
              <w:rPr>
                <w:rFonts w:ascii="Calibri Light" w:hAnsi="Calibri Light"/>
                <w:sz w:val="18"/>
              </w:rPr>
              <w:t>Autres réserves</w:t>
            </w:r>
          </w:p>
        </w:tc>
        <w:tc>
          <w:tcPr>
            <w:tcW w:w="589" w:type="pct"/>
            <w:tcBorders>
              <w:top w:val="nil"/>
              <w:left w:val="nil"/>
              <w:bottom w:val="nil"/>
              <w:right w:val="nil"/>
            </w:tcBorders>
            <w:shd w:val="clear" w:color="auto" w:fill="auto"/>
            <w:noWrap/>
            <w:vAlign w:val="bottom"/>
            <w:hideMark/>
          </w:tcPr>
          <w:p w14:paraId="594BACB2" w14:textId="77777777" w:rsidR="001E338F" w:rsidRDefault="001E338F">
            <w:pPr>
              <w:rPr>
                <w:rFonts w:ascii="Calibri Light" w:hAnsi="Calibri Light" w:cs="Calibri Light"/>
                <w:sz w:val="18"/>
                <w:szCs w:val="18"/>
              </w:rPr>
            </w:pPr>
          </w:p>
        </w:tc>
        <w:tc>
          <w:tcPr>
            <w:tcW w:w="773" w:type="pct"/>
            <w:tcBorders>
              <w:top w:val="nil"/>
              <w:left w:val="nil"/>
              <w:bottom w:val="nil"/>
              <w:right w:val="nil"/>
            </w:tcBorders>
            <w:shd w:val="clear" w:color="auto" w:fill="auto"/>
            <w:noWrap/>
            <w:vAlign w:val="bottom"/>
            <w:hideMark/>
          </w:tcPr>
          <w:p w14:paraId="472D0281"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2 783 171</w:t>
            </w:r>
          </w:p>
        </w:tc>
        <w:tc>
          <w:tcPr>
            <w:tcW w:w="800" w:type="pct"/>
            <w:tcBorders>
              <w:top w:val="nil"/>
              <w:left w:val="nil"/>
              <w:bottom w:val="nil"/>
              <w:right w:val="nil"/>
            </w:tcBorders>
            <w:shd w:val="clear" w:color="auto" w:fill="auto"/>
            <w:noWrap/>
            <w:vAlign w:val="bottom"/>
            <w:hideMark/>
          </w:tcPr>
          <w:p w14:paraId="24C5E089"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3 593 354</w:t>
            </w:r>
          </w:p>
        </w:tc>
      </w:tr>
      <w:tr w:rsidR="001E338F" w14:paraId="000E99AF" w14:textId="77777777" w:rsidTr="0061181E">
        <w:trPr>
          <w:trHeight w:val="240"/>
        </w:trPr>
        <w:tc>
          <w:tcPr>
            <w:tcW w:w="2838" w:type="pct"/>
            <w:tcBorders>
              <w:top w:val="nil"/>
              <w:left w:val="nil"/>
              <w:bottom w:val="nil"/>
              <w:right w:val="nil"/>
            </w:tcBorders>
            <w:shd w:val="clear" w:color="auto" w:fill="auto"/>
            <w:noWrap/>
            <w:vAlign w:val="bottom"/>
            <w:hideMark/>
          </w:tcPr>
          <w:p w14:paraId="00561020" w14:textId="77777777" w:rsidR="001E338F" w:rsidRDefault="001E338F">
            <w:pPr>
              <w:rPr>
                <w:rFonts w:ascii="Calibri Light" w:hAnsi="Calibri Light" w:cs="Calibri Light"/>
                <w:sz w:val="18"/>
                <w:szCs w:val="18"/>
              </w:rPr>
            </w:pPr>
            <w:r>
              <w:rPr>
                <w:rFonts w:ascii="Calibri Light" w:hAnsi="Calibri Light"/>
                <w:sz w:val="18"/>
              </w:rPr>
              <w:t>Réserve pour les régimes de prévoyance (OCI) - actualisée</w:t>
            </w:r>
          </w:p>
        </w:tc>
        <w:tc>
          <w:tcPr>
            <w:tcW w:w="589" w:type="pct"/>
            <w:tcBorders>
              <w:top w:val="nil"/>
              <w:left w:val="nil"/>
              <w:bottom w:val="nil"/>
              <w:right w:val="nil"/>
            </w:tcBorders>
            <w:shd w:val="clear" w:color="auto" w:fill="auto"/>
            <w:noWrap/>
            <w:vAlign w:val="bottom"/>
            <w:hideMark/>
          </w:tcPr>
          <w:p w14:paraId="00B54105" w14:textId="77777777" w:rsidR="001E338F" w:rsidRDefault="001E338F">
            <w:pPr>
              <w:rPr>
                <w:rFonts w:ascii="Calibri Light" w:hAnsi="Calibri Light" w:cs="Calibri Light"/>
                <w:sz w:val="18"/>
                <w:szCs w:val="18"/>
              </w:rPr>
            </w:pPr>
          </w:p>
        </w:tc>
        <w:tc>
          <w:tcPr>
            <w:tcW w:w="773" w:type="pct"/>
            <w:tcBorders>
              <w:top w:val="nil"/>
              <w:left w:val="nil"/>
              <w:bottom w:val="nil"/>
              <w:right w:val="nil"/>
            </w:tcBorders>
            <w:shd w:val="clear" w:color="auto" w:fill="auto"/>
            <w:noWrap/>
            <w:vAlign w:val="bottom"/>
            <w:hideMark/>
          </w:tcPr>
          <w:p w14:paraId="448C026F"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(119 557)</w:t>
            </w:r>
          </w:p>
        </w:tc>
        <w:tc>
          <w:tcPr>
            <w:tcW w:w="800" w:type="pct"/>
            <w:tcBorders>
              <w:top w:val="nil"/>
              <w:left w:val="nil"/>
              <w:bottom w:val="nil"/>
              <w:right w:val="nil"/>
            </w:tcBorders>
            <w:shd w:val="clear" w:color="auto" w:fill="auto"/>
            <w:noWrap/>
            <w:vAlign w:val="bottom"/>
            <w:hideMark/>
          </w:tcPr>
          <w:p w14:paraId="4A462537"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(122 636)</w:t>
            </w:r>
          </w:p>
        </w:tc>
      </w:tr>
      <w:tr w:rsidR="001E338F" w14:paraId="6FF6ED77" w14:textId="77777777" w:rsidTr="0061181E">
        <w:trPr>
          <w:trHeight w:val="240"/>
        </w:trPr>
        <w:tc>
          <w:tcPr>
            <w:tcW w:w="2838" w:type="pct"/>
            <w:tcBorders>
              <w:top w:val="nil"/>
              <w:left w:val="nil"/>
              <w:bottom w:val="nil"/>
              <w:right w:val="nil"/>
            </w:tcBorders>
            <w:shd w:val="clear" w:color="auto" w:fill="auto"/>
            <w:noWrap/>
            <w:vAlign w:val="bottom"/>
            <w:hideMark/>
          </w:tcPr>
          <w:p w14:paraId="4B2A74DD" w14:textId="77777777" w:rsidR="001E338F" w:rsidRDefault="001E338F">
            <w:pPr>
              <w:rPr>
                <w:rFonts w:ascii="Calibri Light" w:hAnsi="Calibri Light" w:cs="Calibri Light"/>
                <w:sz w:val="18"/>
                <w:szCs w:val="18"/>
              </w:rPr>
            </w:pPr>
            <w:r>
              <w:rPr>
                <w:rFonts w:ascii="Calibri Light" w:hAnsi="Calibri Light"/>
                <w:sz w:val="18"/>
              </w:rPr>
              <w:t>Bénéfices/pertes des périodes précédentes</w:t>
            </w:r>
          </w:p>
        </w:tc>
        <w:tc>
          <w:tcPr>
            <w:tcW w:w="589" w:type="pct"/>
            <w:tcBorders>
              <w:top w:val="nil"/>
              <w:left w:val="nil"/>
              <w:bottom w:val="nil"/>
              <w:right w:val="nil"/>
            </w:tcBorders>
            <w:shd w:val="clear" w:color="auto" w:fill="auto"/>
            <w:noWrap/>
            <w:vAlign w:val="bottom"/>
            <w:hideMark/>
          </w:tcPr>
          <w:p w14:paraId="36D21528" w14:textId="77777777" w:rsidR="001E338F" w:rsidRDefault="001E338F">
            <w:pPr>
              <w:rPr>
                <w:rFonts w:ascii="Calibri Light" w:hAnsi="Calibri Light" w:cs="Calibri Light"/>
                <w:sz w:val="18"/>
                <w:szCs w:val="18"/>
              </w:rPr>
            </w:pPr>
          </w:p>
        </w:tc>
        <w:tc>
          <w:tcPr>
            <w:tcW w:w="773" w:type="pct"/>
            <w:tcBorders>
              <w:top w:val="nil"/>
              <w:left w:val="nil"/>
              <w:bottom w:val="nil"/>
              <w:right w:val="nil"/>
            </w:tcBorders>
            <w:shd w:val="clear" w:color="auto" w:fill="auto"/>
            <w:noWrap/>
            <w:vAlign w:val="bottom"/>
            <w:hideMark/>
          </w:tcPr>
          <w:p w14:paraId="348282F6" w14:textId="2F8853AF" w:rsidR="001E338F" w:rsidRDefault="00583B1A">
            <w:pPr>
              <w:jc w:val="right"/>
              <w:rPr>
                <w:rFonts w:ascii="Calibri Light" w:hAnsi="Calibri Light" w:cs="Calibri Light"/>
                <w:color w:val="000000"/>
                <w:sz w:val="18"/>
                <w:szCs w:val="18"/>
              </w:rPr>
            </w:pPr>
            <w:r>
              <w:rPr>
                <w:rFonts w:ascii="Calibri Light" w:hAnsi="Calibri Light"/>
                <w:color w:val="000000"/>
                <w:sz w:val="18"/>
              </w:rPr>
              <w:t>.</w:t>
            </w:r>
          </w:p>
        </w:tc>
        <w:tc>
          <w:tcPr>
            <w:tcW w:w="800" w:type="pct"/>
            <w:tcBorders>
              <w:top w:val="nil"/>
              <w:left w:val="nil"/>
              <w:bottom w:val="nil"/>
              <w:right w:val="nil"/>
            </w:tcBorders>
            <w:shd w:val="clear" w:color="auto" w:fill="auto"/>
            <w:noWrap/>
            <w:vAlign w:val="bottom"/>
            <w:hideMark/>
          </w:tcPr>
          <w:p w14:paraId="0DE6F2A2"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733 560</w:t>
            </w:r>
          </w:p>
        </w:tc>
      </w:tr>
      <w:tr w:rsidR="001E338F" w14:paraId="48B5533F" w14:textId="77777777" w:rsidTr="0061181E">
        <w:trPr>
          <w:trHeight w:val="240"/>
        </w:trPr>
        <w:tc>
          <w:tcPr>
            <w:tcW w:w="2838" w:type="pct"/>
            <w:tcBorders>
              <w:top w:val="nil"/>
              <w:left w:val="nil"/>
              <w:bottom w:val="nil"/>
              <w:right w:val="nil"/>
            </w:tcBorders>
            <w:shd w:val="clear" w:color="auto" w:fill="auto"/>
            <w:noWrap/>
            <w:vAlign w:val="bottom"/>
            <w:hideMark/>
          </w:tcPr>
          <w:p w14:paraId="6F00EC68" w14:textId="77777777" w:rsidR="001E338F" w:rsidRDefault="001E338F">
            <w:pPr>
              <w:rPr>
                <w:rFonts w:ascii="Calibri Light" w:hAnsi="Calibri Light" w:cs="Calibri Light"/>
                <w:sz w:val="18"/>
                <w:szCs w:val="18"/>
              </w:rPr>
            </w:pPr>
            <w:r>
              <w:rPr>
                <w:rFonts w:ascii="Calibri Light" w:hAnsi="Calibri Light"/>
                <w:sz w:val="18"/>
              </w:rPr>
              <w:t>Résultat pour la période</w:t>
            </w:r>
          </w:p>
        </w:tc>
        <w:tc>
          <w:tcPr>
            <w:tcW w:w="589" w:type="pct"/>
            <w:tcBorders>
              <w:top w:val="nil"/>
              <w:left w:val="nil"/>
              <w:bottom w:val="nil"/>
              <w:right w:val="nil"/>
            </w:tcBorders>
            <w:shd w:val="clear" w:color="auto" w:fill="auto"/>
            <w:noWrap/>
            <w:vAlign w:val="bottom"/>
            <w:hideMark/>
          </w:tcPr>
          <w:p w14:paraId="117A4D7E" w14:textId="77777777" w:rsidR="001E338F" w:rsidRDefault="001E338F">
            <w:pPr>
              <w:rPr>
                <w:rFonts w:ascii="Calibri Light" w:hAnsi="Calibri Light" w:cs="Calibri Light"/>
                <w:sz w:val="18"/>
                <w:szCs w:val="18"/>
              </w:rPr>
            </w:pPr>
          </w:p>
        </w:tc>
        <w:tc>
          <w:tcPr>
            <w:tcW w:w="773" w:type="pct"/>
            <w:tcBorders>
              <w:top w:val="nil"/>
              <w:left w:val="nil"/>
              <w:bottom w:val="nil"/>
              <w:right w:val="nil"/>
            </w:tcBorders>
            <w:shd w:val="clear" w:color="auto" w:fill="auto"/>
            <w:noWrap/>
            <w:vAlign w:val="bottom"/>
            <w:hideMark/>
          </w:tcPr>
          <w:p w14:paraId="1BFB8A0E"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2 128 669</w:t>
            </w:r>
          </w:p>
        </w:tc>
        <w:tc>
          <w:tcPr>
            <w:tcW w:w="800" w:type="pct"/>
            <w:tcBorders>
              <w:top w:val="nil"/>
              <w:left w:val="nil"/>
              <w:bottom w:val="nil"/>
              <w:right w:val="nil"/>
            </w:tcBorders>
            <w:shd w:val="clear" w:color="auto" w:fill="auto"/>
            <w:noWrap/>
            <w:vAlign w:val="bottom"/>
            <w:hideMark/>
          </w:tcPr>
          <w:p w14:paraId="1BEC062B"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3 815 524</w:t>
            </w:r>
          </w:p>
        </w:tc>
      </w:tr>
      <w:tr w:rsidR="001E338F" w14:paraId="29512EDB" w14:textId="77777777" w:rsidTr="0061181E">
        <w:trPr>
          <w:trHeight w:val="252"/>
        </w:trPr>
        <w:tc>
          <w:tcPr>
            <w:tcW w:w="2838" w:type="pct"/>
            <w:tcBorders>
              <w:top w:val="nil"/>
              <w:left w:val="nil"/>
              <w:bottom w:val="nil"/>
              <w:right w:val="nil"/>
            </w:tcBorders>
            <w:shd w:val="clear" w:color="auto" w:fill="auto"/>
            <w:noWrap/>
            <w:vAlign w:val="bottom"/>
            <w:hideMark/>
          </w:tcPr>
          <w:p w14:paraId="6F47777E" w14:textId="77777777" w:rsidR="001E338F" w:rsidRDefault="001E338F">
            <w:pPr>
              <w:rPr>
                <w:rFonts w:ascii="Calibri Light" w:hAnsi="Calibri Light" w:cs="Calibri Light"/>
                <w:b/>
                <w:bCs/>
                <w:sz w:val="18"/>
                <w:szCs w:val="18"/>
              </w:rPr>
            </w:pPr>
            <w:r>
              <w:rPr>
                <w:rFonts w:ascii="Calibri Light" w:hAnsi="Calibri Light"/>
                <w:b/>
                <w:sz w:val="18"/>
              </w:rPr>
              <w:t>TOTAL CAPITAUX PROPRES</w:t>
            </w:r>
          </w:p>
        </w:tc>
        <w:tc>
          <w:tcPr>
            <w:tcW w:w="589" w:type="pct"/>
            <w:tcBorders>
              <w:top w:val="nil"/>
              <w:left w:val="nil"/>
              <w:bottom w:val="nil"/>
              <w:right w:val="nil"/>
            </w:tcBorders>
            <w:shd w:val="clear" w:color="auto" w:fill="auto"/>
            <w:noWrap/>
            <w:vAlign w:val="bottom"/>
            <w:hideMark/>
          </w:tcPr>
          <w:p w14:paraId="23C01449"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(17)</w:t>
            </w:r>
          </w:p>
        </w:tc>
        <w:tc>
          <w:tcPr>
            <w:tcW w:w="773" w:type="pct"/>
            <w:tcBorders>
              <w:top w:val="single" w:sz="4" w:space="0" w:color="auto"/>
              <w:left w:val="nil"/>
              <w:bottom w:val="single" w:sz="8" w:space="0" w:color="auto"/>
              <w:right w:val="nil"/>
            </w:tcBorders>
            <w:shd w:val="clear" w:color="auto" w:fill="auto"/>
            <w:noWrap/>
            <w:vAlign w:val="bottom"/>
            <w:hideMark/>
          </w:tcPr>
          <w:p w14:paraId="1AD70392" w14:textId="77777777" w:rsidR="001E338F" w:rsidRDefault="001E338F">
            <w:pPr>
              <w:jc w:val="right"/>
              <w:rPr>
                <w:rFonts w:ascii="Calibri Light" w:hAnsi="Calibri Light" w:cs="Calibri Light"/>
                <w:b/>
                <w:bCs/>
                <w:color w:val="000000"/>
                <w:sz w:val="18"/>
                <w:szCs w:val="18"/>
              </w:rPr>
            </w:pPr>
            <w:r>
              <w:rPr>
                <w:rFonts w:ascii="Calibri Light" w:hAnsi="Calibri Light"/>
                <w:b/>
                <w:color w:val="000000"/>
                <w:sz w:val="18"/>
              </w:rPr>
              <w:t>9 469 982</w:t>
            </w:r>
          </w:p>
        </w:tc>
        <w:tc>
          <w:tcPr>
            <w:tcW w:w="800" w:type="pct"/>
            <w:tcBorders>
              <w:top w:val="single" w:sz="4" w:space="0" w:color="auto"/>
              <w:left w:val="nil"/>
              <w:bottom w:val="single" w:sz="8" w:space="0" w:color="auto"/>
              <w:right w:val="nil"/>
            </w:tcBorders>
            <w:shd w:val="clear" w:color="auto" w:fill="auto"/>
            <w:noWrap/>
            <w:vAlign w:val="bottom"/>
            <w:hideMark/>
          </w:tcPr>
          <w:p w14:paraId="45B0C3B7" w14:textId="77777777" w:rsidR="001E338F" w:rsidRDefault="001E338F">
            <w:pPr>
              <w:jc w:val="right"/>
              <w:rPr>
                <w:rFonts w:ascii="Calibri Light" w:hAnsi="Calibri Light" w:cs="Calibri Light"/>
                <w:b/>
                <w:bCs/>
                <w:color w:val="000000"/>
                <w:sz w:val="18"/>
                <w:szCs w:val="18"/>
              </w:rPr>
            </w:pPr>
            <w:r>
              <w:rPr>
                <w:rFonts w:ascii="Calibri Light" w:hAnsi="Calibri Light"/>
                <w:b/>
                <w:color w:val="000000"/>
                <w:sz w:val="18"/>
              </w:rPr>
              <w:t>11 838 234</w:t>
            </w:r>
          </w:p>
        </w:tc>
      </w:tr>
      <w:tr w:rsidR="001E338F" w14:paraId="1C3739C5" w14:textId="77777777" w:rsidTr="0061181E">
        <w:trPr>
          <w:trHeight w:val="240"/>
        </w:trPr>
        <w:tc>
          <w:tcPr>
            <w:tcW w:w="2838" w:type="pct"/>
            <w:tcBorders>
              <w:top w:val="nil"/>
              <w:left w:val="nil"/>
              <w:bottom w:val="nil"/>
              <w:right w:val="nil"/>
            </w:tcBorders>
            <w:shd w:val="clear" w:color="auto" w:fill="auto"/>
            <w:noWrap/>
            <w:vAlign w:val="bottom"/>
            <w:hideMark/>
          </w:tcPr>
          <w:p w14:paraId="2A7F4633" w14:textId="77777777" w:rsidR="001E338F" w:rsidRDefault="001E338F">
            <w:pPr>
              <w:jc w:val="right"/>
              <w:rPr>
                <w:rFonts w:ascii="Calibri Light" w:hAnsi="Calibri Light" w:cs="Calibri Light"/>
                <w:b/>
                <w:bCs/>
                <w:color w:val="000000"/>
                <w:sz w:val="18"/>
                <w:szCs w:val="18"/>
              </w:rPr>
            </w:pPr>
          </w:p>
        </w:tc>
        <w:tc>
          <w:tcPr>
            <w:tcW w:w="589" w:type="pct"/>
            <w:tcBorders>
              <w:top w:val="nil"/>
              <w:left w:val="nil"/>
              <w:bottom w:val="nil"/>
              <w:right w:val="nil"/>
            </w:tcBorders>
            <w:shd w:val="clear" w:color="auto" w:fill="auto"/>
            <w:noWrap/>
            <w:vAlign w:val="bottom"/>
            <w:hideMark/>
          </w:tcPr>
          <w:p w14:paraId="6FB4E6AB" w14:textId="77777777" w:rsidR="001E338F" w:rsidRDefault="001E338F">
            <w:pPr>
              <w:rPr>
                <w:sz w:val="20"/>
                <w:szCs w:val="20"/>
              </w:rPr>
            </w:pPr>
          </w:p>
        </w:tc>
        <w:tc>
          <w:tcPr>
            <w:tcW w:w="773" w:type="pct"/>
            <w:tcBorders>
              <w:top w:val="nil"/>
              <w:left w:val="nil"/>
              <w:bottom w:val="nil"/>
              <w:right w:val="nil"/>
            </w:tcBorders>
            <w:shd w:val="clear" w:color="auto" w:fill="auto"/>
            <w:noWrap/>
            <w:vAlign w:val="bottom"/>
            <w:hideMark/>
          </w:tcPr>
          <w:p w14:paraId="0A022DA7" w14:textId="77777777" w:rsidR="001E338F" w:rsidRDefault="001E338F">
            <w:pPr>
              <w:jc w:val="center"/>
              <w:rPr>
                <w:sz w:val="20"/>
                <w:szCs w:val="20"/>
              </w:rPr>
            </w:pPr>
          </w:p>
        </w:tc>
        <w:tc>
          <w:tcPr>
            <w:tcW w:w="800" w:type="pct"/>
            <w:tcBorders>
              <w:top w:val="nil"/>
              <w:left w:val="nil"/>
              <w:bottom w:val="nil"/>
              <w:right w:val="nil"/>
            </w:tcBorders>
            <w:shd w:val="clear" w:color="auto" w:fill="auto"/>
            <w:noWrap/>
            <w:vAlign w:val="bottom"/>
            <w:hideMark/>
          </w:tcPr>
          <w:p w14:paraId="109E1924" w14:textId="77777777" w:rsidR="001E338F" w:rsidRDefault="001E338F">
            <w:pPr>
              <w:rPr>
                <w:sz w:val="20"/>
                <w:szCs w:val="20"/>
              </w:rPr>
            </w:pPr>
          </w:p>
        </w:tc>
      </w:tr>
      <w:tr w:rsidR="001E338F" w14:paraId="1F860338" w14:textId="77777777" w:rsidTr="0061181E">
        <w:trPr>
          <w:trHeight w:val="240"/>
        </w:trPr>
        <w:tc>
          <w:tcPr>
            <w:tcW w:w="2838" w:type="pct"/>
            <w:tcBorders>
              <w:top w:val="nil"/>
              <w:left w:val="nil"/>
              <w:bottom w:val="nil"/>
              <w:right w:val="nil"/>
            </w:tcBorders>
            <w:shd w:val="clear" w:color="auto" w:fill="auto"/>
            <w:noWrap/>
            <w:vAlign w:val="bottom"/>
            <w:hideMark/>
          </w:tcPr>
          <w:p w14:paraId="0DAFFD2E" w14:textId="77777777" w:rsidR="001E338F" w:rsidRDefault="001E338F">
            <w:pPr>
              <w:rPr>
                <w:rFonts w:ascii="Calibri Light" w:hAnsi="Calibri Light" w:cs="Calibri Light"/>
                <w:b/>
                <w:bCs/>
                <w:sz w:val="18"/>
                <w:szCs w:val="18"/>
              </w:rPr>
            </w:pPr>
            <w:r>
              <w:rPr>
                <w:rFonts w:ascii="Calibri Light" w:hAnsi="Calibri Light"/>
                <w:b/>
                <w:sz w:val="18"/>
              </w:rPr>
              <w:t>PASSIF</w:t>
            </w:r>
          </w:p>
        </w:tc>
        <w:tc>
          <w:tcPr>
            <w:tcW w:w="589" w:type="pct"/>
            <w:tcBorders>
              <w:top w:val="nil"/>
              <w:left w:val="nil"/>
              <w:bottom w:val="nil"/>
              <w:right w:val="nil"/>
            </w:tcBorders>
            <w:shd w:val="clear" w:color="auto" w:fill="auto"/>
            <w:noWrap/>
            <w:vAlign w:val="bottom"/>
            <w:hideMark/>
          </w:tcPr>
          <w:p w14:paraId="3390938C" w14:textId="77777777" w:rsidR="001E338F" w:rsidRDefault="001E338F">
            <w:pPr>
              <w:rPr>
                <w:rFonts w:ascii="Calibri Light" w:hAnsi="Calibri Light" w:cs="Calibri Light"/>
                <w:b/>
                <w:bCs/>
                <w:sz w:val="18"/>
                <w:szCs w:val="18"/>
              </w:rPr>
            </w:pPr>
          </w:p>
        </w:tc>
        <w:tc>
          <w:tcPr>
            <w:tcW w:w="773" w:type="pct"/>
            <w:tcBorders>
              <w:top w:val="nil"/>
              <w:left w:val="nil"/>
              <w:bottom w:val="nil"/>
              <w:right w:val="nil"/>
            </w:tcBorders>
            <w:shd w:val="clear" w:color="auto" w:fill="auto"/>
            <w:noWrap/>
            <w:vAlign w:val="bottom"/>
            <w:hideMark/>
          </w:tcPr>
          <w:p w14:paraId="4C79206D" w14:textId="77777777" w:rsidR="001E338F" w:rsidRDefault="001E338F">
            <w:pPr>
              <w:jc w:val="center"/>
              <w:rPr>
                <w:sz w:val="20"/>
                <w:szCs w:val="20"/>
              </w:rPr>
            </w:pPr>
          </w:p>
        </w:tc>
        <w:tc>
          <w:tcPr>
            <w:tcW w:w="800" w:type="pct"/>
            <w:tcBorders>
              <w:top w:val="nil"/>
              <w:left w:val="nil"/>
              <w:bottom w:val="nil"/>
              <w:right w:val="nil"/>
            </w:tcBorders>
            <w:shd w:val="clear" w:color="auto" w:fill="auto"/>
            <w:noWrap/>
            <w:vAlign w:val="bottom"/>
            <w:hideMark/>
          </w:tcPr>
          <w:p w14:paraId="5DDDC2C6" w14:textId="77777777" w:rsidR="001E338F" w:rsidRDefault="001E338F">
            <w:pPr>
              <w:rPr>
                <w:sz w:val="20"/>
                <w:szCs w:val="20"/>
              </w:rPr>
            </w:pPr>
          </w:p>
        </w:tc>
      </w:tr>
      <w:tr w:rsidR="001E338F" w14:paraId="41CAE56F" w14:textId="77777777" w:rsidTr="0061181E">
        <w:trPr>
          <w:trHeight w:val="240"/>
        </w:trPr>
        <w:tc>
          <w:tcPr>
            <w:tcW w:w="2838" w:type="pct"/>
            <w:tcBorders>
              <w:top w:val="nil"/>
              <w:left w:val="nil"/>
              <w:bottom w:val="nil"/>
              <w:right w:val="nil"/>
            </w:tcBorders>
            <w:shd w:val="clear" w:color="auto" w:fill="auto"/>
            <w:noWrap/>
            <w:vAlign w:val="bottom"/>
            <w:hideMark/>
          </w:tcPr>
          <w:p w14:paraId="73363449" w14:textId="77777777" w:rsidR="001E338F" w:rsidRDefault="001E338F">
            <w:pPr>
              <w:rPr>
                <w:rFonts w:ascii="Calibri Light" w:hAnsi="Calibri Light" w:cs="Calibri Light"/>
                <w:b/>
                <w:bCs/>
                <w:sz w:val="18"/>
                <w:szCs w:val="18"/>
              </w:rPr>
            </w:pPr>
            <w:r>
              <w:rPr>
                <w:rFonts w:ascii="Calibri Light" w:hAnsi="Calibri Light"/>
                <w:b/>
                <w:sz w:val="18"/>
              </w:rPr>
              <w:t>Passif à long terme</w:t>
            </w:r>
          </w:p>
        </w:tc>
        <w:tc>
          <w:tcPr>
            <w:tcW w:w="589" w:type="pct"/>
            <w:tcBorders>
              <w:top w:val="nil"/>
              <w:left w:val="nil"/>
              <w:bottom w:val="nil"/>
              <w:right w:val="nil"/>
            </w:tcBorders>
            <w:shd w:val="clear" w:color="auto" w:fill="auto"/>
            <w:noWrap/>
            <w:vAlign w:val="bottom"/>
            <w:hideMark/>
          </w:tcPr>
          <w:p w14:paraId="0180D686" w14:textId="77777777" w:rsidR="001E338F" w:rsidRDefault="001E338F">
            <w:pPr>
              <w:rPr>
                <w:rFonts w:ascii="Calibri Light" w:hAnsi="Calibri Light" w:cs="Calibri Light"/>
                <w:b/>
                <w:bCs/>
                <w:sz w:val="18"/>
                <w:szCs w:val="18"/>
              </w:rPr>
            </w:pPr>
          </w:p>
        </w:tc>
        <w:tc>
          <w:tcPr>
            <w:tcW w:w="773" w:type="pct"/>
            <w:tcBorders>
              <w:top w:val="nil"/>
              <w:left w:val="nil"/>
              <w:bottom w:val="nil"/>
              <w:right w:val="nil"/>
            </w:tcBorders>
            <w:shd w:val="clear" w:color="auto" w:fill="auto"/>
            <w:noWrap/>
            <w:vAlign w:val="bottom"/>
            <w:hideMark/>
          </w:tcPr>
          <w:p w14:paraId="46B28BDA" w14:textId="77777777" w:rsidR="001E338F" w:rsidRDefault="001E338F">
            <w:pPr>
              <w:jc w:val="center"/>
              <w:rPr>
                <w:sz w:val="20"/>
                <w:szCs w:val="20"/>
              </w:rPr>
            </w:pPr>
          </w:p>
        </w:tc>
        <w:tc>
          <w:tcPr>
            <w:tcW w:w="800" w:type="pct"/>
            <w:tcBorders>
              <w:top w:val="nil"/>
              <w:left w:val="nil"/>
              <w:bottom w:val="nil"/>
              <w:right w:val="nil"/>
            </w:tcBorders>
            <w:shd w:val="clear" w:color="auto" w:fill="auto"/>
            <w:noWrap/>
            <w:vAlign w:val="bottom"/>
            <w:hideMark/>
          </w:tcPr>
          <w:p w14:paraId="4AABF460" w14:textId="77777777" w:rsidR="001E338F" w:rsidRDefault="001E338F">
            <w:pPr>
              <w:rPr>
                <w:sz w:val="20"/>
                <w:szCs w:val="20"/>
              </w:rPr>
            </w:pPr>
          </w:p>
        </w:tc>
      </w:tr>
      <w:tr w:rsidR="001E338F" w14:paraId="47C0D987" w14:textId="77777777" w:rsidTr="0061181E">
        <w:trPr>
          <w:trHeight w:val="240"/>
        </w:trPr>
        <w:tc>
          <w:tcPr>
            <w:tcW w:w="2838" w:type="pct"/>
            <w:tcBorders>
              <w:top w:val="nil"/>
              <w:left w:val="nil"/>
              <w:bottom w:val="nil"/>
              <w:right w:val="nil"/>
            </w:tcBorders>
            <w:shd w:val="clear" w:color="auto" w:fill="auto"/>
            <w:noWrap/>
            <w:vAlign w:val="bottom"/>
            <w:hideMark/>
          </w:tcPr>
          <w:p w14:paraId="1FD0B602" w14:textId="77777777" w:rsidR="001E338F" w:rsidRDefault="001E338F">
            <w:pPr>
              <w:rPr>
                <w:rFonts w:ascii="Calibri Light" w:hAnsi="Calibri Light" w:cs="Calibri Light"/>
                <w:sz w:val="18"/>
                <w:szCs w:val="18"/>
              </w:rPr>
            </w:pPr>
            <w:r>
              <w:rPr>
                <w:rFonts w:ascii="Calibri Light" w:hAnsi="Calibri Light"/>
                <w:sz w:val="18"/>
              </w:rPr>
              <w:t>Prêts à moyen et long terme</w:t>
            </w:r>
          </w:p>
        </w:tc>
        <w:tc>
          <w:tcPr>
            <w:tcW w:w="589" w:type="pct"/>
            <w:tcBorders>
              <w:top w:val="nil"/>
              <w:left w:val="nil"/>
              <w:bottom w:val="nil"/>
              <w:right w:val="nil"/>
            </w:tcBorders>
            <w:shd w:val="clear" w:color="auto" w:fill="auto"/>
            <w:noWrap/>
            <w:vAlign w:val="bottom"/>
            <w:hideMark/>
          </w:tcPr>
          <w:p w14:paraId="24E326AC"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(18)</w:t>
            </w:r>
          </w:p>
        </w:tc>
        <w:tc>
          <w:tcPr>
            <w:tcW w:w="773" w:type="pct"/>
            <w:tcBorders>
              <w:top w:val="nil"/>
              <w:left w:val="nil"/>
              <w:bottom w:val="nil"/>
              <w:right w:val="nil"/>
            </w:tcBorders>
            <w:shd w:val="clear" w:color="auto" w:fill="auto"/>
            <w:noWrap/>
            <w:vAlign w:val="bottom"/>
            <w:hideMark/>
          </w:tcPr>
          <w:p w14:paraId="394F53F3"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4 197 711</w:t>
            </w:r>
          </w:p>
        </w:tc>
        <w:tc>
          <w:tcPr>
            <w:tcW w:w="800" w:type="pct"/>
            <w:tcBorders>
              <w:top w:val="nil"/>
              <w:left w:val="nil"/>
              <w:bottom w:val="nil"/>
              <w:right w:val="nil"/>
            </w:tcBorders>
            <w:shd w:val="clear" w:color="auto" w:fill="auto"/>
            <w:noWrap/>
            <w:vAlign w:val="bottom"/>
            <w:hideMark/>
          </w:tcPr>
          <w:p w14:paraId="33546559"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4 115 858</w:t>
            </w:r>
          </w:p>
        </w:tc>
      </w:tr>
      <w:tr w:rsidR="001E338F" w14:paraId="4F77D206" w14:textId="77777777" w:rsidTr="0061181E">
        <w:trPr>
          <w:trHeight w:val="240"/>
        </w:trPr>
        <w:tc>
          <w:tcPr>
            <w:tcW w:w="2838" w:type="pct"/>
            <w:tcBorders>
              <w:top w:val="nil"/>
              <w:left w:val="nil"/>
              <w:bottom w:val="nil"/>
              <w:right w:val="nil"/>
            </w:tcBorders>
            <w:shd w:val="clear" w:color="auto" w:fill="auto"/>
            <w:noWrap/>
            <w:vAlign w:val="bottom"/>
            <w:hideMark/>
          </w:tcPr>
          <w:p w14:paraId="4C65F3D9" w14:textId="77777777" w:rsidR="001E338F" w:rsidRDefault="001E338F">
            <w:pPr>
              <w:rPr>
                <w:rFonts w:ascii="Calibri Light" w:hAnsi="Calibri Light" w:cs="Calibri Light"/>
                <w:sz w:val="18"/>
                <w:szCs w:val="18"/>
              </w:rPr>
            </w:pPr>
            <w:r>
              <w:rPr>
                <w:rFonts w:ascii="Calibri Light" w:hAnsi="Calibri Light"/>
                <w:sz w:val="18"/>
              </w:rPr>
              <w:t>Autres passifs financiers non exigibles</w:t>
            </w:r>
          </w:p>
        </w:tc>
        <w:tc>
          <w:tcPr>
            <w:tcW w:w="589" w:type="pct"/>
            <w:tcBorders>
              <w:top w:val="nil"/>
              <w:left w:val="nil"/>
              <w:bottom w:val="nil"/>
              <w:right w:val="nil"/>
            </w:tcBorders>
            <w:shd w:val="clear" w:color="auto" w:fill="auto"/>
            <w:noWrap/>
            <w:vAlign w:val="bottom"/>
            <w:hideMark/>
          </w:tcPr>
          <w:p w14:paraId="7E48A392"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(19)</w:t>
            </w:r>
          </w:p>
        </w:tc>
        <w:tc>
          <w:tcPr>
            <w:tcW w:w="773" w:type="pct"/>
            <w:tcBorders>
              <w:top w:val="nil"/>
              <w:left w:val="nil"/>
              <w:bottom w:val="nil"/>
              <w:right w:val="nil"/>
            </w:tcBorders>
            <w:shd w:val="clear" w:color="auto" w:fill="auto"/>
            <w:noWrap/>
            <w:vAlign w:val="bottom"/>
            <w:hideMark/>
          </w:tcPr>
          <w:p w14:paraId="43B80CC7"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4 576 623</w:t>
            </w:r>
          </w:p>
        </w:tc>
        <w:tc>
          <w:tcPr>
            <w:tcW w:w="800" w:type="pct"/>
            <w:tcBorders>
              <w:top w:val="nil"/>
              <w:left w:val="nil"/>
              <w:bottom w:val="nil"/>
              <w:right w:val="nil"/>
            </w:tcBorders>
            <w:shd w:val="clear" w:color="auto" w:fill="auto"/>
            <w:noWrap/>
            <w:vAlign w:val="bottom"/>
            <w:hideMark/>
          </w:tcPr>
          <w:p w14:paraId="06CF0823"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6 584 043</w:t>
            </w:r>
          </w:p>
        </w:tc>
      </w:tr>
      <w:tr w:rsidR="001E338F" w14:paraId="5E508A91" w14:textId="77777777" w:rsidTr="0061181E">
        <w:trPr>
          <w:trHeight w:val="240"/>
        </w:trPr>
        <w:tc>
          <w:tcPr>
            <w:tcW w:w="2838" w:type="pct"/>
            <w:tcBorders>
              <w:top w:val="nil"/>
              <w:left w:val="nil"/>
              <w:bottom w:val="nil"/>
              <w:right w:val="nil"/>
            </w:tcBorders>
            <w:shd w:val="clear" w:color="auto" w:fill="auto"/>
            <w:noWrap/>
            <w:vAlign w:val="bottom"/>
            <w:hideMark/>
          </w:tcPr>
          <w:p w14:paraId="42C10992" w14:textId="77777777" w:rsidR="001E338F" w:rsidRDefault="001E338F">
            <w:pPr>
              <w:rPr>
                <w:rFonts w:ascii="Calibri Light" w:hAnsi="Calibri Light" w:cs="Calibri Light"/>
                <w:sz w:val="18"/>
                <w:szCs w:val="18"/>
              </w:rPr>
            </w:pPr>
            <w:r>
              <w:rPr>
                <w:rFonts w:ascii="Calibri Light" w:hAnsi="Calibri Light"/>
                <w:sz w:val="18"/>
              </w:rPr>
              <w:t>Passifs liés à des avantages sociaux futurs</w:t>
            </w:r>
          </w:p>
        </w:tc>
        <w:tc>
          <w:tcPr>
            <w:tcW w:w="589" w:type="pct"/>
            <w:tcBorders>
              <w:top w:val="nil"/>
              <w:left w:val="nil"/>
              <w:bottom w:val="nil"/>
              <w:right w:val="nil"/>
            </w:tcBorders>
            <w:shd w:val="clear" w:color="auto" w:fill="auto"/>
            <w:noWrap/>
            <w:vAlign w:val="bottom"/>
            <w:hideMark/>
          </w:tcPr>
          <w:p w14:paraId="0298F445"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(20)</w:t>
            </w:r>
          </w:p>
        </w:tc>
        <w:tc>
          <w:tcPr>
            <w:tcW w:w="773" w:type="pct"/>
            <w:tcBorders>
              <w:top w:val="nil"/>
              <w:left w:val="nil"/>
              <w:bottom w:val="nil"/>
              <w:right w:val="nil"/>
            </w:tcBorders>
            <w:shd w:val="clear" w:color="auto" w:fill="auto"/>
            <w:noWrap/>
            <w:vAlign w:val="bottom"/>
            <w:hideMark/>
          </w:tcPr>
          <w:p w14:paraId="40DFA075"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777 176</w:t>
            </w:r>
          </w:p>
        </w:tc>
        <w:tc>
          <w:tcPr>
            <w:tcW w:w="800" w:type="pct"/>
            <w:tcBorders>
              <w:top w:val="nil"/>
              <w:left w:val="nil"/>
              <w:bottom w:val="nil"/>
              <w:right w:val="nil"/>
            </w:tcBorders>
            <w:shd w:val="clear" w:color="auto" w:fill="auto"/>
            <w:noWrap/>
            <w:vAlign w:val="bottom"/>
            <w:hideMark/>
          </w:tcPr>
          <w:p w14:paraId="5E1B747B"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692 147</w:t>
            </w:r>
          </w:p>
        </w:tc>
      </w:tr>
      <w:tr w:rsidR="001E338F" w14:paraId="6EC5A28A" w14:textId="77777777" w:rsidTr="0061181E">
        <w:trPr>
          <w:trHeight w:val="240"/>
        </w:trPr>
        <w:tc>
          <w:tcPr>
            <w:tcW w:w="2838" w:type="pct"/>
            <w:tcBorders>
              <w:top w:val="nil"/>
              <w:left w:val="nil"/>
              <w:bottom w:val="nil"/>
              <w:right w:val="nil"/>
            </w:tcBorders>
            <w:shd w:val="clear" w:color="auto" w:fill="auto"/>
            <w:noWrap/>
            <w:vAlign w:val="bottom"/>
            <w:hideMark/>
          </w:tcPr>
          <w:p w14:paraId="52E0CE7E" w14:textId="77777777" w:rsidR="001E338F" w:rsidRDefault="001E338F">
            <w:pPr>
              <w:rPr>
                <w:rFonts w:ascii="Calibri Light" w:hAnsi="Calibri Light" w:cs="Calibri Light"/>
                <w:sz w:val="18"/>
                <w:szCs w:val="18"/>
              </w:rPr>
            </w:pPr>
            <w:r>
              <w:rPr>
                <w:rFonts w:ascii="Calibri Light" w:hAnsi="Calibri Light"/>
                <w:sz w:val="18"/>
              </w:rPr>
              <w:t>Provisions pour risques et charges</w:t>
            </w:r>
          </w:p>
        </w:tc>
        <w:tc>
          <w:tcPr>
            <w:tcW w:w="589" w:type="pct"/>
            <w:tcBorders>
              <w:top w:val="nil"/>
              <w:left w:val="nil"/>
              <w:bottom w:val="nil"/>
              <w:right w:val="nil"/>
            </w:tcBorders>
            <w:shd w:val="clear" w:color="auto" w:fill="auto"/>
            <w:noWrap/>
            <w:vAlign w:val="bottom"/>
            <w:hideMark/>
          </w:tcPr>
          <w:p w14:paraId="155E8E3E"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(21)</w:t>
            </w:r>
          </w:p>
        </w:tc>
        <w:tc>
          <w:tcPr>
            <w:tcW w:w="773" w:type="pct"/>
            <w:tcBorders>
              <w:top w:val="nil"/>
              <w:left w:val="nil"/>
              <w:bottom w:val="nil"/>
              <w:right w:val="nil"/>
            </w:tcBorders>
            <w:shd w:val="clear" w:color="auto" w:fill="auto"/>
            <w:noWrap/>
            <w:vAlign w:val="bottom"/>
            <w:hideMark/>
          </w:tcPr>
          <w:p w14:paraId="6783AB86"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42 531</w:t>
            </w:r>
          </w:p>
        </w:tc>
        <w:tc>
          <w:tcPr>
            <w:tcW w:w="800" w:type="pct"/>
            <w:tcBorders>
              <w:top w:val="nil"/>
              <w:left w:val="nil"/>
              <w:bottom w:val="nil"/>
              <w:right w:val="nil"/>
            </w:tcBorders>
            <w:shd w:val="clear" w:color="auto" w:fill="auto"/>
            <w:noWrap/>
            <w:vAlign w:val="bottom"/>
            <w:hideMark/>
          </w:tcPr>
          <w:p w14:paraId="41582D10"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42 531</w:t>
            </w:r>
          </w:p>
        </w:tc>
      </w:tr>
      <w:tr w:rsidR="00B510BB" w14:paraId="3F99D210" w14:textId="77777777" w:rsidTr="003F166F">
        <w:trPr>
          <w:trHeight w:val="240"/>
        </w:trPr>
        <w:tc>
          <w:tcPr>
            <w:tcW w:w="2838" w:type="pct"/>
            <w:tcBorders>
              <w:top w:val="nil"/>
              <w:left w:val="nil"/>
              <w:bottom w:val="nil"/>
              <w:right w:val="nil"/>
            </w:tcBorders>
            <w:shd w:val="clear" w:color="auto" w:fill="auto"/>
            <w:noWrap/>
            <w:vAlign w:val="bottom"/>
            <w:hideMark/>
          </w:tcPr>
          <w:p w14:paraId="1E92DE18" w14:textId="77777777" w:rsidR="00B510BB" w:rsidRDefault="00B510BB" w:rsidP="00B510BB">
            <w:pPr>
              <w:rPr>
                <w:rFonts w:ascii="Calibri Light" w:hAnsi="Calibri Light" w:cs="Calibri Light"/>
                <w:sz w:val="18"/>
                <w:szCs w:val="18"/>
              </w:rPr>
            </w:pPr>
            <w:r>
              <w:rPr>
                <w:rFonts w:ascii="Calibri Light" w:hAnsi="Calibri Light"/>
                <w:sz w:val="18"/>
              </w:rPr>
              <w:t>Autre passif à long terme</w:t>
            </w:r>
          </w:p>
        </w:tc>
        <w:tc>
          <w:tcPr>
            <w:tcW w:w="589" w:type="pct"/>
            <w:tcBorders>
              <w:top w:val="nil"/>
              <w:left w:val="nil"/>
              <w:bottom w:val="nil"/>
              <w:right w:val="nil"/>
            </w:tcBorders>
            <w:shd w:val="clear" w:color="auto" w:fill="auto"/>
            <w:noWrap/>
            <w:vAlign w:val="bottom"/>
            <w:hideMark/>
          </w:tcPr>
          <w:p w14:paraId="035EF07A" w14:textId="77777777" w:rsidR="00B510BB" w:rsidRDefault="00B510BB" w:rsidP="00B510BB">
            <w:pPr>
              <w:jc w:val="center"/>
              <w:rPr>
                <w:rFonts w:ascii="Calibri Light" w:hAnsi="Calibri Light" w:cs="Calibri Light"/>
                <w:i/>
                <w:iCs/>
                <w:color w:val="000000"/>
                <w:sz w:val="16"/>
                <w:szCs w:val="16"/>
              </w:rPr>
            </w:pPr>
            <w:r>
              <w:rPr>
                <w:rFonts w:ascii="Calibri Light" w:hAnsi="Calibri Light"/>
                <w:i/>
                <w:color w:val="000000"/>
                <w:sz w:val="16"/>
              </w:rPr>
              <w:t>(22)</w:t>
            </w:r>
          </w:p>
        </w:tc>
        <w:tc>
          <w:tcPr>
            <w:tcW w:w="773" w:type="pct"/>
            <w:tcBorders>
              <w:top w:val="nil"/>
              <w:left w:val="nil"/>
              <w:bottom w:val="nil"/>
              <w:right w:val="nil"/>
            </w:tcBorders>
            <w:shd w:val="clear" w:color="auto" w:fill="auto"/>
            <w:noWrap/>
            <w:hideMark/>
          </w:tcPr>
          <w:p w14:paraId="6C3C1CCF" w14:textId="302B2D67" w:rsidR="00B510BB" w:rsidRDefault="00B510BB" w:rsidP="00B510BB">
            <w:pPr>
              <w:jc w:val="right"/>
              <w:rPr>
                <w:rFonts w:ascii="Calibri Light" w:hAnsi="Calibri Light" w:cs="Calibri Light"/>
                <w:color w:val="000000"/>
                <w:sz w:val="18"/>
                <w:szCs w:val="18"/>
              </w:rPr>
            </w:pPr>
            <w:r>
              <w:rPr>
                <w:rFonts w:ascii="Calibri Light" w:hAnsi="Calibri Light"/>
                <w:color w:val="000000"/>
                <w:sz w:val="18"/>
              </w:rPr>
              <w:t>75 000</w:t>
            </w:r>
          </w:p>
        </w:tc>
        <w:tc>
          <w:tcPr>
            <w:tcW w:w="800" w:type="pct"/>
            <w:tcBorders>
              <w:top w:val="nil"/>
              <w:left w:val="nil"/>
              <w:bottom w:val="nil"/>
              <w:right w:val="nil"/>
            </w:tcBorders>
            <w:shd w:val="clear" w:color="auto" w:fill="auto"/>
            <w:noWrap/>
            <w:hideMark/>
          </w:tcPr>
          <w:p w14:paraId="592A1CA5" w14:textId="68C63883" w:rsidR="00B510BB" w:rsidRDefault="00B510BB" w:rsidP="00B510BB">
            <w:pPr>
              <w:jc w:val="right"/>
              <w:rPr>
                <w:rFonts w:ascii="Calibri Light" w:hAnsi="Calibri Light" w:cs="Calibri Light"/>
                <w:color w:val="000000"/>
                <w:sz w:val="18"/>
                <w:szCs w:val="18"/>
              </w:rPr>
            </w:pPr>
            <w:r>
              <w:rPr>
                <w:rFonts w:ascii="Calibri Light" w:hAnsi="Calibri Light"/>
                <w:color w:val="000000"/>
                <w:sz w:val="18"/>
              </w:rPr>
              <w:t>58 000</w:t>
            </w:r>
          </w:p>
        </w:tc>
      </w:tr>
      <w:tr w:rsidR="00B510BB" w14:paraId="0A3A0BAB" w14:textId="77777777" w:rsidTr="003F166F">
        <w:trPr>
          <w:trHeight w:val="240"/>
        </w:trPr>
        <w:tc>
          <w:tcPr>
            <w:tcW w:w="2838" w:type="pct"/>
            <w:tcBorders>
              <w:top w:val="nil"/>
              <w:left w:val="nil"/>
              <w:bottom w:val="nil"/>
              <w:right w:val="nil"/>
            </w:tcBorders>
            <w:shd w:val="clear" w:color="auto" w:fill="auto"/>
            <w:noWrap/>
            <w:vAlign w:val="bottom"/>
            <w:hideMark/>
          </w:tcPr>
          <w:p w14:paraId="2EF97F45" w14:textId="3426B6C9" w:rsidR="00B510BB" w:rsidRDefault="00B510BB" w:rsidP="00B510BB">
            <w:pPr>
              <w:rPr>
                <w:rFonts w:ascii="Calibri Light" w:hAnsi="Calibri Light" w:cs="Calibri Light"/>
                <w:sz w:val="18"/>
                <w:szCs w:val="18"/>
              </w:rPr>
            </w:pPr>
            <w:r>
              <w:rPr>
                <w:rFonts w:ascii="Calibri Light" w:hAnsi="Calibri Light"/>
                <w:sz w:val="18"/>
              </w:rPr>
              <w:t>Impôts à payer à long terme</w:t>
            </w:r>
          </w:p>
        </w:tc>
        <w:tc>
          <w:tcPr>
            <w:tcW w:w="589" w:type="pct"/>
            <w:tcBorders>
              <w:top w:val="nil"/>
              <w:left w:val="nil"/>
              <w:bottom w:val="nil"/>
              <w:right w:val="nil"/>
            </w:tcBorders>
            <w:shd w:val="clear" w:color="auto" w:fill="auto"/>
            <w:noWrap/>
            <w:vAlign w:val="bottom"/>
            <w:hideMark/>
          </w:tcPr>
          <w:p w14:paraId="34944CB7" w14:textId="4C3EFC09" w:rsidR="00B510BB" w:rsidRDefault="00B510BB" w:rsidP="00B510BB">
            <w:pPr>
              <w:jc w:val="center"/>
              <w:rPr>
                <w:rFonts w:ascii="Calibri Light" w:hAnsi="Calibri Light" w:cs="Calibri Light"/>
                <w:i/>
                <w:iCs/>
                <w:color w:val="000000"/>
                <w:sz w:val="16"/>
                <w:szCs w:val="16"/>
              </w:rPr>
            </w:pPr>
            <w:r>
              <w:rPr>
                <w:rFonts w:ascii="Calibri Light" w:hAnsi="Calibri Light"/>
                <w:i/>
                <w:color w:val="000000"/>
                <w:sz w:val="16"/>
              </w:rPr>
              <w:t>(28)</w:t>
            </w:r>
          </w:p>
        </w:tc>
        <w:tc>
          <w:tcPr>
            <w:tcW w:w="773" w:type="pct"/>
            <w:tcBorders>
              <w:top w:val="nil"/>
              <w:left w:val="nil"/>
              <w:bottom w:val="nil"/>
              <w:right w:val="nil"/>
            </w:tcBorders>
            <w:shd w:val="clear" w:color="auto" w:fill="auto"/>
            <w:noWrap/>
            <w:hideMark/>
          </w:tcPr>
          <w:p w14:paraId="384FC95F" w14:textId="2757B5E5" w:rsidR="00B510BB" w:rsidRDefault="00B510BB" w:rsidP="00B510BB">
            <w:pPr>
              <w:jc w:val="right"/>
              <w:rPr>
                <w:rFonts w:ascii="Calibri Light" w:hAnsi="Calibri Light" w:cs="Calibri Light"/>
                <w:color w:val="000000"/>
                <w:sz w:val="18"/>
                <w:szCs w:val="18"/>
              </w:rPr>
            </w:pPr>
            <w:r>
              <w:rPr>
                <w:rFonts w:ascii="Calibri Light" w:hAnsi="Calibri Light"/>
                <w:color w:val="000000"/>
                <w:sz w:val="18"/>
              </w:rPr>
              <w:t>1 405 678</w:t>
            </w:r>
          </w:p>
        </w:tc>
        <w:tc>
          <w:tcPr>
            <w:tcW w:w="800" w:type="pct"/>
            <w:tcBorders>
              <w:top w:val="nil"/>
              <w:left w:val="nil"/>
              <w:bottom w:val="nil"/>
              <w:right w:val="nil"/>
            </w:tcBorders>
            <w:shd w:val="clear" w:color="auto" w:fill="auto"/>
            <w:noWrap/>
            <w:hideMark/>
          </w:tcPr>
          <w:p w14:paraId="67ED0086" w14:textId="6AE9D6C0" w:rsidR="00B510BB" w:rsidRDefault="00B510BB" w:rsidP="00B510BB">
            <w:pPr>
              <w:jc w:val="right"/>
              <w:rPr>
                <w:rFonts w:ascii="Calibri Light" w:hAnsi="Calibri Light" w:cs="Calibri Light"/>
                <w:color w:val="000000"/>
                <w:sz w:val="18"/>
                <w:szCs w:val="18"/>
              </w:rPr>
            </w:pPr>
            <w:r>
              <w:rPr>
                <w:rFonts w:ascii="Calibri Light" w:hAnsi="Calibri Light"/>
                <w:color w:val="000000"/>
                <w:sz w:val="18"/>
              </w:rPr>
              <w:t>1 604 489</w:t>
            </w:r>
          </w:p>
        </w:tc>
      </w:tr>
      <w:tr w:rsidR="001E338F" w14:paraId="237DF086" w14:textId="77777777" w:rsidTr="0061181E">
        <w:trPr>
          <w:trHeight w:val="240"/>
        </w:trPr>
        <w:tc>
          <w:tcPr>
            <w:tcW w:w="2838" w:type="pct"/>
            <w:tcBorders>
              <w:top w:val="nil"/>
              <w:left w:val="nil"/>
              <w:bottom w:val="nil"/>
              <w:right w:val="nil"/>
            </w:tcBorders>
            <w:shd w:val="clear" w:color="auto" w:fill="auto"/>
            <w:noWrap/>
            <w:vAlign w:val="bottom"/>
            <w:hideMark/>
          </w:tcPr>
          <w:p w14:paraId="6FDE63AE" w14:textId="77777777" w:rsidR="001E338F" w:rsidRDefault="001E338F">
            <w:pPr>
              <w:rPr>
                <w:rFonts w:ascii="Calibri Light" w:hAnsi="Calibri Light" w:cs="Calibri Light"/>
                <w:sz w:val="18"/>
                <w:szCs w:val="18"/>
              </w:rPr>
            </w:pPr>
            <w:r>
              <w:rPr>
                <w:rFonts w:ascii="Calibri Light" w:hAnsi="Calibri Light"/>
                <w:sz w:val="18"/>
              </w:rPr>
              <w:t>Impôts différés passif</w:t>
            </w:r>
          </w:p>
        </w:tc>
        <w:tc>
          <w:tcPr>
            <w:tcW w:w="589" w:type="pct"/>
            <w:tcBorders>
              <w:top w:val="nil"/>
              <w:left w:val="nil"/>
              <w:bottom w:val="nil"/>
              <w:right w:val="nil"/>
            </w:tcBorders>
            <w:shd w:val="clear" w:color="auto" w:fill="auto"/>
            <w:noWrap/>
            <w:vAlign w:val="bottom"/>
            <w:hideMark/>
          </w:tcPr>
          <w:p w14:paraId="41A2EBC5"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(23)</w:t>
            </w:r>
          </w:p>
        </w:tc>
        <w:tc>
          <w:tcPr>
            <w:tcW w:w="773" w:type="pct"/>
            <w:tcBorders>
              <w:top w:val="nil"/>
              <w:left w:val="nil"/>
              <w:bottom w:val="single" w:sz="4" w:space="0" w:color="auto"/>
              <w:right w:val="nil"/>
            </w:tcBorders>
            <w:shd w:val="clear" w:color="auto" w:fill="auto"/>
            <w:noWrap/>
            <w:vAlign w:val="bottom"/>
            <w:hideMark/>
          </w:tcPr>
          <w:p w14:paraId="223BAB3A"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52 257</w:t>
            </w:r>
          </w:p>
        </w:tc>
        <w:tc>
          <w:tcPr>
            <w:tcW w:w="800" w:type="pct"/>
            <w:tcBorders>
              <w:top w:val="nil"/>
              <w:left w:val="nil"/>
              <w:bottom w:val="single" w:sz="4" w:space="0" w:color="auto"/>
              <w:right w:val="nil"/>
            </w:tcBorders>
            <w:shd w:val="clear" w:color="auto" w:fill="auto"/>
            <w:noWrap/>
            <w:vAlign w:val="bottom"/>
            <w:hideMark/>
          </w:tcPr>
          <w:p w14:paraId="66248E8F"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52 257</w:t>
            </w:r>
          </w:p>
        </w:tc>
      </w:tr>
      <w:tr w:rsidR="001E338F" w14:paraId="64EBF79F" w14:textId="77777777" w:rsidTr="0061181E">
        <w:trPr>
          <w:trHeight w:val="240"/>
        </w:trPr>
        <w:tc>
          <w:tcPr>
            <w:tcW w:w="2838" w:type="pct"/>
            <w:tcBorders>
              <w:top w:val="nil"/>
              <w:left w:val="nil"/>
              <w:bottom w:val="nil"/>
              <w:right w:val="nil"/>
            </w:tcBorders>
            <w:shd w:val="clear" w:color="auto" w:fill="auto"/>
            <w:noWrap/>
            <w:vAlign w:val="bottom"/>
            <w:hideMark/>
          </w:tcPr>
          <w:p w14:paraId="3180FFB9" w14:textId="77777777" w:rsidR="001E338F" w:rsidRDefault="001E338F">
            <w:pPr>
              <w:rPr>
                <w:rFonts w:ascii="Calibri Light" w:hAnsi="Calibri Light" w:cs="Calibri Light"/>
                <w:b/>
                <w:bCs/>
                <w:color w:val="000000"/>
                <w:sz w:val="18"/>
                <w:szCs w:val="18"/>
              </w:rPr>
            </w:pPr>
            <w:r>
              <w:rPr>
                <w:rFonts w:ascii="Calibri Light" w:hAnsi="Calibri Light"/>
                <w:b/>
                <w:color w:val="000000"/>
                <w:sz w:val="18"/>
              </w:rPr>
              <w:t>TOTAL PASSIFS À LONG TERME</w:t>
            </w:r>
          </w:p>
        </w:tc>
        <w:tc>
          <w:tcPr>
            <w:tcW w:w="589" w:type="pct"/>
            <w:tcBorders>
              <w:top w:val="nil"/>
              <w:left w:val="nil"/>
              <w:bottom w:val="nil"/>
              <w:right w:val="nil"/>
            </w:tcBorders>
            <w:shd w:val="clear" w:color="auto" w:fill="auto"/>
            <w:noWrap/>
            <w:vAlign w:val="bottom"/>
            <w:hideMark/>
          </w:tcPr>
          <w:p w14:paraId="3CDF3B24" w14:textId="77777777" w:rsidR="001E338F" w:rsidRDefault="001E338F">
            <w:pPr>
              <w:rPr>
                <w:rFonts w:ascii="Calibri Light" w:hAnsi="Calibri Light" w:cs="Calibri Light"/>
                <w:b/>
                <w:bCs/>
                <w:color w:val="000000"/>
                <w:sz w:val="18"/>
                <w:szCs w:val="18"/>
              </w:rPr>
            </w:pPr>
          </w:p>
        </w:tc>
        <w:tc>
          <w:tcPr>
            <w:tcW w:w="773" w:type="pct"/>
            <w:tcBorders>
              <w:top w:val="nil"/>
              <w:left w:val="nil"/>
              <w:bottom w:val="nil"/>
              <w:right w:val="nil"/>
            </w:tcBorders>
            <w:shd w:val="clear" w:color="auto" w:fill="auto"/>
            <w:noWrap/>
            <w:vAlign w:val="bottom"/>
            <w:hideMark/>
          </w:tcPr>
          <w:p w14:paraId="5AECB33C" w14:textId="77777777" w:rsidR="001E338F" w:rsidRDefault="001E338F">
            <w:pPr>
              <w:jc w:val="right"/>
              <w:rPr>
                <w:rFonts w:ascii="Calibri Light" w:hAnsi="Calibri Light" w:cs="Calibri Light"/>
                <w:b/>
                <w:bCs/>
                <w:color w:val="000000"/>
                <w:sz w:val="18"/>
                <w:szCs w:val="18"/>
              </w:rPr>
            </w:pPr>
            <w:r>
              <w:rPr>
                <w:rFonts w:ascii="Calibri Light" w:hAnsi="Calibri Light"/>
                <w:b/>
                <w:color w:val="000000"/>
                <w:sz w:val="18"/>
              </w:rPr>
              <w:t>11 126 976</w:t>
            </w:r>
          </w:p>
        </w:tc>
        <w:tc>
          <w:tcPr>
            <w:tcW w:w="800" w:type="pct"/>
            <w:tcBorders>
              <w:top w:val="nil"/>
              <w:left w:val="nil"/>
              <w:bottom w:val="nil"/>
              <w:right w:val="nil"/>
            </w:tcBorders>
            <w:shd w:val="clear" w:color="auto" w:fill="auto"/>
            <w:noWrap/>
            <w:vAlign w:val="bottom"/>
            <w:hideMark/>
          </w:tcPr>
          <w:p w14:paraId="45A4F8DC" w14:textId="77777777" w:rsidR="001E338F" w:rsidRDefault="001E338F">
            <w:pPr>
              <w:jc w:val="right"/>
              <w:rPr>
                <w:rFonts w:ascii="Calibri Light" w:hAnsi="Calibri Light" w:cs="Calibri Light"/>
                <w:b/>
                <w:bCs/>
                <w:color w:val="000000"/>
                <w:sz w:val="18"/>
                <w:szCs w:val="18"/>
              </w:rPr>
            </w:pPr>
            <w:r>
              <w:rPr>
                <w:rFonts w:ascii="Calibri Light" w:hAnsi="Calibri Light"/>
                <w:b/>
                <w:color w:val="000000"/>
                <w:sz w:val="18"/>
              </w:rPr>
              <w:t>13 149 325</w:t>
            </w:r>
          </w:p>
        </w:tc>
      </w:tr>
      <w:tr w:rsidR="001E338F" w14:paraId="42DEEC39" w14:textId="77777777" w:rsidTr="0061181E">
        <w:trPr>
          <w:trHeight w:val="240"/>
        </w:trPr>
        <w:tc>
          <w:tcPr>
            <w:tcW w:w="2838" w:type="pct"/>
            <w:tcBorders>
              <w:top w:val="nil"/>
              <w:left w:val="nil"/>
              <w:bottom w:val="nil"/>
              <w:right w:val="nil"/>
            </w:tcBorders>
            <w:shd w:val="clear" w:color="auto" w:fill="auto"/>
            <w:noWrap/>
            <w:vAlign w:val="bottom"/>
            <w:hideMark/>
          </w:tcPr>
          <w:p w14:paraId="4B877796" w14:textId="77777777" w:rsidR="001E338F" w:rsidRDefault="001E338F">
            <w:pPr>
              <w:jc w:val="right"/>
              <w:rPr>
                <w:rFonts w:ascii="Calibri Light" w:hAnsi="Calibri Light" w:cs="Calibri Light"/>
                <w:b/>
                <w:bCs/>
                <w:color w:val="000000"/>
                <w:sz w:val="18"/>
                <w:szCs w:val="18"/>
              </w:rPr>
            </w:pPr>
          </w:p>
        </w:tc>
        <w:tc>
          <w:tcPr>
            <w:tcW w:w="589" w:type="pct"/>
            <w:tcBorders>
              <w:top w:val="nil"/>
              <w:left w:val="nil"/>
              <w:bottom w:val="nil"/>
              <w:right w:val="nil"/>
            </w:tcBorders>
            <w:shd w:val="clear" w:color="auto" w:fill="auto"/>
            <w:noWrap/>
            <w:vAlign w:val="bottom"/>
            <w:hideMark/>
          </w:tcPr>
          <w:p w14:paraId="270393C1" w14:textId="77777777" w:rsidR="001E338F" w:rsidRDefault="001E338F">
            <w:pPr>
              <w:rPr>
                <w:sz w:val="20"/>
                <w:szCs w:val="20"/>
              </w:rPr>
            </w:pPr>
          </w:p>
        </w:tc>
        <w:tc>
          <w:tcPr>
            <w:tcW w:w="773" w:type="pct"/>
            <w:tcBorders>
              <w:top w:val="nil"/>
              <w:left w:val="nil"/>
              <w:bottom w:val="nil"/>
              <w:right w:val="nil"/>
            </w:tcBorders>
            <w:shd w:val="clear" w:color="auto" w:fill="auto"/>
            <w:noWrap/>
            <w:vAlign w:val="bottom"/>
            <w:hideMark/>
          </w:tcPr>
          <w:p w14:paraId="4F4819EB" w14:textId="77777777" w:rsidR="001E338F" w:rsidRDefault="001E338F">
            <w:pPr>
              <w:jc w:val="center"/>
              <w:rPr>
                <w:sz w:val="20"/>
                <w:szCs w:val="20"/>
              </w:rPr>
            </w:pPr>
          </w:p>
        </w:tc>
        <w:tc>
          <w:tcPr>
            <w:tcW w:w="800" w:type="pct"/>
            <w:tcBorders>
              <w:top w:val="nil"/>
              <w:left w:val="nil"/>
              <w:bottom w:val="nil"/>
              <w:right w:val="nil"/>
            </w:tcBorders>
            <w:shd w:val="clear" w:color="auto" w:fill="auto"/>
            <w:noWrap/>
            <w:vAlign w:val="bottom"/>
            <w:hideMark/>
          </w:tcPr>
          <w:p w14:paraId="1C173F2A" w14:textId="77777777" w:rsidR="001E338F" w:rsidRDefault="001E338F">
            <w:pPr>
              <w:rPr>
                <w:sz w:val="20"/>
                <w:szCs w:val="20"/>
              </w:rPr>
            </w:pPr>
          </w:p>
        </w:tc>
      </w:tr>
      <w:tr w:rsidR="001E338F" w14:paraId="237400D9" w14:textId="77777777" w:rsidTr="0061181E">
        <w:trPr>
          <w:trHeight w:val="240"/>
        </w:trPr>
        <w:tc>
          <w:tcPr>
            <w:tcW w:w="2838" w:type="pct"/>
            <w:tcBorders>
              <w:top w:val="nil"/>
              <w:left w:val="nil"/>
              <w:bottom w:val="nil"/>
              <w:right w:val="nil"/>
            </w:tcBorders>
            <w:shd w:val="clear" w:color="auto" w:fill="auto"/>
            <w:noWrap/>
            <w:vAlign w:val="bottom"/>
            <w:hideMark/>
          </w:tcPr>
          <w:p w14:paraId="7D1928DC" w14:textId="77777777" w:rsidR="001E338F" w:rsidRDefault="001E338F">
            <w:pPr>
              <w:rPr>
                <w:rFonts w:ascii="Calibri Light" w:hAnsi="Calibri Light" w:cs="Calibri Light"/>
                <w:b/>
                <w:bCs/>
                <w:sz w:val="18"/>
                <w:szCs w:val="18"/>
              </w:rPr>
            </w:pPr>
            <w:r>
              <w:rPr>
                <w:rFonts w:ascii="Calibri Light" w:hAnsi="Calibri Light"/>
                <w:b/>
                <w:sz w:val="18"/>
              </w:rPr>
              <w:t>Passif à court terme</w:t>
            </w:r>
          </w:p>
        </w:tc>
        <w:tc>
          <w:tcPr>
            <w:tcW w:w="589" w:type="pct"/>
            <w:tcBorders>
              <w:top w:val="nil"/>
              <w:left w:val="nil"/>
              <w:bottom w:val="nil"/>
              <w:right w:val="nil"/>
            </w:tcBorders>
            <w:shd w:val="clear" w:color="auto" w:fill="auto"/>
            <w:noWrap/>
            <w:vAlign w:val="bottom"/>
            <w:hideMark/>
          </w:tcPr>
          <w:p w14:paraId="49417E2D" w14:textId="77777777" w:rsidR="001E338F" w:rsidRDefault="001E338F">
            <w:pPr>
              <w:rPr>
                <w:rFonts w:ascii="Calibri Light" w:hAnsi="Calibri Light" w:cs="Calibri Light"/>
                <w:b/>
                <w:bCs/>
                <w:sz w:val="18"/>
                <w:szCs w:val="18"/>
              </w:rPr>
            </w:pPr>
          </w:p>
        </w:tc>
        <w:tc>
          <w:tcPr>
            <w:tcW w:w="773" w:type="pct"/>
            <w:tcBorders>
              <w:top w:val="nil"/>
              <w:left w:val="nil"/>
              <w:bottom w:val="nil"/>
              <w:right w:val="nil"/>
            </w:tcBorders>
            <w:shd w:val="clear" w:color="auto" w:fill="auto"/>
            <w:noWrap/>
            <w:vAlign w:val="bottom"/>
            <w:hideMark/>
          </w:tcPr>
          <w:p w14:paraId="709260BB" w14:textId="77777777" w:rsidR="001E338F" w:rsidRDefault="001E338F">
            <w:pPr>
              <w:jc w:val="center"/>
              <w:rPr>
                <w:sz w:val="20"/>
                <w:szCs w:val="20"/>
              </w:rPr>
            </w:pPr>
          </w:p>
        </w:tc>
        <w:tc>
          <w:tcPr>
            <w:tcW w:w="800" w:type="pct"/>
            <w:tcBorders>
              <w:top w:val="nil"/>
              <w:left w:val="nil"/>
              <w:bottom w:val="nil"/>
              <w:right w:val="nil"/>
            </w:tcBorders>
            <w:shd w:val="clear" w:color="auto" w:fill="auto"/>
            <w:noWrap/>
            <w:vAlign w:val="bottom"/>
            <w:hideMark/>
          </w:tcPr>
          <w:p w14:paraId="3A95E4B7" w14:textId="77777777" w:rsidR="001E338F" w:rsidRDefault="001E338F">
            <w:pPr>
              <w:rPr>
                <w:sz w:val="20"/>
                <w:szCs w:val="20"/>
              </w:rPr>
            </w:pPr>
          </w:p>
        </w:tc>
      </w:tr>
      <w:tr w:rsidR="001E338F" w14:paraId="0117AEBC" w14:textId="77777777" w:rsidTr="0061181E">
        <w:trPr>
          <w:trHeight w:val="240"/>
        </w:trPr>
        <w:tc>
          <w:tcPr>
            <w:tcW w:w="2838" w:type="pct"/>
            <w:tcBorders>
              <w:top w:val="nil"/>
              <w:left w:val="nil"/>
              <w:bottom w:val="nil"/>
              <w:right w:val="nil"/>
            </w:tcBorders>
            <w:shd w:val="clear" w:color="auto" w:fill="auto"/>
            <w:noWrap/>
            <w:vAlign w:val="bottom"/>
            <w:hideMark/>
          </w:tcPr>
          <w:p w14:paraId="3451396F" w14:textId="77777777" w:rsidR="001E338F" w:rsidRDefault="001E338F">
            <w:pPr>
              <w:rPr>
                <w:rFonts w:ascii="Calibri Light" w:hAnsi="Calibri Light" w:cs="Calibri Light"/>
                <w:color w:val="000000"/>
                <w:sz w:val="18"/>
                <w:szCs w:val="18"/>
              </w:rPr>
            </w:pPr>
            <w:r>
              <w:rPr>
                <w:rFonts w:ascii="Calibri Light" w:hAnsi="Calibri Light"/>
                <w:color w:val="000000"/>
                <w:sz w:val="18"/>
              </w:rPr>
              <w:t>Dettes envers les banques et part à court terme des prêts à long terme</w:t>
            </w:r>
          </w:p>
        </w:tc>
        <w:tc>
          <w:tcPr>
            <w:tcW w:w="589" w:type="pct"/>
            <w:tcBorders>
              <w:top w:val="nil"/>
              <w:left w:val="nil"/>
              <w:bottom w:val="nil"/>
              <w:right w:val="nil"/>
            </w:tcBorders>
            <w:shd w:val="clear" w:color="auto" w:fill="auto"/>
            <w:noWrap/>
            <w:vAlign w:val="bottom"/>
            <w:hideMark/>
          </w:tcPr>
          <w:p w14:paraId="2B151E6F"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(24)</w:t>
            </w:r>
          </w:p>
        </w:tc>
        <w:tc>
          <w:tcPr>
            <w:tcW w:w="773" w:type="pct"/>
            <w:tcBorders>
              <w:top w:val="nil"/>
              <w:left w:val="nil"/>
              <w:bottom w:val="nil"/>
              <w:right w:val="nil"/>
            </w:tcBorders>
            <w:shd w:val="clear" w:color="auto" w:fill="auto"/>
            <w:noWrap/>
            <w:vAlign w:val="bottom"/>
            <w:hideMark/>
          </w:tcPr>
          <w:p w14:paraId="643D4A42"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2 461 030</w:t>
            </w:r>
          </w:p>
        </w:tc>
        <w:tc>
          <w:tcPr>
            <w:tcW w:w="800" w:type="pct"/>
            <w:tcBorders>
              <w:top w:val="nil"/>
              <w:left w:val="nil"/>
              <w:bottom w:val="nil"/>
              <w:right w:val="nil"/>
            </w:tcBorders>
            <w:shd w:val="clear" w:color="auto" w:fill="auto"/>
            <w:noWrap/>
            <w:vAlign w:val="bottom"/>
            <w:hideMark/>
          </w:tcPr>
          <w:p w14:paraId="1E56C030"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1 477 061</w:t>
            </w:r>
          </w:p>
        </w:tc>
      </w:tr>
      <w:tr w:rsidR="001E338F" w14:paraId="630F43F7" w14:textId="77777777" w:rsidTr="0061181E">
        <w:trPr>
          <w:trHeight w:val="240"/>
        </w:trPr>
        <w:tc>
          <w:tcPr>
            <w:tcW w:w="2838" w:type="pct"/>
            <w:tcBorders>
              <w:top w:val="nil"/>
              <w:left w:val="nil"/>
              <w:bottom w:val="nil"/>
              <w:right w:val="nil"/>
            </w:tcBorders>
            <w:shd w:val="clear" w:color="auto" w:fill="auto"/>
            <w:noWrap/>
            <w:vAlign w:val="bottom"/>
            <w:hideMark/>
          </w:tcPr>
          <w:p w14:paraId="049705BE" w14:textId="77777777" w:rsidR="001E338F" w:rsidRDefault="001E338F">
            <w:pPr>
              <w:rPr>
                <w:rFonts w:ascii="Calibri Light" w:hAnsi="Calibri Light" w:cs="Calibri Light"/>
                <w:color w:val="000000"/>
                <w:sz w:val="18"/>
                <w:szCs w:val="18"/>
              </w:rPr>
            </w:pPr>
            <w:r>
              <w:rPr>
                <w:rFonts w:ascii="Calibri Light" w:hAnsi="Calibri Light"/>
                <w:color w:val="000000"/>
                <w:sz w:val="18"/>
              </w:rPr>
              <w:t>Autres passifs financiers exigibles</w:t>
            </w:r>
          </w:p>
        </w:tc>
        <w:tc>
          <w:tcPr>
            <w:tcW w:w="589" w:type="pct"/>
            <w:tcBorders>
              <w:top w:val="nil"/>
              <w:left w:val="nil"/>
              <w:bottom w:val="nil"/>
              <w:right w:val="nil"/>
            </w:tcBorders>
            <w:shd w:val="clear" w:color="auto" w:fill="auto"/>
            <w:noWrap/>
            <w:vAlign w:val="bottom"/>
            <w:hideMark/>
          </w:tcPr>
          <w:p w14:paraId="30C3FA48"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(25)</w:t>
            </w:r>
          </w:p>
        </w:tc>
        <w:tc>
          <w:tcPr>
            <w:tcW w:w="773" w:type="pct"/>
            <w:tcBorders>
              <w:top w:val="nil"/>
              <w:left w:val="nil"/>
              <w:bottom w:val="nil"/>
              <w:right w:val="nil"/>
            </w:tcBorders>
            <w:shd w:val="clear" w:color="auto" w:fill="auto"/>
            <w:noWrap/>
            <w:vAlign w:val="bottom"/>
            <w:hideMark/>
          </w:tcPr>
          <w:p w14:paraId="69655A3A"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2 857 966</w:t>
            </w:r>
          </w:p>
        </w:tc>
        <w:tc>
          <w:tcPr>
            <w:tcW w:w="800" w:type="pct"/>
            <w:tcBorders>
              <w:top w:val="nil"/>
              <w:left w:val="nil"/>
              <w:bottom w:val="nil"/>
              <w:right w:val="nil"/>
            </w:tcBorders>
            <w:shd w:val="clear" w:color="auto" w:fill="auto"/>
            <w:noWrap/>
            <w:vAlign w:val="bottom"/>
            <w:hideMark/>
          </w:tcPr>
          <w:p w14:paraId="70435B37"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1 483 823</w:t>
            </w:r>
          </w:p>
        </w:tc>
      </w:tr>
      <w:tr w:rsidR="001E338F" w14:paraId="6B07A7F8" w14:textId="77777777" w:rsidTr="0061181E">
        <w:trPr>
          <w:trHeight w:val="240"/>
        </w:trPr>
        <w:tc>
          <w:tcPr>
            <w:tcW w:w="2838" w:type="pct"/>
            <w:tcBorders>
              <w:top w:val="nil"/>
              <w:left w:val="nil"/>
              <w:bottom w:val="nil"/>
              <w:right w:val="nil"/>
            </w:tcBorders>
            <w:shd w:val="clear" w:color="auto" w:fill="auto"/>
            <w:noWrap/>
            <w:vAlign w:val="bottom"/>
            <w:hideMark/>
          </w:tcPr>
          <w:p w14:paraId="5BAF45A7" w14:textId="77777777" w:rsidR="001E338F" w:rsidRDefault="001E338F">
            <w:pPr>
              <w:rPr>
                <w:rFonts w:ascii="Calibri Light" w:hAnsi="Calibri Light" w:cs="Calibri Light"/>
                <w:color w:val="000000"/>
                <w:sz w:val="18"/>
                <w:szCs w:val="18"/>
              </w:rPr>
            </w:pPr>
            <w:r>
              <w:rPr>
                <w:rFonts w:ascii="Calibri Light" w:hAnsi="Calibri Light"/>
                <w:color w:val="000000"/>
                <w:sz w:val="18"/>
              </w:rPr>
              <w:t>Dettes commerciales</w:t>
            </w:r>
          </w:p>
        </w:tc>
        <w:tc>
          <w:tcPr>
            <w:tcW w:w="589" w:type="pct"/>
            <w:tcBorders>
              <w:top w:val="nil"/>
              <w:left w:val="nil"/>
              <w:bottom w:val="nil"/>
              <w:right w:val="nil"/>
            </w:tcBorders>
            <w:shd w:val="clear" w:color="auto" w:fill="auto"/>
            <w:noWrap/>
            <w:vAlign w:val="bottom"/>
            <w:hideMark/>
          </w:tcPr>
          <w:p w14:paraId="6E0FF939"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(26)</w:t>
            </w:r>
          </w:p>
        </w:tc>
        <w:tc>
          <w:tcPr>
            <w:tcW w:w="773" w:type="pct"/>
            <w:tcBorders>
              <w:top w:val="nil"/>
              <w:left w:val="nil"/>
              <w:bottom w:val="nil"/>
              <w:right w:val="nil"/>
            </w:tcBorders>
            <w:shd w:val="clear" w:color="auto" w:fill="auto"/>
            <w:noWrap/>
            <w:vAlign w:val="bottom"/>
            <w:hideMark/>
          </w:tcPr>
          <w:p w14:paraId="75D8EC93"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4 148 683</w:t>
            </w:r>
          </w:p>
        </w:tc>
        <w:tc>
          <w:tcPr>
            <w:tcW w:w="800" w:type="pct"/>
            <w:tcBorders>
              <w:top w:val="nil"/>
              <w:left w:val="nil"/>
              <w:bottom w:val="nil"/>
              <w:right w:val="nil"/>
            </w:tcBorders>
            <w:shd w:val="clear" w:color="auto" w:fill="auto"/>
            <w:noWrap/>
            <w:vAlign w:val="bottom"/>
            <w:hideMark/>
          </w:tcPr>
          <w:p w14:paraId="1DF8C0C3"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6 591 368</w:t>
            </w:r>
          </w:p>
        </w:tc>
      </w:tr>
      <w:tr w:rsidR="001E338F" w14:paraId="5EE4CF7E" w14:textId="77777777" w:rsidTr="0061181E">
        <w:trPr>
          <w:trHeight w:val="240"/>
        </w:trPr>
        <w:tc>
          <w:tcPr>
            <w:tcW w:w="2838" w:type="pct"/>
            <w:tcBorders>
              <w:top w:val="nil"/>
              <w:left w:val="nil"/>
              <w:bottom w:val="nil"/>
              <w:right w:val="nil"/>
            </w:tcBorders>
            <w:shd w:val="clear" w:color="auto" w:fill="auto"/>
            <w:noWrap/>
            <w:vAlign w:val="bottom"/>
            <w:hideMark/>
          </w:tcPr>
          <w:p w14:paraId="1FC3B89A" w14:textId="77777777" w:rsidR="001E338F" w:rsidRDefault="001E338F">
            <w:pPr>
              <w:rPr>
                <w:rFonts w:ascii="Calibri Light" w:hAnsi="Calibri Light" w:cs="Calibri Light"/>
                <w:color w:val="000000"/>
                <w:sz w:val="18"/>
                <w:szCs w:val="18"/>
              </w:rPr>
            </w:pPr>
            <w:r>
              <w:rPr>
                <w:rFonts w:ascii="Calibri Light" w:hAnsi="Calibri Light"/>
                <w:color w:val="000000"/>
                <w:sz w:val="18"/>
              </w:rPr>
              <w:t>Dettes pour les retours</w:t>
            </w:r>
          </w:p>
        </w:tc>
        <w:tc>
          <w:tcPr>
            <w:tcW w:w="589" w:type="pct"/>
            <w:tcBorders>
              <w:top w:val="nil"/>
              <w:left w:val="nil"/>
              <w:bottom w:val="nil"/>
              <w:right w:val="nil"/>
            </w:tcBorders>
            <w:shd w:val="clear" w:color="auto" w:fill="auto"/>
            <w:noWrap/>
            <w:vAlign w:val="bottom"/>
            <w:hideMark/>
          </w:tcPr>
          <w:p w14:paraId="328DA7D0"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(27)</w:t>
            </w:r>
          </w:p>
        </w:tc>
        <w:tc>
          <w:tcPr>
            <w:tcW w:w="773" w:type="pct"/>
            <w:tcBorders>
              <w:top w:val="nil"/>
              <w:left w:val="nil"/>
              <w:bottom w:val="nil"/>
              <w:right w:val="nil"/>
            </w:tcBorders>
            <w:shd w:val="clear" w:color="auto" w:fill="auto"/>
            <w:noWrap/>
            <w:vAlign w:val="bottom"/>
            <w:hideMark/>
          </w:tcPr>
          <w:p w14:paraId="7F6BB56B"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26 143</w:t>
            </w:r>
          </w:p>
        </w:tc>
        <w:tc>
          <w:tcPr>
            <w:tcW w:w="800" w:type="pct"/>
            <w:tcBorders>
              <w:top w:val="nil"/>
              <w:left w:val="nil"/>
              <w:bottom w:val="nil"/>
              <w:right w:val="nil"/>
            </w:tcBorders>
            <w:shd w:val="clear" w:color="auto" w:fill="auto"/>
            <w:noWrap/>
            <w:vAlign w:val="bottom"/>
            <w:hideMark/>
          </w:tcPr>
          <w:p w14:paraId="621BC86C"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68 246</w:t>
            </w:r>
          </w:p>
        </w:tc>
      </w:tr>
      <w:tr w:rsidR="001E338F" w14:paraId="08A26008" w14:textId="77777777" w:rsidTr="0061181E">
        <w:trPr>
          <w:trHeight w:val="240"/>
        </w:trPr>
        <w:tc>
          <w:tcPr>
            <w:tcW w:w="2838" w:type="pct"/>
            <w:tcBorders>
              <w:top w:val="nil"/>
              <w:left w:val="nil"/>
              <w:bottom w:val="nil"/>
              <w:right w:val="nil"/>
            </w:tcBorders>
            <w:shd w:val="clear" w:color="auto" w:fill="auto"/>
            <w:noWrap/>
            <w:vAlign w:val="bottom"/>
            <w:hideMark/>
          </w:tcPr>
          <w:p w14:paraId="15D261AF" w14:textId="77777777" w:rsidR="001E338F" w:rsidRDefault="001E338F">
            <w:pPr>
              <w:rPr>
                <w:rFonts w:ascii="Calibri Light" w:hAnsi="Calibri Light" w:cs="Calibri Light"/>
                <w:color w:val="000000"/>
                <w:sz w:val="18"/>
                <w:szCs w:val="18"/>
              </w:rPr>
            </w:pPr>
            <w:r>
              <w:rPr>
                <w:rFonts w:ascii="Calibri Light" w:hAnsi="Calibri Light"/>
                <w:color w:val="000000"/>
                <w:sz w:val="18"/>
              </w:rPr>
              <w:t>Impôts à payer</w:t>
            </w:r>
          </w:p>
        </w:tc>
        <w:tc>
          <w:tcPr>
            <w:tcW w:w="589" w:type="pct"/>
            <w:tcBorders>
              <w:top w:val="nil"/>
              <w:left w:val="nil"/>
              <w:bottom w:val="nil"/>
              <w:right w:val="nil"/>
            </w:tcBorders>
            <w:shd w:val="clear" w:color="auto" w:fill="auto"/>
            <w:noWrap/>
            <w:vAlign w:val="bottom"/>
            <w:hideMark/>
          </w:tcPr>
          <w:p w14:paraId="42FA39A3"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(28)</w:t>
            </w:r>
          </w:p>
        </w:tc>
        <w:tc>
          <w:tcPr>
            <w:tcW w:w="773" w:type="pct"/>
            <w:tcBorders>
              <w:top w:val="nil"/>
              <w:left w:val="nil"/>
              <w:bottom w:val="nil"/>
              <w:right w:val="nil"/>
            </w:tcBorders>
            <w:shd w:val="clear" w:color="auto" w:fill="auto"/>
            <w:noWrap/>
            <w:vAlign w:val="bottom"/>
            <w:hideMark/>
          </w:tcPr>
          <w:p w14:paraId="1481EB7F"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4 168 909</w:t>
            </w:r>
          </w:p>
        </w:tc>
        <w:tc>
          <w:tcPr>
            <w:tcW w:w="800" w:type="pct"/>
            <w:tcBorders>
              <w:top w:val="nil"/>
              <w:left w:val="nil"/>
              <w:bottom w:val="nil"/>
              <w:right w:val="nil"/>
            </w:tcBorders>
            <w:shd w:val="clear" w:color="auto" w:fill="auto"/>
            <w:noWrap/>
            <w:vAlign w:val="bottom"/>
            <w:hideMark/>
          </w:tcPr>
          <w:p w14:paraId="57343356"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3 031 106</w:t>
            </w:r>
          </w:p>
        </w:tc>
      </w:tr>
      <w:tr w:rsidR="001E338F" w14:paraId="1DD9E48D" w14:textId="77777777" w:rsidTr="0061181E">
        <w:trPr>
          <w:trHeight w:val="240"/>
        </w:trPr>
        <w:tc>
          <w:tcPr>
            <w:tcW w:w="2838" w:type="pct"/>
            <w:tcBorders>
              <w:top w:val="nil"/>
              <w:left w:val="nil"/>
              <w:bottom w:val="nil"/>
              <w:right w:val="nil"/>
            </w:tcBorders>
            <w:shd w:val="clear" w:color="auto" w:fill="auto"/>
            <w:noWrap/>
            <w:vAlign w:val="bottom"/>
            <w:hideMark/>
          </w:tcPr>
          <w:p w14:paraId="584ADB10" w14:textId="77777777" w:rsidR="001E338F" w:rsidRDefault="001E338F">
            <w:pPr>
              <w:rPr>
                <w:rFonts w:ascii="Calibri Light" w:hAnsi="Calibri Light" w:cs="Calibri Light"/>
                <w:color w:val="000000"/>
                <w:sz w:val="18"/>
                <w:szCs w:val="18"/>
              </w:rPr>
            </w:pPr>
            <w:r>
              <w:rPr>
                <w:rFonts w:ascii="Calibri Light" w:hAnsi="Calibri Light"/>
                <w:color w:val="000000"/>
                <w:sz w:val="18"/>
              </w:rPr>
              <w:t>Autres dettes et passifs à court terme</w:t>
            </w:r>
          </w:p>
        </w:tc>
        <w:tc>
          <w:tcPr>
            <w:tcW w:w="589" w:type="pct"/>
            <w:tcBorders>
              <w:top w:val="nil"/>
              <w:left w:val="nil"/>
              <w:bottom w:val="nil"/>
              <w:right w:val="nil"/>
            </w:tcBorders>
            <w:shd w:val="clear" w:color="auto" w:fill="auto"/>
            <w:noWrap/>
            <w:vAlign w:val="bottom"/>
            <w:hideMark/>
          </w:tcPr>
          <w:p w14:paraId="4AC2CB94" w14:textId="77777777" w:rsidR="001E338F" w:rsidRDefault="001E338F">
            <w:pPr>
              <w:jc w:val="center"/>
              <w:rPr>
                <w:rFonts w:ascii="Calibri Light" w:hAnsi="Calibri Light" w:cs="Calibri Light"/>
                <w:i/>
                <w:iCs/>
                <w:color w:val="000000"/>
                <w:sz w:val="16"/>
                <w:szCs w:val="16"/>
              </w:rPr>
            </w:pPr>
            <w:r>
              <w:rPr>
                <w:rFonts w:ascii="Calibri Light" w:hAnsi="Calibri Light"/>
                <w:i/>
                <w:color w:val="000000"/>
                <w:sz w:val="16"/>
              </w:rPr>
              <w:t>(29)</w:t>
            </w:r>
          </w:p>
        </w:tc>
        <w:tc>
          <w:tcPr>
            <w:tcW w:w="773" w:type="pct"/>
            <w:tcBorders>
              <w:top w:val="nil"/>
              <w:left w:val="nil"/>
              <w:bottom w:val="nil"/>
              <w:right w:val="nil"/>
            </w:tcBorders>
            <w:shd w:val="clear" w:color="auto" w:fill="auto"/>
            <w:noWrap/>
            <w:vAlign w:val="bottom"/>
            <w:hideMark/>
          </w:tcPr>
          <w:p w14:paraId="2E08D3A5"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3 331 419</w:t>
            </w:r>
          </w:p>
        </w:tc>
        <w:tc>
          <w:tcPr>
            <w:tcW w:w="800" w:type="pct"/>
            <w:tcBorders>
              <w:top w:val="nil"/>
              <w:left w:val="nil"/>
              <w:bottom w:val="nil"/>
              <w:right w:val="nil"/>
            </w:tcBorders>
            <w:shd w:val="clear" w:color="auto" w:fill="auto"/>
            <w:noWrap/>
            <w:vAlign w:val="bottom"/>
            <w:hideMark/>
          </w:tcPr>
          <w:p w14:paraId="23AC237B" w14:textId="77777777" w:rsidR="001E338F" w:rsidRDefault="001E338F">
            <w:pPr>
              <w:jc w:val="right"/>
              <w:rPr>
                <w:rFonts w:ascii="Calibri Light" w:hAnsi="Calibri Light" w:cs="Calibri Light"/>
                <w:color w:val="000000"/>
                <w:sz w:val="18"/>
                <w:szCs w:val="18"/>
              </w:rPr>
            </w:pPr>
            <w:r>
              <w:rPr>
                <w:rFonts w:ascii="Calibri Light" w:hAnsi="Calibri Light"/>
                <w:color w:val="000000"/>
                <w:sz w:val="18"/>
              </w:rPr>
              <w:t>1 471 901</w:t>
            </w:r>
          </w:p>
        </w:tc>
      </w:tr>
      <w:tr w:rsidR="001E338F" w14:paraId="7B19D5D0" w14:textId="77777777" w:rsidTr="0061181E">
        <w:trPr>
          <w:trHeight w:val="240"/>
        </w:trPr>
        <w:tc>
          <w:tcPr>
            <w:tcW w:w="2838" w:type="pct"/>
            <w:tcBorders>
              <w:top w:val="nil"/>
              <w:left w:val="nil"/>
              <w:bottom w:val="nil"/>
              <w:right w:val="nil"/>
            </w:tcBorders>
            <w:shd w:val="clear" w:color="auto" w:fill="auto"/>
            <w:noWrap/>
            <w:vAlign w:val="bottom"/>
            <w:hideMark/>
          </w:tcPr>
          <w:p w14:paraId="4B21B7E9" w14:textId="77777777" w:rsidR="001E338F" w:rsidRDefault="001E338F">
            <w:pPr>
              <w:rPr>
                <w:rFonts w:ascii="Calibri Light" w:hAnsi="Calibri Light" w:cs="Calibri Light"/>
                <w:b/>
                <w:bCs/>
                <w:color w:val="000000"/>
                <w:sz w:val="18"/>
                <w:szCs w:val="18"/>
              </w:rPr>
            </w:pPr>
            <w:r>
              <w:rPr>
                <w:rFonts w:ascii="Calibri Light" w:hAnsi="Calibri Light"/>
                <w:b/>
                <w:color w:val="000000"/>
                <w:sz w:val="18"/>
              </w:rPr>
              <w:t>TOTAL PASSIF À COURT TERME</w:t>
            </w:r>
          </w:p>
        </w:tc>
        <w:tc>
          <w:tcPr>
            <w:tcW w:w="589" w:type="pct"/>
            <w:tcBorders>
              <w:top w:val="nil"/>
              <w:left w:val="nil"/>
              <w:bottom w:val="nil"/>
              <w:right w:val="nil"/>
            </w:tcBorders>
            <w:shd w:val="clear" w:color="auto" w:fill="auto"/>
            <w:noWrap/>
            <w:vAlign w:val="bottom"/>
            <w:hideMark/>
          </w:tcPr>
          <w:p w14:paraId="67993272" w14:textId="77777777" w:rsidR="001E338F" w:rsidRDefault="001E338F">
            <w:pPr>
              <w:rPr>
                <w:rFonts w:ascii="Calibri Light" w:hAnsi="Calibri Light" w:cs="Calibri Light"/>
                <w:b/>
                <w:bCs/>
                <w:color w:val="000000"/>
                <w:sz w:val="18"/>
                <w:szCs w:val="18"/>
              </w:rPr>
            </w:pPr>
          </w:p>
        </w:tc>
        <w:tc>
          <w:tcPr>
            <w:tcW w:w="773" w:type="pct"/>
            <w:tcBorders>
              <w:top w:val="single" w:sz="4" w:space="0" w:color="auto"/>
              <w:left w:val="nil"/>
              <w:bottom w:val="nil"/>
              <w:right w:val="nil"/>
            </w:tcBorders>
            <w:shd w:val="clear" w:color="auto" w:fill="auto"/>
            <w:noWrap/>
            <w:vAlign w:val="bottom"/>
            <w:hideMark/>
          </w:tcPr>
          <w:p w14:paraId="7B312038" w14:textId="77777777" w:rsidR="001E338F" w:rsidRDefault="001E338F">
            <w:pPr>
              <w:jc w:val="right"/>
              <w:rPr>
                <w:rFonts w:ascii="Calibri Light" w:hAnsi="Calibri Light" w:cs="Calibri Light"/>
                <w:b/>
                <w:bCs/>
                <w:color w:val="000000"/>
                <w:sz w:val="18"/>
                <w:szCs w:val="18"/>
              </w:rPr>
            </w:pPr>
            <w:r>
              <w:rPr>
                <w:rFonts w:ascii="Calibri Light" w:hAnsi="Calibri Light"/>
                <w:b/>
                <w:color w:val="000000"/>
                <w:sz w:val="18"/>
              </w:rPr>
              <w:t>16 994 149</w:t>
            </w:r>
          </w:p>
        </w:tc>
        <w:tc>
          <w:tcPr>
            <w:tcW w:w="800" w:type="pct"/>
            <w:tcBorders>
              <w:top w:val="single" w:sz="4" w:space="0" w:color="auto"/>
              <w:left w:val="nil"/>
              <w:bottom w:val="nil"/>
              <w:right w:val="nil"/>
            </w:tcBorders>
            <w:shd w:val="clear" w:color="auto" w:fill="auto"/>
            <w:noWrap/>
            <w:vAlign w:val="bottom"/>
            <w:hideMark/>
          </w:tcPr>
          <w:p w14:paraId="26ADF842" w14:textId="77777777" w:rsidR="001E338F" w:rsidRDefault="001E338F">
            <w:pPr>
              <w:jc w:val="right"/>
              <w:rPr>
                <w:rFonts w:ascii="Calibri Light" w:hAnsi="Calibri Light" w:cs="Calibri Light"/>
                <w:b/>
                <w:bCs/>
                <w:color w:val="000000"/>
                <w:sz w:val="18"/>
                <w:szCs w:val="18"/>
              </w:rPr>
            </w:pPr>
            <w:r>
              <w:rPr>
                <w:rFonts w:ascii="Calibri Light" w:hAnsi="Calibri Light"/>
                <w:b/>
                <w:color w:val="000000"/>
                <w:sz w:val="18"/>
              </w:rPr>
              <w:t>14 123 506</w:t>
            </w:r>
          </w:p>
        </w:tc>
      </w:tr>
      <w:tr w:rsidR="001E338F" w14:paraId="38F303F9" w14:textId="77777777" w:rsidTr="0061181E">
        <w:trPr>
          <w:trHeight w:val="240"/>
        </w:trPr>
        <w:tc>
          <w:tcPr>
            <w:tcW w:w="2838" w:type="pct"/>
            <w:tcBorders>
              <w:top w:val="nil"/>
              <w:left w:val="nil"/>
              <w:bottom w:val="nil"/>
              <w:right w:val="nil"/>
            </w:tcBorders>
            <w:shd w:val="clear" w:color="auto" w:fill="auto"/>
            <w:noWrap/>
            <w:vAlign w:val="bottom"/>
            <w:hideMark/>
          </w:tcPr>
          <w:p w14:paraId="292C8499" w14:textId="77777777" w:rsidR="001E338F" w:rsidRDefault="001E338F">
            <w:pPr>
              <w:jc w:val="right"/>
              <w:rPr>
                <w:rFonts w:ascii="Calibri Light" w:hAnsi="Calibri Light" w:cs="Calibri Light"/>
                <w:b/>
                <w:bCs/>
                <w:color w:val="000000"/>
                <w:sz w:val="18"/>
                <w:szCs w:val="18"/>
              </w:rPr>
            </w:pPr>
          </w:p>
        </w:tc>
        <w:tc>
          <w:tcPr>
            <w:tcW w:w="589" w:type="pct"/>
            <w:tcBorders>
              <w:top w:val="nil"/>
              <w:left w:val="nil"/>
              <w:bottom w:val="nil"/>
              <w:right w:val="nil"/>
            </w:tcBorders>
            <w:shd w:val="clear" w:color="auto" w:fill="auto"/>
            <w:noWrap/>
            <w:vAlign w:val="bottom"/>
            <w:hideMark/>
          </w:tcPr>
          <w:p w14:paraId="2BE7BB1F" w14:textId="77777777" w:rsidR="001E338F" w:rsidRDefault="001E338F">
            <w:pPr>
              <w:rPr>
                <w:sz w:val="20"/>
                <w:szCs w:val="20"/>
              </w:rPr>
            </w:pPr>
          </w:p>
        </w:tc>
        <w:tc>
          <w:tcPr>
            <w:tcW w:w="773" w:type="pct"/>
            <w:tcBorders>
              <w:top w:val="nil"/>
              <w:left w:val="nil"/>
              <w:bottom w:val="nil"/>
              <w:right w:val="nil"/>
            </w:tcBorders>
            <w:shd w:val="clear" w:color="auto" w:fill="auto"/>
            <w:noWrap/>
            <w:vAlign w:val="bottom"/>
            <w:hideMark/>
          </w:tcPr>
          <w:p w14:paraId="7402706C" w14:textId="77777777" w:rsidR="001E338F" w:rsidRDefault="001E338F">
            <w:pPr>
              <w:rPr>
                <w:sz w:val="20"/>
                <w:szCs w:val="20"/>
              </w:rPr>
            </w:pPr>
          </w:p>
        </w:tc>
        <w:tc>
          <w:tcPr>
            <w:tcW w:w="800" w:type="pct"/>
            <w:tcBorders>
              <w:top w:val="nil"/>
              <w:left w:val="nil"/>
              <w:bottom w:val="nil"/>
              <w:right w:val="nil"/>
            </w:tcBorders>
            <w:shd w:val="clear" w:color="auto" w:fill="auto"/>
            <w:noWrap/>
            <w:vAlign w:val="bottom"/>
            <w:hideMark/>
          </w:tcPr>
          <w:p w14:paraId="1C9FC91C" w14:textId="77777777" w:rsidR="001E338F" w:rsidRDefault="001E338F">
            <w:pPr>
              <w:rPr>
                <w:sz w:val="20"/>
                <w:szCs w:val="20"/>
              </w:rPr>
            </w:pPr>
          </w:p>
        </w:tc>
      </w:tr>
      <w:tr w:rsidR="001E338F" w14:paraId="34696F10" w14:textId="77777777" w:rsidTr="0061181E">
        <w:trPr>
          <w:trHeight w:val="252"/>
        </w:trPr>
        <w:tc>
          <w:tcPr>
            <w:tcW w:w="2838" w:type="pct"/>
            <w:tcBorders>
              <w:top w:val="nil"/>
              <w:left w:val="nil"/>
              <w:bottom w:val="nil"/>
              <w:right w:val="nil"/>
            </w:tcBorders>
            <w:shd w:val="clear" w:color="auto" w:fill="auto"/>
            <w:noWrap/>
            <w:vAlign w:val="bottom"/>
            <w:hideMark/>
          </w:tcPr>
          <w:p w14:paraId="5DEC4843" w14:textId="77777777" w:rsidR="001E338F" w:rsidRDefault="001E338F">
            <w:pPr>
              <w:rPr>
                <w:rFonts w:ascii="Calibri Light" w:hAnsi="Calibri Light" w:cs="Calibri Light"/>
                <w:b/>
                <w:bCs/>
                <w:color w:val="000000"/>
                <w:sz w:val="18"/>
                <w:szCs w:val="18"/>
              </w:rPr>
            </w:pPr>
            <w:r>
              <w:rPr>
                <w:rFonts w:ascii="Calibri Light" w:hAnsi="Calibri Light"/>
                <w:b/>
                <w:color w:val="000000"/>
                <w:sz w:val="18"/>
              </w:rPr>
              <w:t>TOTAL PASSIF</w:t>
            </w:r>
          </w:p>
        </w:tc>
        <w:tc>
          <w:tcPr>
            <w:tcW w:w="589" w:type="pct"/>
            <w:tcBorders>
              <w:top w:val="nil"/>
              <w:left w:val="nil"/>
              <w:bottom w:val="nil"/>
              <w:right w:val="nil"/>
            </w:tcBorders>
            <w:shd w:val="clear" w:color="auto" w:fill="auto"/>
            <w:noWrap/>
            <w:vAlign w:val="bottom"/>
            <w:hideMark/>
          </w:tcPr>
          <w:p w14:paraId="4C9D2641" w14:textId="77777777" w:rsidR="001E338F" w:rsidRDefault="001E338F">
            <w:pPr>
              <w:rPr>
                <w:rFonts w:ascii="Calibri Light" w:hAnsi="Calibri Light" w:cs="Calibri Light"/>
                <w:b/>
                <w:bCs/>
                <w:color w:val="000000"/>
                <w:sz w:val="18"/>
                <w:szCs w:val="18"/>
              </w:rPr>
            </w:pPr>
          </w:p>
        </w:tc>
        <w:tc>
          <w:tcPr>
            <w:tcW w:w="773" w:type="pct"/>
            <w:tcBorders>
              <w:top w:val="single" w:sz="4" w:space="0" w:color="auto"/>
              <w:left w:val="nil"/>
              <w:bottom w:val="single" w:sz="8" w:space="0" w:color="auto"/>
              <w:right w:val="nil"/>
            </w:tcBorders>
            <w:shd w:val="clear" w:color="auto" w:fill="auto"/>
            <w:noWrap/>
            <w:vAlign w:val="bottom"/>
            <w:hideMark/>
          </w:tcPr>
          <w:p w14:paraId="43D16561" w14:textId="77777777" w:rsidR="001E338F" w:rsidRDefault="001E338F">
            <w:pPr>
              <w:jc w:val="right"/>
              <w:rPr>
                <w:rFonts w:ascii="Calibri Light" w:hAnsi="Calibri Light" w:cs="Calibri Light"/>
                <w:b/>
                <w:bCs/>
                <w:color w:val="000000"/>
                <w:sz w:val="18"/>
                <w:szCs w:val="18"/>
              </w:rPr>
            </w:pPr>
            <w:r>
              <w:rPr>
                <w:rFonts w:ascii="Calibri Light" w:hAnsi="Calibri Light"/>
                <w:b/>
                <w:color w:val="000000"/>
                <w:sz w:val="18"/>
              </w:rPr>
              <w:t>28 121 125</w:t>
            </w:r>
          </w:p>
        </w:tc>
        <w:tc>
          <w:tcPr>
            <w:tcW w:w="800" w:type="pct"/>
            <w:tcBorders>
              <w:top w:val="single" w:sz="4" w:space="0" w:color="auto"/>
              <w:left w:val="nil"/>
              <w:bottom w:val="single" w:sz="8" w:space="0" w:color="auto"/>
              <w:right w:val="nil"/>
            </w:tcBorders>
            <w:shd w:val="clear" w:color="auto" w:fill="auto"/>
            <w:noWrap/>
            <w:vAlign w:val="bottom"/>
            <w:hideMark/>
          </w:tcPr>
          <w:p w14:paraId="532B04F1" w14:textId="77777777" w:rsidR="001E338F" w:rsidRDefault="001E338F">
            <w:pPr>
              <w:jc w:val="right"/>
              <w:rPr>
                <w:rFonts w:ascii="Calibri Light" w:hAnsi="Calibri Light" w:cs="Calibri Light"/>
                <w:b/>
                <w:bCs/>
                <w:color w:val="000000"/>
                <w:sz w:val="18"/>
                <w:szCs w:val="18"/>
              </w:rPr>
            </w:pPr>
            <w:r>
              <w:rPr>
                <w:rFonts w:ascii="Calibri Light" w:hAnsi="Calibri Light"/>
                <w:b/>
                <w:color w:val="000000"/>
                <w:sz w:val="18"/>
              </w:rPr>
              <w:t>27 272 830</w:t>
            </w:r>
          </w:p>
        </w:tc>
      </w:tr>
      <w:tr w:rsidR="001E338F" w14:paraId="0B5F7EDF" w14:textId="77777777" w:rsidTr="0061181E">
        <w:trPr>
          <w:trHeight w:val="240"/>
        </w:trPr>
        <w:tc>
          <w:tcPr>
            <w:tcW w:w="2838" w:type="pct"/>
            <w:tcBorders>
              <w:top w:val="nil"/>
              <w:left w:val="nil"/>
              <w:bottom w:val="nil"/>
              <w:right w:val="nil"/>
            </w:tcBorders>
            <w:shd w:val="clear" w:color="auto" w:fill="auto"/>
            <w:noWrap/>
            <w:vAlign w:val="bottom"/>
            <w:hideMark/>
          </w:tcPr>
          <w:p w14:paraId="4BD686AA" w14:textId="77777777" w:rsidR="001E338F" w:rsidRDefault="001E338F">
            <w:pPr>
              <w:jc w:val="right"/>
              <w:rPr>
                <w:rFonts w:ascii="Calibri Light" w:hAnsi="Calibri Light" w:cs="Calibri Light"/>
                <w:b/>
                <w:bCs/>
                <w:color w:val="000000"/>
                <w:sz w:val="18"/>
                <w:szCs w:val="18"/>
              </w:rPr>
            </w:pPr>
          </w:p>
        </w:tc>
        <w:tc>
          <w:tcPr>
            <w:tcW w:w="589" w:type="pct"/>
            <w:tcBorders>
              <w:top w:val="nil"/>
              <w:left w:val="nil"/>
              <w:bottom w:val="nil"/>
              <w:right w:val="nil"/>
            </w:tcBorders>
            <w:shd w:val="clear" w:color="auto" w:fill="auto"/>
            <w:noWrap/>
            <w:vAlign w:val="bottom"/>
            <w:hideMark/>
          </w:tcPr>
          <w:p w14:paraId="7FF8F707" w14:textId="77777777" w:rsidR="001E338F" w:rsidRDefault="001E338F">
            <w:pPr>
              <w:rPr>
                <w:sz w:val="20"/>
                <w:szCs w:val="20"/>
              </w:rPr>
            </w:pPr>
          </w:p>
        </w:tc>
        <w:tc>
          <w:tcPr>
            <w:tcW w:w="773" w:type="pct"/>
            <w:tcBorders>
              <w:top w:val="nil"/>
              <w:left w:val="nil"/>
              <w:bottom w:val="nil"/>
              <w:right w:val="nil"/>
            </w:tcBorders>
            <w:shd w:val="clear" w:color="auto" w:fill="auto"/>
            <w:noWrap/>
            <w:vAlign w:val="bottom"/>
            <w:hideMark/>
          </w:tcPr>
          <w:p w14:paraId="0D29CE7E" w14:textId="77777777" w:rsidR="001E338F" w:rsidRDefault="001E338F">
            <w:pPr>
              <w:rPr>
                <w:sz w:val="20"/>
                <w:szCs w:val="20"/>
              </w:rPr>
            </w:pPr>
          </w:p>
        </w:tc>
        <w:tc>
          <w:tcPr>
            <w:tcW w:w="800" w:type="pct"/>
            <w:tcBorders>
              <w:top w:val="nil"/>
              <w:left w:val="nil"/>
              <w:bottom w:val="nil"/>
              <w:right w:val="nil"/>
            </w:tcBorders>
            <w:shd w:val="clear" w:color="auto" w:fill="auto"/>
            <w:noWrap/>
            <w:vAlign w:val="bottom"/>
            <w:hideMark/>
          </w:tcPr>
          <w:p w14:paraId="17E3707F" w14:textId="77777777" w:rsidR="001E338F" w:rsidRDefault="001E338F">
            <w:pPr>
              <w:rPr>
                <w:sz w:val="20"/>
                <w:szCs w:val="20"/>
              </w:rPr>
            </w:pPr>
          </w:p>
        </w:tc>
      </w:tr>
      <w:tr w:rsidR="001E338F" w14:paraId="28190C4F" w14:textId="77777777" w:rsidTr="0061181E">
        <w:trPr>
          <w:trHeight w:val="252"/>
        </w:trPr>
        <w:tc>
          <w:tcPr>
            <w:tcW w:w="2838" w:type="pct"/>
            <w:tcBorders>
              <w:top w:val="nil"/>
              <w:left w:val="nil"/>
              <w:bottom w:val="nil"/>
              <w:right w:val="nil"/>
            </w:tcBorders>
            <w:shd w:val="clear" w:color="auto" w:fill="auto"/>
            <w:noWrap/>
            <w:vAlign w:val="bottom"/>
            <w:hideMark/>
          </w:tcPr>
          <w:p w14:paraId="6992F678" w14:textId="77777777" w:rsidR="001E338F" w:rsidRDefault="001E338F">
            <w:pPr>
              <w:rPr>
                <w:rFonts w:ascii="Calibri Light" w:hAnsi="Calibri Light" w:cs="Calibri Light"/>
                <w:b/>
                <w:bCs/>
                <w:color w:val="000000"/>
                <w:sz w:val="18"/>
                <w:szCs w:val="18"/>
              </w:rPr>
            </w:pPr>
            <w:r>
              <w:rPr>
                <w:rFonts w:ascii="Calibri Light" w:hAnsi="Calibri Light"/>
                <w:b/>
                <w:color w:val="000000"/>
                <w:sz w:val="18"/>
              </w:rPr>
              <w:t>TOTAL CAPITAUX PROPRES ET PASSIF</w:t>
            </w:r>
          </w:p>
        </w:tc>
        <w:tc>
          <w:tcPr>
            <w:tcW w:w="589" w:type="pct"/>
            <w:tcBorders>
              <w:top w:val="nil"/>
              <w:left w:val="nil"/>
              <w:bottom w:val="nil"/>
              <w:right w:val="nil"/>
            </w:tcBorders>
            <w:shd w:val="clear" w:color="auto" w:fill="auto"/>
            <w:noWrap/>
            <w:vAlign w:val="bottom"/>
            <w:hideMark/>
          </w:tcPr>
          <w:p w14:paraId="4606420B" w14:textId="77777777" w:rsidR="001E338F" w:rsidRDefault="001E338F">
            <w:pPr>
              <w:rPr>
                <w:rFonts w:ascii="Calibri Light" w:hAnsi="Calibri Light" w:cs="Calibri Light"/>
                <w:b/>
                <w:bCs/>
                <w:color w:val="000000"/>
                <w:sz w:val="18"/>
                <w:szCs w:val="18"/>
              </w:rPr>
            </w:pPr>
          </w:p>
        </w:tc>
        <w:tc>
          <w:tcPr>
            <w:tcW w:w="773" w:type="pct"/>
            <w:tcBorders>
              <w:top w:val="single" w:sz="4" w:space="0" w:color="auto"/>
              <w:left w:val="nil"/>
              <w:bottom w:val="single" w:sz="8" w:space="0" w:color="auto"/>
              <w:right w:val="nil"/>
            </w:tcBorders>
            <w:shd w:val="clear" w:color="auto" w:fill="auto"/>
            <w:noWrap/>
            <w:vAlign w:val="bottom"/>
            <w:hideMark/>
          </w:tcPr>
          <w:p w14:paraId="792081C6" w14:textId="77777777" w:rsidR="001E338F" w:rsidRDefault="001E338F">
            <w:pPr>
              <w:jc w:val="right"/>
              <w:rPr>
                <w:rFonts w:ascii="Calibri Light" w:hAnsi="Calibri Light" w:cs="Calibri Light"/>
                <w:b/>
                <w:bCs/>
                <w:color w:val="000000"/>
                <w:sz w:val="18"/>
                <w:szCs w:val="18"/>
              </w:rPr>
            </w:pPr>
            <w:r>
              <w:rPr>
                <w:rFonts w:ascii="Calibri Light" w:hAnsi="Calibri Light"/>
                <w:b/>
                <w:color w:val="000000"/>
                <w:sz w:val="18"/>
              </w:rPr>
              <w:t>37 591 107</w:t>
            </w:r>
          </w:p>
        </w:tc>
        <w:tc>
          <w:tcPr>
            <w:tcW w:w="800" w:type="pct"/>
            <w:tcBorders>
              <w:top w:val="single" w:sz="4" w:space="0" w:color="auto"/>
              <w:left w:val="nil"/>
              <w:bottom w:val="single" w:sz="8" w:space="0" w:color="auto"/>
              <w:right w:val="nil"/>
            </w:tcBorders>
            <w:shd w:val="clear" w:color="auto" w:fill="auto"/>
            <w:noWrap/>
            <w:vAlign w:val="bottom"/>
            <w:hideMark/>
          </w:tcPr>
          <w:p w14:paraId="6F1F8AB4" w14:textId="77777777" w:rsidR="001E338F" w:rsidRDefault="001E338F">
            <w:pPr>
              <w:jc w:val="right"/>
              <w:rPr>
                <w:rFonts w:ascii="Calibri Light" w:hAnsi="Calibri Light" w:cs="Calibri Light"/>
                <w:b/>
                <w:bCs/>
                <w:color w:val="000000"/>
                <w:sz w:val="18"/>
                <w:szCs w:val="18"/>
              </w:rPr>
            </w:pPr>
            <w:r>
              <w:rPr>
                <w:rFonts w:ascii="Calibri Light" w:hAnsi="Calibri Light"/>
                <w:b/>
                <w:color w:val="000000"/>
                <w:sz w:val="18"/>
              </w:rPr>
              <w:t>39 111 065</w:t>
            </w:r>
          </w:p>
        </w:tc>
      </w:tr>
    </w:tbl>
    <w:p w14:paraId="70E6EEDC" w14:textId="2AFBB186" w:rsidR="00E16D12" w:rsidRDefault="0089588F" w:rsidP="00583B1A">
      <w:pPr>
        <w:pStyle w:val="Titolo1"/>
        <w:spacing w:line="240" w:lineRule="auto"/>
        <w:ind w:left="0" w:right="0"/>
        <w:jc w:val="left"/>
        <w:rPr>
          <w:sz w:val="28"/>
          <w:szCs w:val="28"/>
        </w:rPr>
      </w:pPr>
      <w:r>
        <w:br w:type="page"/>
      </w:r>
      <w:bookmarkStart w:id="43" w:name="_Toc112768615"/>
      <w:r>
        <w:rPr>
          <w:sz w:val="28"/>
        </w:rPr>
        <w:lastRenderedPageBreak/>
        <w:t>Compte de résultat</w:t>
      </w:r>
      <w:bookmarkEnd w:id="43"/>
    </w:p>
    <w:p w14:paraId="21DE7655" w14:textId="77777777" w:rsidR="00583B1A" w:rsidRPr="0061181E" w:rsidRDefault="00583B1A"/>
    <w:tbl>
      <w:tblPr>
        <w:tblW w:w="5000" w:type="pct"/>
        <w:tblCellMar>
          <w:left w:w="70" w:type="dxa"/>
          <w:right w:w="70" w:type="dxa"/>
        </w:tblCellMar>
        <w:tblLook w:val="04A0" w:firstRow="1" w:lastRow="0" w:firstColumn="1" w:lastColumn="0" w:noHBand="0" w:noVBand="1"/>
      </w:tblPr>
      <w:tblGrid>
        <w:gridCol w:w="5243"/>
        <w:gridCol w:w="968"/>
        <w:gridCol w:w="1714"/>
        <w:gridCol w:w="1713"/>
      </w:tblGrid>
      <w:tr w:rsidR="00EF2861" w14:paraId="3C75B6A8" w14:textId="77777777" w:rsidTr="0061181E">
        <w:trPr>
          <w:trHeight w:val="492"/>
        </w:trPr>
        <w:tc>
          <w:tcPr>
            <w:tcW w:w="2678" w:type="pct"/>
            <w:tcBorders>
              <w:top w:val="single" w:sz="4" w:space="0" w:color="0070C0"/>
              <w:left w:val="nil"/>
              <w:bottom w:val="single" w:sz="8" w:space="0" w:color="0070C0"/>
              <w:right w:val="nil"/>
            </w:tcBorders>
            <w:shd w:val="clear" w:color="auto" w:fill="auto"/>
            <w:noWrap/>
            <w:vAlign w:val="bottom"/>
            <w:hideMark/>
          </w:tcPr>
          <w:p w14:paraId="473DFAAF" w14:textId="77777777" w:rsidR="00EF2861" w:rsidRDefault="00EF2861">
            <w:pPr>
              <w:rPr>
                <w:rFonts w:ascii="Calibri Light" w:hAnsi="Calibri Light" w:cs="Calibri Light"/>
                <w:color w:val="000000"/>
                <w:sz w:val="18"/>
                <w:szCs w:val="18"/>
              </w:rPr>
            </w:pPr>
            <w:bookmarkStart w:id="44" w:name="RANGE!B3:J29"/>
            <w:r>
              <w:rPr>
                <w:rFonts w:ascii="Calibri Light" w:hAnsi="Calibri Light"/>
                <w:color w:val="000000"/>
                <w:sz w:val="18"/>
              </w:rPr>
              <w:t>(</w:t>
            </w:r>
            <w:proofErr w:type="gramStart"/>
            <w:r>
              <w:rPr>
                <w:rFonts w:ascii="Calibri Light" w:hAnsi="Calibri Light"/>
                <w:color w:val="000000"/>
                <w:sz w:val="18"/>
              </w:rPr>
              <w:t>en</w:t>
            </w:r>
            <w:proofErr w:type="gramEnd"/>
            <w:r>
              <w:rPr>
                <w:rFonts w:ascii="Calibri Light" w:hAnsi="Calibri Light"/>
                <w:color w:val="000000"/>
                <w:sz w:val="18"/>
              </w:rPr>
              <w:t xml:space="preserve"> euros)</w:t>
            </w:r>
            <w:bookmarkEnd w:id="44"/>
          </w:p>
        </w:tc>
        <w:tc>
          <w:tcPr>
            <w:tcW w:w="516" w:type="pct"/>
            <w:tcBorders>
              <w:top w:val="single" w:sz="4" w:space="0" w:color="0070C0"/>
              <w:left w:val="nil"/>
              <w:bottom w:val="single" w:sz="8" w:space="0" w:color="0070C0"/>
              <w:right w:val="nil"/>
            </w:tcBorders>
            <w:shd w:val="clear" w:color="auto" w:fill="auto"/>
            <w:vAlign w:val="bottom"/>
            <w:hideMark/>
          </w:tcPr>
          <w:p w14:paraId="2FC6F12E" w14:textId="77777777" w:rsidR="00EF2861" w:rsidRDefault="00EF2861">
            <w:pPr>
              <w:jc w:val="center"/>
              <w:rPr>
                <w:rFonts w:ascii="Calibri Light" w:hAnsi="Calibri Light" w:cs="Calibri Light"/>
                <w:b/>
                <w:bCs/>
                <w:color w:val="000000"/>
                <w:sz w:val="18"/>
                <w:szCs w:val="18"/>
              </w:rPr>
            </w:pPr>
            <w:r>
              <w:rPr>
                <w:rFonts w:ascii="Calibri Light" w:hAnsi="Calibri Light"/>
                <w:b/>
                <w:color w:val="000000"/>
                <w:sz w:val="18"/>
              </w:rPr>
              <w:t>Note</w:t>
            </w:r>
          </w:p>
        </w:tc>
        <w:tc>
          <w:tcPr>
            <w:tcW w:w="903" w:type="pct"/>
            <w:tcBorders>
              <w:top w:val="single" w:sz="4" w:space="0" w:color="0070C0"/>
              <w:left w:val="nil"/>
              <w:bottom w:val="single" w:sz="8" w:space="0" w:color="0070C0"/>
              <w:right w:val="nil"/>
            </w:tcBorders>
            <w:shd w:val="clear" w:color="auto" w:fill="auto"/>
            <w:vAlign w:val="center"/>
            <w:hideMark/>
          </w:tcPr>
          <w:p w14:paraId="7E1F30DF" w14:textId="7D00719B" w:rsidR="00EF2861" w:rsidRDefault="00EF2861" w:rsidP="0061181E">
            <w:pPr>
              <w:jc w:val="right"/>
              <w:rPr>
                <w:rFonts w:ascii="Calibri Light" w:hAnsi="Calibri Light" w:cs="Calibri Light"/>
                <w:b/>
                <w:bCs/>
                <w:color w:val="000000"/>
                <w:sz w:val="18"/>
                <w:szCs w:val="18"/>
              </w:rPr>
            </w:pPr>
            <w:r>
              <w:rPr>
                <w:rFonts w:ascii="Calibri Light" w:hAnsi="Calibri Light"/>
                <w:b/>
                <w:color w:val="000000"/>
                <w:sz w:val="18"/>
              </w:rPr>
              <w:t xml:space="preserve">AGRÉGATION IFRS </w:t>
            </w:r>
            <w:r>
              <w:rPr>
                <w:rFonts w:ascii="Calibri Light" w:hAnsi="Calibri Light"/>
                <w:b/>
                <w:bCs/>
                <w:color w:val="000000"/>
                <w:sz w:val="18"/>
                <w:szCs w:val="18"/>
              </w:rPr>
              <w:br/>
            </w:r>
            <w:r>
              <w:rPr>
                <w:rFonts w:ascii="Calibri Light" w:hAnsi="Calibri Light"/>
                <w:b/>
                <w:color w:val="000000"/>
                <w:sz w:val="18"/>
              </w:rPr>
              <w:t>30 juin 2021</w:t>
            </w:r>
          </w:p>
        </w:tc>
        <w:tc>
          <w:tcPr>
            <w:tcW w:w="902" w:type="pct"/>
            <w:tcBorders>
              <w:top w:val="single" w:sz="4" w:space="0" w:color="0070C0"/>
              <w:left w:val="nil"/>
              <w:bottom w:val="single" w:sz="8" w:space="0" w:color="0070C0"/>
              <w:right w:val="nil"/>
            </w:tcBorders>
            <w:shd w:val="clear" w:color="auto" w:fill="auto"/>
            <w:vAlign w:val="center"/>
            <w:hideMark/>
          </w:tcPr>
          <w:p w14:paraId="0DA2DFF0" w14:textId="15133AED" w:rsidR="00EF2861" w:rsidRDefault="00EF2861" w:rsidP="0061181E">
            <w:pPr>
              <w:jc w:val="right"/>
              <w:rPr>
                <w:rFonts w:ascii="Calibri Light" w:hAnsi="Calibri Light" w:cs="Calibri Light"/>
                <w:b/>
                <w:bCs/>
                <w:color w:val="000000"/>
                <w:sz w:val="18"/>
                <w:szCs w:val="18"/>
              </w:rPr>
            </w:pPr>
            <w:r>
              <w:rPr>
                <w:rFonts w:ascii="Calibri Light" w:hAnsi="Calibri Light"/>
                <w:b/>
                <w:color w:val="000000"/>
                <w:sz w:val="18"/>
              </w:rPr>
              <w:t>AGRÉGATION IFRS</w:t>
            </w:r>
            <w:r>
              <w:rPr>
                <w:rFonts w:ascii="Calibri Light" w:hAnsi="Calibri Light"/>
                <w:b/>
                <w:bCs/>
                <w:color w:val="000000"/>
                <w:sz w:val="18"/>
                <w:szCs w:val="18"/>
              </w:rPr>
              <w:br/>
            </w:r>
            <w:r>
              <w:rPr>
                <w:rFonts w:ascii="Calibri Light" w:hAnsi="Calibri Light"/>
                <w:b/>
                <w:color w:val="000000"/>
                <w:sz w:val="18"/>
              </w:rPr>
              <w:t>30 juin 2020</w:t>
            </w:r>
          </w:p>
        </w:tc>
      </w:tr>
      <w:tr w:rsidR="00EF2861" w14:paraId="6551F029" w14:textId="77777777" w:rsidTr="0061181E">
        <w:trPr>
          <w:trHeight w:val="240"/>
        </w:trPr>
        <w:tc>
          <w:tcPr>
            <w:tcW w:w="2678" w:type="pct"/>
            <w:tcBorders>
              <w:top w:val="nil"/>
              <w:left w:val="nil"/>
              <w:bottom w:val="nil"/>
              <w:right w:val="nil"/>
            </w:tcBorders>
            <w:shd w:val="clear" w:color="auto" w:fill="auto"/>
            <w:noWrap/>
            <w:vAlign w:val="bottom"/>
            <w:hideMark/>
          </w:tcPr>
          <w:p w14:paraId="0AED14EA" w14:textId="77777777" w:rsidR="00EF2861" w:rsidRDefault="00EF2861">
            <w:pPr>
              <w:jc w:val="center"/>
              <w:rPr>
                <w:rFonts w:ascii="Calibri Light" w:hAnsi="Calibri Light" w:cs="Calibri Light"/>
                <w:b/>
                <w:bCs/>
                <w:color w:val="000000"/>
                <w:sz w:val="18"/>
                <w:szCs w:val="18"/>
              </w:rPr>
            </w:pPr>
          </w:p>
        </w:tc>
        <w:tc>
          <w:tcPr>
            <w:tcW w:w="516" w:type="pct"/>
            <w:tcBorders>
              <w:top w:val="nil"/>
              <w:left w:val="nil"/>
              <w:bottom w:val="nil"/>
              <w:right w:val="nil"/>
            </w:tcBorders>
            <w:shd w:val="clear" w:color="auto" w:fill="auto"/>
            <w:noWrap/>
            <w:vAlign w:val="bottom"/>
            <w:hideMark/>
          </w:tcPr>
          <w:p w14:paraId="44480C3B" w14:textId="77777777" w:rsidR="00EF2861" w:rsidRDefault="00EF2861">
            <w:pPr>
              <w:rPr>
                <w:sz w:val="20"/>
                <w:szCs w:val="20"/>
              </w:rPr>
            </w:pPr>
          </w:p>
        </w:tc>
        <w:tc>
          <w:tcPr>
            <w:tcW w:w="903" w:type="pct"/>
            <w:tcBorders>
              <w:top w:val="nil"/>
              <w:left w:val="nil"/>
              <w:bottom w:val="nil"/>
              <w:right w:val="nil"/>
            </w:tcBorders>
            <w:shd w:val="clear" w:color="auto" w:fill="auto"/>
            <w:vAlign w:val="bottom"/>
            <w:hideMark/>
          </w:tcPr>
          <w:p w14:paraId="1B0A0841" w14:textId="77777777" w:rsidR="00EF2861" w:rsidRDefault="00EF2861">
            <w:pPr>
              <w:rPr>
                <w:sz w:val="20"/>
                <w:szCs w:val="20"/>
              </w:rPr>
            </w:pPr>
          </w:p>
        </w:tc>
        <w:tc>
          <w:tcPr>
            <w:tcW w:w="902" w:type="pct"/>
            <w:tcBorders>
              <w:top w:val="nil"/>
              <w:left w:val="nil"/>
              <w:bottom w:val="nil"/>
              <w:right w:val="nil"/>
            </w:tcBorders>
            <w:shd w:val="clear" w:color="auto" w:fill="auto"/>
            <w:vAlign w:val="bottom"/>
            <w:hideMark/>
          </w:tcPr>
          <w:p w14:paraId="6AEB70C4" w14:textId="77777777" w:rsidR="00EF2861" w:rsidRDefault="00EF2861">
            <w:pPr>
              <w:jc w:val="center"/>
              <w:rPr>
                <w:sz w:val="20"/>
                <w:szCs w:val="20"/>
              </w:rPr>
            </w:pPr>
          </w:p>
        </w:tc>
      </w:tr>
      <w:tr w:rsidR="00EF2861" w14:paraId="6D034B09" w14:textId="77777777" w:rsidTr="0061181E">
        <w:trPr>
          <w:trHeight w:val="240"/>
        </w:trPr>
        <w:tc>
          <w:tcPr>
            <w:tcW w:w="2678" w:type="pct"/>
            <w:tcBorders>
              <w:top w:val="nil"/>
              <w:left w:val="nil"/>
              <w:bottom w:val="nil"/>
              <w:right w:val="nil"/>
            </w:tcBorders>
            <w:shd w:val="clear" w:color="auto" w:fill="auto"/>
            <w:noWrap/>
            <w:vAlign w:val="bottom"/>
            <w:hideMark/>
          </w:tcPr>
          <w:p w14:paraId="13773089" w14:textId="77777777" w:rsidR="00EF2861" w:rsidRDefault="00EF2861">
            <w:pPr>
              <w:jc w:val="center"/>
              <w:rPr>
                <w:sz w:val="20"/>
                <w:szCs w:val="20"/>
              </w:rPr>
            </w:pPr>
          </w:p>
        </w:tc>
        <w:tc>
          <w:tcPr>
            <w:tcW w:w="516" w:type="pct"/>
            <w:tcBorders>
              <w:top w:val="nil"/>
              <w:left w:val="nil"/>
              <w:bottom w:val="nil"/>
              <w:right w:val="nil"/>
            </w:tcBorders>
            <w:shd w:val="clear" w:color="auto" w:fill="auto"/>
            <w:noWrap/>
            <w:vAlign w:val="bottom"/>
            <w:hideMark/>
          </w:tcPr>
          <w:p w14:paraId="5E8DB0DD" w14:textId="77777777" w:rsidR="00EF2861" w:rsidRDefault="00EF2861">
            <w:pPr>
              <w:rPr>
                <w:sz w:val="20"/>
                <w:szCs w:val="20"/>
              </w:rPr>
            </w:pPr>
          </w:p>
        </w:tc>
        <w:tc>
          <w:tcPr>
            <w:tcW w:w="903" w:type="pct"/>
            <w:tcBorders>
              <w:top w:val="nil"/>
              <w:left w:val="nil"/>
              <w:bottom w:val="nil"/>
              <w:right w:val="nil"/>
            </w:tcBorders>
            <w:shd w:val="clear" w:color="auto" w:fill="auto"/>
            <w:vAlign w:val="bottom"/>
            <w:hideMark/>
          </w:tcPr>
          <w:p w14:paraId="7CC6F7DB" w14:textId="77777777" w:rsidR="00EF2861" w:rsidRDefault="00EF2861">
            <w:pPr>
              <w:rPr>
                <w:sz w:val="20"/>
                <w:szCs w:val="20"/>
              </w:rPr>
            </w:pPr>
          </w:p>
        </w:tc>
        <w:tc>
          <w:tcPr>
            <w:tcW w:w="902" w:type="pct"/>
            <w:tcBorders>
              <w:top w:val="nil"/>
              <w:left w:val="nil"/>
              <w:bottom w:val="nil"/>
              <w:right w:val="nil"/>
            </w:tcBorders>
            <w:shd w:val="clear" w:color="auto" w:fill="auto"/>
            <w:vAlign w:val="bottom"/>
            <w:hideMark/>
          </w:tcPr>
          <w:p w14:paraId="781F8A23" w14:textId="77777777" w:rsidR="00EF2861" w:rsidRDefault="00EF2861">
            <w:pPr>
              <w:jc w:val="center"/>
              <w:rPr>
                <w:sz w:val="20"/>
                <w:szCs w:val="20"/>
              </w:rPr>
            </w:pPr>
          </w:p>
        </w:tc>
      </w:tr>
      <w:tr w:rsidR="00EF2861" w14:paraId="44AC1974" w14:textId="77777777" w:rsidTr="0061181E">
        <w:trPr>
          <w:trHeight w:val="240"/>
        </w:trPr>
        <w:tc>
          <w:tcPr>
            <w:tcW w:w="2678" w:type="pct"/>
            <w:tcBorders>
              <w:top w:val="nil"/>
              <w:left w:val="nil"/>
              <w:bottom w:val="nil"/>
              <w:right w:val="nil"/>
            </w:tcBorders>
            <w:shd w:val="clear" w:color="auto" w:fill="auto"/>
            <w:noWrap/>
            <w:vAlign w:val="bottom"/>
            <w:hideMark/>
          </w:tcPr>
          <w:p w14:paraId="32628EE2" w14:textId="77777777" w:rsidR="00EF2861" w:rsidRDefault="00EF2861">
            <w:pPr>
              <w:rPr>
                <w:rFonts w:ascii="Calibri Light" w:hAnsi="Calibri Light" w:cs="Calibri Light"/>
                <w:color w:val="000000"/>
                <w:sz w:val="18"/>
                <w:szCs w:val="18"/>
              </w:rPr>
            </w:pPr>
            <w:r>
              <w:rPr>
                <w:rFonts w:ascii="Calibri Light" w:hAnsi="Calibri Light"/>
                <w:color w:val="000000"/>
                <w:sz w:val="18"/>
              </w:rPr>
              <w:t>Revenus des contrats avec les clients</w:t>
            </w:r>
          </w:p>
        </w:tc>
        <w:tc>
          <w:tcPr>
            <w:tcW w:w="516" w:type="pct"/>
            <w:tcBorders>
              <w:top w:val="nil"/>
              <w:left w:val="nil"/>
              <w:bottom w:val="nil"/>
              <w:right w:val="nil"/>
            </w:tcBorders>
            <w:shd w:val="clear" w:color="auto" w:fill="auto"/>
            <w:noWrap/>
            <w:vAlign w:val="bottom"/>
            <w:hideMark/>
          </w:tcPr>
          <w:p w14:paraId="0A103C43" w14:textId="77777777" w:rsidR="00EF2861" w:rsidRDefault="00EF2861">
            <w:pPr>
              <w:jc w:val="center"/>
              <w:rPr>
                <w:rFonts w:ascii="Calibri Light" w:hAnsi="Calibri Light" w:cs="Calibri Light"/>
                <w:i/>
                <w:iCs/>
                <w:color w:val="000000"/>
                <w:sz w:val="16"/>
                <w:szCs w:val="16"/>
              </w:rPr>
            </w:pPr>
            <w:r>
              <w:rPr>
                <w:rFonts w:ascii="Calibri Light" w:hAnsi="Calibri Light"/>
                <w:i/>
                <w:color w:val="000000"/>
                <w:sz w:val="16"/>
              </w:rPr>
              <w:t>(30)</w:t>
            </w:r>
          </w:p>
        </w:tc>
        <w:tc>
          <w:tcPr>
            <w:tcW w:w="903" w:type="pct"/>
            <w:tcBorders>
              <w:top w:val="nil"/>
              <w:left w:val="nil"/>
              <w:bottom w:val="nil"/>
              <w:right w:val="nil"/>
            </w:tcBorders>
            <w:shd w:val="clear" w:color="auto" w:fill="auto"/>
            <w:noWrap/>
            <w:vAlign w:val="bottom"/>
            <w:hideMark/>
          </w:tcPr>
          <w:p w14:paraId="2BE486BF"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11 549 795</w:t>
            </w:r>
          </w:p>
        </w:tc>
        <w:tc>
          <w:tcPr>
            <w:tcW w:w="902" w:type="pct"/>
            <w:tcBorders>
              <w:top w:val="nil"/>
              <w:left w:val="nil"/>
              <w:bottom w:val="nil"/>
              <w:right w:val="nil"/>
            </w:tcBorders>
            <w:shd w:val="clear" w:color="auto" w:fill="auto"/>
            <w:noWrap/>
            <w:vAlign w:val="bottom"/>
            <w:hideMark/>
          </w:tcPr>
          <w:p w14:paraId="79120DE6"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8 782 789</w:t>
            </w:r>
          </w:p>
        </w:tc>
      </w:tr>
      <w:tr w:rsidR="00EF2861" w14:paraId="563448B4" w14:textId="77777777" w:rsidTr="0061181E">
        <w:trPr>
          <w:trHeight w:val="240"/>
        </w:trPr>
        <w:tc>
          <w:tcPr>
            <w:tcW w:w="2678" w:type="pct"/>
            <w:tcBorders>
              <w:top w:val="nil"/>
              <w:left w:val="nil"/>
              <w:bottom w:val="nil"/>
              <w:right w:val="nil"/>
            </w:tcBorders>
            <w:shd w:val="clear" w:color="auto" w:fill="auto"/>
            <w:noWrap/>
            <w:vAlign w:val="bottom"/>
            <w:hideMark/>
          </w:tcPr>
          <w:p w14:paraId="19595C5F" w14:textId="77777777" w:rsidR="00EF2861" w:rsidRDefault="00EF2861">
            <w:pPr>
              <w:rPr>
                <w:rFonts w:ascii="Calibri Light" w:hAnsi="Calibri Light" w:cs="Calibri Light"/>
                <w:b/>
                <w:bCs/>
                <w:color w:val="000000"/>
                <w:sz w:val="18"/>
                <w:szCs w:val="18"/>
              </w:rPr>
            </w:pPr>
            <w:r>
              <w:rPr>
                <w:rFonts w:ascii="Calibri Light" w:hAnsi="Calibri Light"/>
                <w:b/>
                <w:color w:val="000000"/>
                <w:sz w:val="18"/>
              </w:rPr>
              <w:t>REVENUS</w:t>
            </w:r>
          </w:p>
        </w:tc>
        <w:tc>
          <w:tcPr>
            <w:tcW w:w="516" w:type="pct"/>
            <w:tcBorders>
              <w:top w:val="nil"/>
              <w:left w:val="nil"/>
              <w:bottom w:val="nil"/>
              <w:right w:val="nil"/>
            </w:tcBorders>
            <w:shd w:val="clear" w:color="auto" w:fill="auto"/>
            <w:noWrap/>
            <w:vAlign w:val="bottom"/>
            <w:hideMark/>
          </w:tcPr>
          <w:p w14:paraId="14396B33" w14:textId="77777777" w:rsidR="00EF2861" w:rsidRDefault="00EF2861">
            <w:pPr>
              <w:rPr>
                <w:rFonts w:ascii="Calibri Light" w:hAnsi="Calibri Light" w:cs="Calibri Light"/>
                <w:b/>
                <w:bCs/>
                <w:color w:val="000000"/>
                <w:sz w:val="18"/>
                <w:szCs w:val="18"/>
              </w:rPr>
            </w:pPr>
          </w:p>
        </w:tc>
        <w:tc>
          <w:tcPr>
            <w:tcW w:w="903" w:type="pct"/>
            <w:tcBorders>
              <w:top w:val="nil"/>
              <w:left w:val="nil"/>
              <w:bottom w:val="nil"/>
              <w:right w:val="nil"/>
            </w:tcBorders>
            <w:shd w:val="clear" w:color="auto" w:fill="auto"/>
            <w:noWrap/>
            <w:vAlign w:val="bottom"/>
            <w:hideMark/>
          </w:tcPr>
          <w:p w14:paraId="79D25053" w14:textId="77777777" w:rsidR="00EF2861" w:rsidRDefault="00EF2861">
            <w:pPr>
              <w:jc w:val="right"/>
              <w:rPr>
                <w:rFonts w:ascii="Calibri Light" w:hAnsi="Calibri Light" w:cs="Calibri Light"/>
                <w:b/>
                <w:bCs/>
                <w:color w:val="000000"/>
                <w:sz w:val="18"/>
                <w:szCs w:val="18"/>
              </w:rPr>
            </w:pPr>
            <w:r>
              <w:rPr>
                <w:rFonts w:ascii="Calibri Light" w:hAnsi="Calibri Light"/>
                <w:b/>
                <w:color w:val="000000"/>
                <w:sz w:val="18"/>
              </w:rPr>
              <w:t>11 549 795</w:t>
            </w:r>
          </w:p>
        </w:tc>
        <w:tc>
          <w:tcPr>
            <w:tcW w:w="902" w:type="pct"/>
            <w:tcBorders>
              <w:top w:val="nil"/>
              <w:left w:val="nil"/>
              <w:bottom w:val="nil"/>
              <w:right w:val="nil"/>
            </w:tcBorders>
            <w:shd w:val="clear" w:color="auto" w:fill="auto"/>
            <w:noWrap/>
            <w:vAlign w:val="bottom"/>
            <w:hideMark/>
          </w:tcPr>
          <w:p w14:paraId="14608753" w14:textId="77777777" w:rsidR="00EF2861" w:rsidRDefault="00EF2861">
            <w:pPr>
              <w:jc w:val="right"/>
              <w:rPr>
                <w:rFonts w:ascii="Calibri Light" w:hAnsi="Calibri Light" w:cs="Calibri Light"/>
                <w:b/>
                <w:bCs/>
                <w:color w:val="000000"/>
                <w:sz w:val="18"/>
                <w:szCs w:val="18"/>
              </w:rPr>
            </w:pPr>
            <w:r>
              <w:rPr>
                <w:rFonts w:ascii="Calibri Light" w:hAnsi="Calibri Light"/>
                <w:b/>
                <w:color w:val="000000"/>
                <w:sz w:val="18"/>
              </w:rPr>
              <w:t>8 782 789</w:t>
            </w:r>
          </w:p>
        </w:tc>
      </w:tr>
      <w:tr w:rsidR="00EF2861" w14:paraId="7B5A4F7E" w14:textId="77777777" w:rsidTr="0061181E">
        <w:trPr>
          <w:trHeight w:val="240"/>
        </w:trPr>
        <w:tc>
          <w:tcPr>
            <w:tcW w:w="2678" w:type="pct"/>
            <w:tcBorders>
              <w:top w:val="nil"/>
              <w:left w:val="nil"/>
              <w:bottom w:val="nil"/>
              <w:right w:val="nil"/>
            </w:tcBorders>
            <w:shd w:val="clear" w:color="auto" w:fill="auto"/>
            <w:noWrap/>
            <w:vAlign w:val="bottom"/>
            <w:hideMark/>
          </w:tcPr>
          <w:p w14:paraId="2ED5FB28" w14:textId="77777777" w:rsidR="00EF2861" w:rsidRDefault="00EF2861">
            <w:pPr>
              <w:jc w:val="right"/>
              <w:rPr>
                <w:rFonts w:ascii="Calibri Light" w:hAnsi="Calibri Light" w:cs="Calibri Light"/>
                <w:b/>
                <w:bCs/>
                <w:color w:val="000000"/>
                <w:sz w:val="18"/>
                <w:szCs w:val="18"/>
              </w:rPr>
            </w:pPr>
          </w:p>
        </w:tc>
        <w:tc>
          <w:tcPr>
            <w:tcW w:w="516" w:type="pct"/>
            <w:tcBorders>
              <w:top w:val="nil"/>
              <w:left w:val="nil"/>
              <w:bottom w:val="nil"/>
              <w:right w:val="nil"/>
            </w:tcBorders>
            <w:shd w:val="clear" w:color="auto" w:fill="auto"/>
            <w:noWrap/>
            <w:vAlign w:val="bottom"/>
            <w:hideMark/>
          </w:tcPr>
          <w:p w14:paraId="6210F83C" w14:textId="77777777" w:rsidR="00EF2861" w:rsidRDefault="00EF2861">
            <w:pPr>
              <w:rPr>
                <w:sz w:val="20"/>
                <w:szCs w:val="20"/>
              </w:rPr>
            </w:pPr>
          </w:p>
        </w:tc>
        <w:tc>
          <w:tcPr>
            <w:tcW w:w="903" w:type="pct"/>
            <w:tcBorders>
              <w:top w:val="nil"/>
              <w:left w:val="nil"/>
              <w:bottom w:val="nil"/>
              <w:right w:val="nil"/>
            </w:tcBorders>
            <w:shd w:val="clear" w:color="auto" w:fill="auto"/>
            <w:noWrap/>
            <w:vAlign w:val="bottom"/>
            <w:hideMark/>
          </w:tcPr>
          <w:p w14:paraId="400FF34F" w14:textId="77777777" w:rsidR="00EF2861" w:rsidRDefault="00EF2861">
            <w:pPr>
              <w:jc w:val="center"/>
              <w:rPr>
                <w:sz w:val="20"/>
                <w:szCs w:val="20"/>
              </w:rPr>
            </w:pPr>
          </w:p>
        </w:tc>
        <w:tc>
          <w:tcPr>
            <w:tcW w:w="902" w:type="pct"/>
            <w:tcBorders>
              <w:top w:val="nil"/>
              <w:left w:val="nil"/>
              <w:bottom w:val="nil"/>
              <w:right w:val="nil"/>
            </w:tcBorders>
            <w:shd w:val="clear" w:color="auto" w:fill="auto"/>
            <w:noWrap/>
            <w:vAlign w:val="bottom"/>
            <w:hideMark/>
          </w:tcPr>
          <w:p w14:paraId="3EF5EB8D" w14:textId="77777777" w:rsidR="00EF2861" w:rsidRDefault="00EF2861">
            <w:pPr>
              <w:rPr>
                <w:sz w:val="20"/>
                <w:szCs w:val="20"/>
              </w:rPr>
            </w:pPr>
          </w:p>
        </w:tc>
      </w:tr>
      <w:tr w:rsidR="00EF2861" w14:paraId="53FE8C49" w14:textId="77777777" w:rsidTr="0061181E">
        <w:trPr>
          <w:trHeight w:val="240"/>
        </w:trPr>
        <w:tc>
          <w:tcPr>
            <w:tcW w:w="2678" w:type="pct"/>
            <w:tcBorders>
              <w:top w:val="nil"/>
              <w:left w:val="nil"/>
              <w:bottom w:val="nil"/>
              <w:right w:val="nil"/>
            </w:tcBorders>
            <w:shd w:val="clear" w:color="auto" w:fill="auto"/>
            <w:noWrap/>
            <w:vAlign w:val="bottom"/>
            <w:hideMark/>
          </w:tcPr>
          <w:p w14:paraId="52A89BB8" w14:textId="77777777" w:rsidR="00EF2861" w:rsidRDefault="00EF2861">
            <w:pPr>
              <w:rPr>
                <w:rFonts w:ascii="Calibri Light" w:hAnsi="Calibri Light" w:cs="Calibri Light"/>
                <w:color w:val="000000"/>
                <w:sz w:val="18"/>
                <w:szCs w:val="18"/>
              </w:rPr>
            </w:pPr>
            <w:r>
              <w:rPr>
                <w:rFonts w:ascii="Calibri Light" w:hAnsi="Calibri Light"/>
                <w:color w:val="000000"/>
                <w:sz w:val="18"/>
              </w:rPr>
              <w:t>Autres revenus</w:t>
            </w:r>
          </w:p>
        </w:tc>
        <w:tc>
          <w:tcPr>
            <w:tcW w:w="516" w:type="pct"/>
            <w:tcBorders>
              <w:top w:val="nil"/>
              <w:left w:val="nil"/>
              <w:bottom w:val="nil"/>
              <w:right w:val="nil"/>
            </w:tcBorders>
            <w:shd w:val="clear" w:color="auto" w:fill="auto"/>
            <w:noWrap/>
            <w:vAlign w:val="bottom"/>
            <w:hideMark/>
          </w:tcPr>
          <w:p w14:paraId="296AC0EE" w14:textId="77777777" w:rsidR="00EF2861" w:rsidRDefault="00EF2861">
            <w:pPr>
              <w:jc w:val="center"/>
              <w:rPr>
                <w:rFonts w:ascii="Calibri Light" w:hAnsi="Calibri Light" w:cs="Calibri Light"/>
                <w:i/>
                <w:iCs/>
                <w:color w:val="000000"/>
                <w:sz w:val="16"/>
                <w:szCs w:val="16"/>
              </w:rPr>
            </w:pPr>
            <w:r>
              <w:rPr>
                <w:rFonts w:ascii="Calibri Light" w:hAnsi="Calibri Light"/>
                <w:i/>
                <w:color w:val="000000"/>
                <w:sz w:val="16"/>
              </w:rPr>
              <w:t>(31)</w:t>
            </w:r>
          </w:p>
        </w:tc>
        <w:tc>
          <w:tcPr>
            <w:tcW w:w="903" w:type="pct"/>
            <w:tcBorders>
              <w:top w:val="nil"/>
              <w:left w:val="nil"/>
              <w:bottom w:val="nil"/>
              <w:right w:val="nil"/>
            </w:tcBorders>
            <w:shd w:val="clear" w:color="auto" w:fill="auto"/>
            <w:noWrap/>
            <w:vAlign w:val="bottom"/>
            <w:hideMark/>
          </w:tcPr>
          <w:p w14:paraId="7F783131"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378 086</w:t>
            </w:r>
          </w:p>
        </w:tc>
        <w:tc>
          <w:tcPr>
            <w:tcW w:w="902" w:type="pct"/>
            <w:tcBorders>
              <w:top w:val="nil"/>
              <w:left w:val="nil"/>
              <w:bottom w:val="nil"/>
              <w:right w:val="nil"/>
            </w:tcBorders>
            <w:shd w:val="clear" w:color="auto" w:fill="auto"/>
            <w:noWrap/>
            <w:vAlign w:val="bottom"/>
            <w:hideMark/>
          </w:tcPr>
          <w:p w14:paraId="4104109F"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998 921</w:t>
            </w:r>
          </w:p>
        </w:tc>
      </w:tr>
      <w:tr w:rsidR="00EF2861" w14:paraId="6B2A8E3C" w14:textId="77777777" w:rsidTr="0061181E">
        <w:trPr>
          <w:trHeight w:val="240"/>
        </w:trPr>
        <w:tc>
          <w:tcPr>
            <w:tcW w:w="2678" w:type="pct"/>
            <w:tcBorders>
              <w:top w:val="nil"/>
              <w:left w:val="nil"/>
              <w:bottom w:val="nil"/>
              <w:right w:val="nil"/>
            </w:tcBorders>
            <w:shd w:val="clear" w:color="auto" w:fill="auto"/>
            <w:noWrap/>
            <w:vAlign w:val="bottom"/>
            <w:hideMark/>
          </w:tcPr>
          <w:p w14:paraId="6758B544" w14:textId="77777777" w:rsidR="00EF2861" w:rsidRDefault="00EF2861">
            <w:pPr>
              <w:rPr>
                <w:rFonts w:ascii="Calibri Light" w:hAnsi="Calibri Light" w:cs="Calibri Light"/>
                <w:i/>
                <w:iCs/>
                <w:color w:val="000000"/>
                <w:sz w:val="18"/>
                <w:szCs w:val="18"/>
              </w:rPr>
            </w:pPr>
            <w:proofErr w:type="gramStart"/>
            <w:r>
              <w:rPr>
                <w:rFonts w:ascii="Calibri Light" w:hAnsi="Calibri Light"/>
                <w:i/>
                <w:color w:val="000000"/>
                <w:sz w:val="18"/>
              </w:rPr>
              <w:t>dont</w:t>
            </w:r>
            <w:proofErr w:type="gramEnd"/>
            <w:r>
              <w:rPr>
                <w:rFonts w:ascii="Calibri Light" w:hAnsi="Calibri Light"/>
                <w:i/>
                <w:color w:val="000000"/>
                <w:sz w:val="18"/>
              </w:rPr>
              <w:t xml:space="preserve"> avec des parties liées</w:t>
            </w:r>
          </w:p>
        </w:tc>
        <w:tc>
          <w:tcPr>
            <w:tcW w:w="516" w:type="pct"/>
            <w:tcBorders>
              <w:top w:val="nil"/>
              <w:left w:val="nil"/>
              <w:bottom w:val="nil"/>
              <w:right w:val="nil"/>
            </w:tcBorders>
            <w:shd w:val="clear" w:color="auto" w:fill="auto"/>
            <w:noWrap/>
            <w:vAlign w:val="bottom"/>
            <w:hideMark/>
          </w:tcPr>
          <w:p w14:paraId="512EEF5B" w14:textId="77777777" w:rsidR="00EF2861" w:rsidRDefault="00EF2861">
            <w:pPr>
              <w:rPr>
                <w:rFonts w:ascii="Calibri Light" w:hAnsi="Calibri Light" w:cs="Calibri Light"/>
                <w:i/>
                <w:iCs/>
                <w:color w:val="000000"/>
                <w:sz w:val="18"/>
                <w:szCs w:val="18"/>
              </w:rPr>
            </w:pPr>
          </w:p>
        </w:tc>
        <w:tc>
          <w:tcPr>
            <w:tcW w:w="903" w:type="pct"/>
            <w:tcBorders>
              <w:top w:val="nil"/>
              <w:left w:val="nil"/>
              <w:bottom w:val="nil"/>
              <w:right w:val="nil"/>
            </w:tcBorders>
            <w:shd w:val="clear" w:color="000000" w:fill="FFFFFF"/>
            <w:noWrap/>
            <w:vAlign w:val="bottom"/>
            <w:hideMark/>
          </w:tcPr>
          <w:p w14:paraId="10A1675A" w14:textId="77777777" w:rsidR="00EF2861" w:rsidRDefault="00EF2861">
            <w:pPr>
              <w:jc w:val="right"/>
              <w:rPr>
                <w:rFonts w:ascii="Calibri Light" w:hAnsi="Calibri Light" w:cs="Calibri Light"/>
                <w:i/>
                <w:iCs/>
                <w:color w:val="000000"/>
                <w:sz w:val="18"/>
                <w:szCs w:val="18"/>
              </w:rPr>
            </w:pPr>
            <w:r>
              <w:rPr>
                <w:rFonts w:ascii="Calibri Light" w:hAnsi="Calibri Light"/>
                <w:i/>
                <w:color w:val="000000"/>
                <w:sz w:val="18"/>
              </w:rPr>
              <w:t>18 000</w:t>
            </w:r>
          </w:p>
        </w:tc>
        <w:tc>
          <w:tcPr>
            <w:tcW w:w="902" w:type="pct"/>
            <w:tcBorders>
              <w:top w:val="nil"/>
              <w:left w:val="nil"/>
              <w:bottom w:val="nil"/>
              <w:right w:val="nil"/>
            </w:tcBorders>
            <w:shd w:val="clear" w:color="000000" w:fill="FFFFFF"/>
            <w:noWrap/>
            <w:vAlign w:val="bottom"/>
            <w:hideMark/>
          </w:tcPr>
          <w:p w14:paraId="1B06B3C0" w14:textId="77777777" w:rsidR="00EF2861" w:rsidRDefault="00EF2861">
            <w:pPr>
              <w:rPr>
                <w:rFonts w:ascii="Calibri Light" w:hAnsi="Calibri Light" w:cs="Calibri Light"/>
                <w:i/>
                <w:iCs/>
                <w:color w:val="000000"/>
                <w:sz w:val="18"/>
                <w:szCs w:val="18"/>
              </w:rPr>
            </w:pPr>
            <w:r>
              <w:rPr>
                <w:rFonts w:ascii="Calibri Light" w:hAnsi="Calibri Light"/>
                <w:i/>
                <w:color w:val="000000"/>
                <w:sz w:val="18"/>
              </w:rPr>
              <w:t> </w:t>
            </w:r>
          </w:p>
        </w:tc>
      </w:tr>
      <w:tr w:rsidR="00B510BB" w14:paraId="3D118976" w14:textId="77777777" w:rsidTr="003F166F">
        <w:trPr>
          <w:trHeight w:val="57"/>
        </w:trPr>
        <w:tc>
          <w:tcPr>
            <w:tcW w:w="2678" w:type="pct"/>
            <w:tcBorders>
              <w:top w:val="nil"/>
              <w:left w:val="nil"/>
              <w:bottom w:val="nil"/>
              <w:right w:val="nil"/>
            </w:tcBorders>
            <w:shd w:val="clear" w:color="auto" w:fill="auto"/>
            <w:noWrap/>
            <w:vAlign w:val="bottom"/>
          </w:tcPr>
          <w:p w14:paraId="7250A8C4" w14:textId="77777777" w:rsidR="00B510BB" w:rsidRDefault="00B510BB">
            <w:pPr>
              <w:rPr>
                <w:rFonts w:ascii="Calibri Light" w:hAnsi="Calibri Light" w:cs="Calibri Light"/>
                <w:i/>
                <w:iCs/>
                <w:color w:val="000000"/>
                <w:sz w:val="18"/>
                <w:szCs w:val="18"/>
              </w:rPr>
            </w:pPr>
          </w:p>
        </w:tc>
        <w:tc>
          <w:tcPr>
            <w:tcW w:w="516" w:type="pct"/>
            <w:tcBorders>
              <w:top w:val="nil"/>
              <w:left w:val="nil"/>
              <w:bottom w:val="nil"/>
              <w:right w:val="nil"/>
            </w:tcBorders>
            <w:shd w:val="clear" w:color="auto" w:fill="auto"/>
            <w:noWrap/>
            <w:vAlign w:val="bottom"/>
          </w:tcPr>
          <w:p w14:paraId="1B674D1C" w14:textId="77777777" w:rsidR="00B510BB" w:rsidRDefault="00B510BB">
            <w:pPr>
              <w:rPr>
                <w:rFonts w:ascii="Calibri Light" w:hAnsi="Calibri Light" w:cs="Calibri Light"/>
                <w:i/>
                <w:iCs/>
                <w:color w:val="000000"/>
                <w:sz w:val="18"/>
                <w:szCs w:val="18"/>
              </w:rPr>
            </w:pPr>
          </w:p>
        </w:tc>
        <w:tc>
          <w:tcPr>
            <w:tcW w:w="903" w:type="pct"/>
            <w:tcBorders>
              <w:top w:val="nil"/>
              <w:left w:val="nil"/>
              <w:bottom w:val="nil"/>
              <w:right w:val="nil"/>
            </w:tcBorders>
            <w:shd w:val="clear" w:color="000000" w:fill="FFFFFF"/>
            <w:noWrap/>
            <w:vAlign w:val="bottom"/>
          </w:tcPr>
          <w:p w14:paraId="6505DFD8" w14:textId="77777777" w:rsidR="00B510BB" w:rsidRDefault="00B510BB">
            <w:pPr>
              <w:jc w:val="right"/>
              <w:rPr>
                <w:rFonts w:ascii="Calibri Light" w:hAnsi="Calibri Light" w:cs="Calibri Light"/>
                <w:i/>
                <w:iCs/>
                <w:color w:val="000000"/>
                <w:sz w:val="18"/>
                <w:szCs w:val="18"/>
              </w:rPr>
            </w:pPr>
          </w:p>
        </w:tc>
        <w:tc>
          <w:tcPr>
            <w:tcW w:w="902" w:type="pct"/>
            <w:tcBorders>
              <w:top w:val="nil"/>
              <w:left w:val="nil"/>
              <w:bottom w:val="nil"/>
              <w:right w:val="nil"/>
            </w:tcBorders>
            <w:shd w:val="clear" w:color="000000" w:fill="FFFFFF"/>
            <w:noWrap/>
            <w:vAlign w:val="bottom"/>
          </w:tcPr>
          <w:p w14:paraId="2D6955E9" w14:textId="77777777" w:rsidR="00B510BB" w:rsidRDefault="00B510BB">
            <w:pPr>
              <w:rPr>
                <w:rFonts w:ascii="Calibri Light" w:hAnsi="Calibri Light" w:cs="Calibri Light"/>
                <w:i/>
                <w:iCs/>
                <w:color w:val="000000"/>
                <w:sz w:val="18"/>
                <w:szCs w:val="18"/>
              </w:rPr>
            </w:pPr>
          </w:p>
        </w:tc>
      </w:tr>
      <w:tr w:rsidR="00EF2861" w14:paraId="32C4875F" w14:textId="77777777" w:rsidTr="0061181E">
        <w:trPr>
          <w:trHeight w:val="240"/>
        </w:trPr>
        <w:tc>
          <w:tcPr>
            <w:tcW w:w="2678" w:type="pct"/>
            <w:tcBorders>
              <w:top w:val="nil"/>
              <w:left w:val="nil"/>
              <w:bottom w:val="nil"/>
              <w:right w:val="nil"/>
            </w:tcBorders>
            <w:shd w:val="clear" w:color="auto" w:fill="auto"/>
            <w:noWrap/>
            <w:vAlign w:val="bottom"/>
            <w:hideMark/>
          </w:tcPr>
          <w:p w14:paraId="7016C208" w14:textId="77777777" w:rsidR="00EF2861" w:rsidRDefault="00EF2861">
            <w:pPr>
              <w:rPr>
                <w:rFonts w:ascii="Calibri Light" w:hAnsi="Calibri Light" w:cs="Calibri Light"/>
                <w:color w:val="000000"/>
                <w:sz w:val="18"/>
                <w:szCs w:val="18"/>
              </w:rPr>
            </w:pPr>
            <w:r>
              <w:rPr>
                <w:rFonts w:ascii="Calibri Light" w:hAnsi="Calibri Light"/>
                <w:color w:val="000000"/>
                <w:sz w:val="18"/>
              </w:rPr>
              <w:t>Coûts des matières premières et consommables</w:t>
            </w:r>
          </w:p>
        </w:tc>
        <w:tc>
          <w:tcPr>
            <w:tcW w:w="516" w:type="pct"/>
            <w:tcBorders>
              <w:top w:val="nil"/>
              <w:left w:val="nil"/>
              <w:bottom w:val="nil"/>
              <w:right w:val="nil"/>
            </w:tcBorders>
            <w:shd w:val="clear" w:color="auto" w:fill="auto"/>
            <w:noWrap/>
            <w:vAlign w:val="bottom"/>
            <w:hideMark/>
          </w:tcPr>
          <w:p w14:paraId="341E9595" w14:textId="77777777" w:rsidR="00EF2861" w:rsidRDefault="00EF2861">
            <w:pPr>
              <w:jc w:val="center"/>
              <w:rPr>
                <w:rFonts w:ascii="Calibri Light" w:hAnsi="Calibri Light" w:cs="Calibri Light"/>
                <w:i/>
                <w:iCs/>
                <w:color w:val="000000"/>
                <w:sz w:val="16"/>
                <w:szCs w:val="16"/>
              </w:rPr>
            </w:pPr>
            <w:r>
              <w:rPr>
                <w:rFonts w:ascii="Calibri Light" w:hAnsi="Calibri Light"/>
                <w:i/>
                <w:color w:val="000000"/>
                <w:sz w:val="16"/>
              </w:rPr>
              <w:t>(32)</w:t>
            </w:r>
          </w:p>
        </w:tc>
        <w:tc>
          <w:tcPr>
            <w:tcW w:w="903" w:type="pct"/>
            <w:tcBorders>
              <w:top w:val="nil"/>
              <w:left w:val="nil"/>
              <w:bottom w:val="nil"/>
              <w:right w:val="nil"/>
            </w:tcBorders>
            <w:shd w:val="clear" w:color="auto" w:fill="auto"/>
            <w:noWrap/>
            <w:vAlign w:val="bottom"/>
            <w:hideMark/>
          </w:tcPr>
          <w:p w14:paraId="145D4588"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(5 209 797)</w:t>
            </w:r>
          </w:p>
        </w:tc>
        <w:tc>
          <w:tcPr>
            <w:tcW w:w="902" w:type="pct"/>
            <w:tcBorders>
              <w:top w:val="nil"/>
              <w:left w:val="nil"/>
              <w:bottom w:val="nil"/>
              <w:right w:val="nil"/>
            </w:tcBorders>
            <w:shd w:val="clear" w:color="auto" w:fill="auto"/>
            <w:noWrap/>
            <w:vAlign w:val="bottom"/>
            <w:hideMark/>
          </w:tcPr>
          <w:p w14:paraId="5941220F"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(5 897 644)</w:t>
            </w:r>
          </w:p>
        </w:tc>
      </w:tr>
      <w:tr w:rsidR="00EF2861" w14:paraId="133F1371" w14:textId="77777777" w:rsidTr="0061181E">
        <w:trPr>
          <w:trHeight w:val="240"/>
        </w:trPr>
        <w:tc>
          <w:tcPr>
            <w:tcW w:w="2678" w:type="pct"/>
            <w:tcBorders>
              <w:top w:val="nil"/>
              <w:left w:val="nil"/>
              <w:bottom w:val="nil"/>
              <w:right w:val="nil"/>
            </w:tcBorders>
            <w:shd w:val="clear" w:color="auto" w:fill="auto"/>
            <w:noWrap/>
            <w:vAlign w:val="bottom"/>
            <w:hideMark/>
          </w:tcPr>
          <w:p w14:paraId="388A0CE5" w14:textId="77777777" w:rsidR="00EF2861" w:rsidRDefault="00EF2861">
            <w:pPr>
              <w:rPr>
                <w:rFonts w:ascii="Calibri Light" w:hAnsi="Calibri Light" w:cs="Calibri Light"/>
                <w:color w:val="000000"/>
                <w:sz w:val="18"/>
                <w:szCs w:val="18"/>
              </w:rPr>
            </w:pPr>
            <w:r>
              <w:rPr>
                <w:rFonts w:ascii="Calibri Light" w:hAnsi="Calibri Light"/>
                <w:color w:val="000000"/>
                <w:sz w:val="18"/>
              </w:rPr>
              <w:t>Coûts de services</w:t>
            </w:r>
          </w:p>
        </w:tc>
        <w:tc>
          <w:tcPr>
            <w:tcW w:w="516" w:type="pct"/>
            <w:tcBorders>
              <w:top w:val="nil"/>
              <w:left w:val="nil"/>
              <w:bottom w:val="nil"/>
              <w:right w:val="nil"/>
            </w:tcBorders>
            <w:shd w:val="clear" w:color="auto" w:fill="auto"/>
            <w:noWrap/>
            <w:vAlign w:val="bottom"/>
            <w:hideMark/>
          </w:tcPr>
          <w:p w14:paraId="231D8EAD" w14:textId="77777777" w:rsidR="00EF2861" w:rsidRDefault="00EF2861">
            <w:pPr>
              <w:jc w:val="center"/>
              <w:rPr>
                <w:rFonts w:ascii="Calibri Light" w:hAnsi="Calibri Light" w:cs="Calibri Light"/>
                <w:i/>
                <w:iCs/>
                <w:color w:val="000000"/>
                <w:sz w:val="16"/>
                <w:szCs w:val="16"/>
              </w:rPr>
            </w:pPr>
            <w:r>
              <w:rPr>
                <w:rFonts w:ascii="Calibri Light" w:hAnsi="Calibri Light"/>
                <w:i/>
                <w:color w:val="000000"/>
                <w:sz w:val="16"/>
              </w:rPr>
              <w:t>(33)</w:t>
            </w:r>
          </w:p>
        </w:tc>
        <w:tc>
          <w:tcPr>
            <w:tcW w:w="903" w:type="pct"/>
            <w:tcBorders>
              <w:top w:val="nil"/>
              <w:left w:val="nil"/>
              <w:bottom w:val="nil"/>
              <w:right w:val="nil"/>
            </w:tcBorders>
            <w:shd w:val="clear" w:color="auto" w:fill="auto"/>
            <w:noWrap/>
            <w:vAlign w:val="bottom"/>
            <w:hideMark/>
          </w:tcPr>
          <w:p w14:paraId="3FF74263"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(692 387)</w:t>
            </w:r>
          </w:p>
        </w:tc>
        <w:tc>
          <w:tcPr>
            <w:tcW w:w="902" w:type="pct"/>
            <w:tcBorders>
              <w:top w:val="nil"/>
              <w:left w:val="nil"/>
              <w:bottom w:val="nil"/>
              <w:right w:val="nil"/>
            </w:tcBorders>
            <w:shd w:val="clear" w:color="auto" w:fill="auto"/>
            <w:noWrap/>
            <w:vAlign w:val="bottom"/>
            <w:hideMark/>
          </w:tcPr>
          <w:p w14:paraId="0BBAAB02"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(611 843)</w:t>
            </w:r>
          </w:p>
        </w:tc>
      </w:tr>
      <w:tr w:rsidR="00EF2861" w14:paraId="563FA990" w14:textId="77777777" w:rsidTr="0061181E">
        <w:trPr>
          <w:trHeight w:val="240"/>
        </w:trPr>
        <w:tc>
          <w:tcPr>
            <w:tcW w:w="2678" w:type="pct"/>
            <w:tcBorders>
              <w:top w:val="nil"/>
              <w:left w:val="nil"/>
              <w:bottom w:val="nil"/>
              <w:right w:val="nil"/>
            </w:tcBorders>
            <w:shd w:val="clear" w:color="auto" w:fill="auto"/>
            <w:noWrap/>
            <w:vAlign w:val="bottom"/>
            <w:hideMark/>
          </w:tcPr>
          <w:p w14:paraId="00A17C14" w14:textId="77777777" w:rsidR="00EF2861" w:rsidRDefault="00EF2861">
            <w:pPr>
              <w:rPr>
                <w:rFonts w:ascii="Calibri Light" w:hAnsi="Calibri Light" w:cs="Calibri Light"/>
                <w:color w:val="000000"/>
                <w:sz w:val="18"/>
                <w:szCs w:val="18"/>
              </w:rPr>
            </w:pPr>
            <w:r>
              <w:rPr>
                <w:rFonts w:ascii="Calibri Light" w:hAnsi="Calibri Light"/>
                <w:color w:val="000000"/>
                <w:sz w:val="18"/>
              </w:rPr>
              <w:t>Charges de personnel</w:t>
            </w:r>
          </w:p>
        </w:tc>
        <w:tc>
          <w:tcPr>
            <w:tcW w:w="516" w:type="pct"/>
            <w:tcBorders>
              <w:top w:val="nil"/>
              <w:left w:val="nil"/>
              <w:bottom w:val="nil"/>
              <w:right w:val="nil"/>
            </w:tcBorders>
            <w:shd w:val="clear" w:color="auto" w:fill="auto"/>
            <w:noWrap/>
            <w:vAlign w:val="bottom"/>
            <w:hideMark/>
          </w:tcPr>
          <w:p w14:paraId="4E21BBBE" w14:textId="77777777" w:rsidR="00EF2861" w:rsidRDefault="00EF2861">
            <w:pPr>
              <w:jc w:val="center"/>
              <w:rPr>
                <w:rFonts w:ascii="Calibri Light" w:hAnsi="Calibri Light" w:cs="Calibri Light"/>
                <w:i/>
                <w:iCs/>
                <w:color w:val="000000"/>
                <w:sz w:val="16"/>
                <w:szCs w:val="16"/>
              </w:rPr>
            </w:pPr>
            <w:r>
              <w:rPr>
                <w:rFonts w:ascii="Calibri Light" w:hAnsi="Calibri Light"/>
                <w:i/>
                <w:color w:val="000000"/>
                <w:sz w:val="16"/>
              </w:rPr>
              <w:t>(34)</w:t>
            </w:r>
          </w:p>
        </w:tc>
        <w:tc>
          <w:tcPr>
            <w:tcW w:w="903" w:type="pct"/>
            <w:tcBorders>
              <w:top w:val="nil"/>
              <w:left w:val="nil"/>
              <w:bottom w:val="nil"/>
              <w:right w:val="nil"/>
            </w:tcBorders>
            <w:shd w:val="clear" w:color="auto" w:fill="auto"/>
            <w:noWrap/>
            <w:vAlign w:val="bottom"/>
            <w:hideMark/>
          </w:tcPr>
          <w:p w14:paraId="7F2C55DE"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(1 960 403)</w:t>
            </w:r>
          </w:p>
        </w:tc>
        <w:tc>
          <w:tcPr>
            <w:tcW w:w="902" w:type="pct"/>
            <w:tcBorders>
              <w:top w:val="nil"/>
              <w:left w:val="nil"/>
              <w:bottom w:val="nil"/>
              <w:right w:val="nil"/>
            </w:tcBorders>
            <w:shd w:val="clear" w:color="auto" w:fill="auto"/>
            <w:noWrap/>
            <w:vAlign w:val="bottom"/>
            <w:hideMark/>
          </w:tcPr>
          <w:p w14:paraId="62E715E4"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(1 570 671)</w:t>
            </w:r>
          </w:p>
        </w:tc>
      </w:tr>
      <w:tr w:rsidR="00EF2861" w14:paraId="005BE634" w14:textId="77777777" w:rsidTr="0061181E">
        <w:trPr>
          <w:trHeight w:val="240"/>
        </w:trPr>
        <w:tc>
          <w:tcPr>
            <w:tcW w:w="2678" w:type="pct"/>
            <w:tcBorders>
              <w:top w:val="nil"/>
              <w:left w:val="nil"/>
              <w:bottom w:val="nil"/>
              <w:right w:val="nil"/>
            </w:tcBorders>
            <w:shd w:val="clear" w:color="auto" w:fill="auto"/>
            <w:noWrap/>
            <w:vAlign w:val="bottom"/>
            <w:hideMark/>
          </w:tcPr>
          <w:p w14:paraId="24B60DD9" w14:textId="77777777" w:rsidR="00EF2861" w:rsidRDefault="00EF2861">
            <w:pPr>
              <w:rPr>
                <w:rFonts w:ascii="Calibri Light" w:hAnsi="Calibri Light" w:cs="Calibri Light"/>
                <w:color w:val="000000"/>
                <w:sz w:val="18"/>
                <w:szCs w:val="18"/>
              </w:rPr>
            </w:pPr>
            <w:r>
              <w:rPr>
                <w:rFonts w:ascii="Calibri Light" w:hAnsi="Calibri Light"/>
                <w:color w:val="000000"/>
                <w:sz w:val="18"/>
              </w:rPr>
              <w:t>Autres coûts d’exploitation</w:t>
            </w:r>
          </w:p>
        </w:tc>
        <w:tc>
          <w:tcPr>
            <w:tcW w:w="516" w:type="pct"/>
            <w:tcBorders>
              <w:top w:val="nil"/>
              <w:left w:val="nil"/>
              <w:bottom w:val="nil"/>
              <w:right w:val="nil"/>
            </w:tcBorders>
            <w:shd w:val="clear" w:color="auto" w:fill="auto"/>
            <w:noWrap/>
            <w:vAlign w:val="bottom"/>
            <w:hideMark/>
          </w:tcPr>
          <w:p w14:paraId="773E1352" w14:textId="77777777" w:rsidR="00EF2861" w:rsidRDefault="00EF2861">
            <w:pPr>
              <w:jc w:val="center"/>
              <w:rPr>
                <w:rFonts w:ascii="Calibri Light" w:hAnsi="Calibri Light" w:cs="Calibri Light"/>
                <w:i/>
                <w:iCs/>
                <w:color w:val="000000"/>
                <w:sz w:val="16"/>
                <w:szCs w:val="16"/>
              </w:rPr>
            </w:pPr>
            <w:r>
              <w:rPr>
                <w:rFonts w:ascii="Calibri Light" w:hAnsi="Calibri Light"/>
                <w:i/>
                <w:color w:val="000000"/>
                <w:sz w:val="16"/>
              </w:rPr>
              <w:t>(35)</w:t>
            </w:r>
          </w:p>
        </w:tc>
        <w:tc>
          <w:tcPr>
            <w:tcW w:w="903" w:type="pct"/>
            <w:tcBorders>
              <w:top w:val="nil"/>
              <w:left w:val="nil"/>
              <w:bottom w:val="nil"/>
              <w:right w:val="nil"/>
            </w:tcBorders>
            <w:shd w:val="clear" w:color="auto" w:fill="auto"/>
            <w:noWrap/>
            <w:vAlign w:val="bottom"/>
            <w:hideMark/>
          </w:tcPr>
          <w:p w14:paraId="23783AA9"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(109 975)</w:t>
            </w:r>
          </w:p>
        </w:tc>
        <w:tc>
          <w:tcPr>
            <w:tcW w:w="902" w:type="pct"/>
            <w:tcBorders>
              <w:top w:val="nil"/>
              <w:left w:val="nil"/>
              <w:bottom w:val="nil"/>
              <w:right w:val="nil"/>
            </w:tcBorders>
            <w:shd w:val="clear" w:color="auto" w:fill="auto"/>
            <w:noWrap/>
            <w:vAlign w:val="bottom"/>
            <w:hideMark/>
          </w:tcPr>
          <w:p w14:paraId="566F2143"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(98 568)</w:t>
            </w:r>
          </w:p>
        </w:tc>
      </w:tr>
      <w:tr w:rsidR="00EF2861" w14:paraId="0EA02255" w14:textId="77777777" w:rsidTr="0061181E">
        <w:trPr>
          <w:trHeight w:val="240"/>
        </w:trPr>
        <w:tc>
          <w:tcPr>
            <w:tcW w:w="2678" w:type="pct"/>
            <w:tcBorders>
              <w:top w:val="nil"/>
              <w:left w:val="nil"/>
              <w:bottom w:val="nil"/>
              <w:right w:val="nil"/>
            </w:tcBorders>
            <w:shd w:val="clear" w:color="auto" w:fill="auto"/>
            <w:noWrap/>
            <w:vAlign w:val="bottom"/>
            <w:hideMark/>
          </w:tcPr>
          <w:p w14:paraId="609B0AB7" w14:textId="77777777" w:rsidR="00EF2861" w:rsidRDefault="00EF2861">
            <w:pPr>
              <w:rPr>
                <w:rFonts w:ascii="Calibri Light" w:hAnsi="Calibri Light" w:cs="Calibri Light"/>
                <w:color w:val="000000"/>
                <w:sz w:val="18"/>
                <w:szCs w:val="18"/>
              </w:rPr>
            </w:pPr>
            <w:r>
              <w:rPr>
                <w:rFonts w:ascii="Calibri Light" w:hAnsi="Calibri Light"/>
                <w:color w:val="000000"/>
                <w:sz w:val="18"/>
              </w:rPr>
              <w:t xml:space="preserve">Amortissements et dépréciations </w:t>
            </w:r>
          </w:p>
        </w:tc>
        <w:tc>
          <w:tcPr>
            <w:tcW w:w="516" w:type="pct"/>
            <w:tcBorders>
              <w:top w:val="nil"/>
              <w:left w:val="nil"/>
              <w:bottom w:val="nil"/>
              <w:right w:val="nil"/>
            </w:tcBorders>
            <w:shd w:val="clear" w:color="auto" w:fill="auto"/>
            <w:noWrap/>
            <w:vAlign w:val="bottom"/>
            <w:hideMark/>
          </w:tcPr>
          <w:p w14:paraId="36F706AB" w14:textId="77777777" w:rsidR="00EF2861" w:rsidRDefault="00EF2861">
            <w:pPr>
              <w:jc w:val="center"/>
              <w:rPr>
                <w:rFonts w:ascii="Calibri Light" w:hAnsi="Calibri Light" w:cs="Calibri Light"/>
                <w:i/>
                <w:iCs/>
                <w:color w:val="000000"/>
                <w:sz w:val="16"/>
                <w:szCs w:val="16"/>
              </w:rPr>
            </w:pPr>
            <w:r>
              <w:rPr>
                <w:rFonts w:ascii="Calibri Light" w:hAnsi="Calibri Light"/>
                <w:i/>
                <w:color w:val="000000"/>
                <w:sz w:val="16"/>
              </w:rPr>
              <w:t>(36)</w:t>
            </w:r>
          </w:p>
        </w:tc>
        <w:tc>
          <w:tcPr>
            <w:tcW w:w="903" w:type="pct"/>
            <w:tcBorders>
              <w:top w:val="nil"/>
              <w:left w:val="nil"/>
              <w:bottom w:val="nil"/>
              <w:right w:val="nil"/>
            </w:tcBorders>
            <w:shd w:val="clear" w:color="auto" w:fill="auto"/>
            <w:noWrap/>
            <w:vAlign w:val="bottom"/>
            <w:hideMark/>
          </w:tcPr>
          <w:p w14:paraId="3DC79D78"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(916 378)</w:t>
            </w:r>
          </w:p>
        </w:tc>
        <w:tc>
          <w:tcPr>
            <w:tcW w:w="902" w:type="pct"/>
            <w:tcBorders>
              <w:top w:val="nil"/>
              <w:left w:val="nil"/>
              <w:bottom w:val="nil"/>
              <w:right w:val="nil"/>
            </w:tcBorders>
            <w:shd w:val="clear" w:color="auto" w:fill="auto"/>
            <w:noWrap/>
            <w:vAlign w:val="bottom"/>
            <w:hideMark/>
          </w:tcPr>
          <w:p w14:paraId="2DF0EC25"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(705 669)</w:t>
            </w:r>
          </w:p>
        </w:tc>
      </w:tr>
      <w:tr w:rsidR="00EF2861" w14:paraId="3B772774" w14:textId="77777777" w:rsidTr="003F166F">
        <w:trPr>
          <w:trHeight w:val="240"/>
        </w:trPr>
        <w:tc>
          <w:tcPr>
            <w:tcW w:w="2678" w:type="pct"/>
            <w:tcBorders>
              <w:top w:val="nil"/>
              <w:left w:val="nil"/>
              <w:bottom w:val="nil"/>
              <w:right w:val="nil"/>
            </w:tcBorders>
            <w:shd w:val="clear" w:color="auto" w:fill="auto"/>
            <w:noWrap/>
            <w:vAlign w:val="bottom"/>
            <w:hideMark/>
          </w:tcPr>
          <w:p w14:paraId="1A0B4A71" w14:textId="77777777" w:rsidR="00EF2861" w:rsidRDefault="00EF2861">
            <w:pPr>
              <w:rPr>
                <w:rFonts w:ascii="Calibri Light" w:hAnsi="Calibri Light" w:cs="Calibri Light"/>
                <w:b/>
                <w:bCs/>
                <w:color w:val="000000"/>
                <w:sz w:val="18"/>
                <w:szCs w:val="18"/>
              </w:rPr>
            </w:pPr>
            <w:r>
              <w:rPr>
                <w:rFonts w:ascii="Calibri Light" w:hAnsi="Calibri Light"/>
                <w:b/>
                <w:color w:val="000000"/>
                <w:sz w:val="18"/>
              </w:rPr>
              <w:t>RÉSULTAT D’EXPLOITATION</w:t>
            </w:r>
          </w:p>
        </w:tc>
        <w:tc>
          <w:tcPr>
            <w:tcW w:w="516" w:type="pct"/>
            <w:tcBorders>
              <w:top w:val="nil"/>
              <w:left w:val="nil"/>
              <w:bottom w:val="nil"/>
              <w:right w:val="nil"/>
            </w:tcBorders>
            <w:shd w:val="clear" w:color="auto" w:fill="auto"/>
            <w:noWrap/>
            <w:vAlign w:val="bottom"/>
            <w:hideMark/>
          </w:tcPr>
          <w:p w14:paraId="3E33953C" w14:textId="77777777" w:rsidR="00EF2861" w:rsidRDefault="00EF2861">
            <w:pPr>
              <w:rPr>
                <w:rFonts w:ascii="Calibri Light" w:hAnsi="Calibri Light" w:cs="Calibri Light"/>
                <w:b/>
                <w:bCs/>
                <w:color w:val="000000"/>
                <w:sz w:val="18"/>
                <w:szCs w:val="18"/>
              </w:rPr>
            </w:pPr>
          </w:p>
        </w:tc>
        <w:tc>
          <w:tcPr>
            <w:tcW w:w="903" w:type="pct"/>
            <w:tcBorders>
              <w:top w:val="single" w:sz="4" w:space="0" w:color="auto"/>
              <w:left w:val="nil"/>
              <w:right w:val="nil"/>
            </w:tcBorders>
            <w:shd w:val="clear" w:color="auto" w:fill="auto"/>
            <w:noWrap/>
            <w:vAlign w:val="bottom"/>
            <w:hideMark/>
          </w:tcPr>
          <w:p w14:paraId="5BF103E0" w14:textId="77777777" w:rsidR="00EF2861" w:rsidRDefault="00EF2861">
            <w:pPr>
              <w:jc w:val="right"/>
              <w:rPr>
                <w:rFonts w:ascii="Calibri Light" w:hAnsi="Calibri Light" w:cs="Calibri Light"/>
                <w:b/>
                <w:bCs/>
                <w:color w:val="000000"/>
                <w:sz w:val="18"/>
                <w:szCs w:val="18"/>
              </w:rPr>
            </w:pPr>
            <w:r>
              <w:rPr>
                <w:rFonts w:ascii="Calibri Light" w:hAnsi="Calibri Light"/>
                <w:b/>
                <w:color w:val="000000"/>
                <w:sz w:val="18"/>
              </w:rPr>
              <w:t>3 038 942</w:t>
            </w:r>
          </w:p>
        </w:tc>
        <w:tc>
          <w:tcPr>
            <w:tcW w:w="902" w:type="pct"/>
            <w:tcBorders>
              <w:top w:val="single" w:sz="4" w:space="0" w:color="auto"/>
              <w:left w:val="nil"/>
              <w:right w:val="nil"/>
            </w:tcBorders>
            <w:shd w:val="clear" w:color="auto" w:fill="auto"/>
            <w:noWrap/>
            <w:vAlign w:val="bottom"/>
            <w:hideMark/>
          </w:tcPr>
          <w:p w14:paraId="482E837D" w14:textId="77777777" w:rsidR="00EF2861" w:rsidRDefault="00EF2861">
            <w:pPr>
              <w:jc w:val="right"/>
              <w:rPr>
                <w:rFonts w:ascii="Calibri Light" w:hAnsi="Calibri Light" w:cs="Calibri Light"/>
                <w:b/>
                <w:bCs/>
                <w:color w:val="000000"/>
                <w:sz w:val="18"/>
                <w:szCs w:val="18"/>
              </w:rPr>
            </w:pPr>
            <w:r>
              <w:rPr>
                <w:rFonts w:ascii="Calibri Light" w:hAnsi="Calibri Light"/>
                <w:b/>
                <w:color w:val="000000"/>
                <w:sz w:val="18"/>
              </w:rPr>
              <w:t>897 315</w:t>
            </w:r>
          </w:p>
        </w:tc>
      </w:tr>
      <w:tr w:rsidR="00B510BB" w14:paraId="70A67B8C" w14:textId="77777777" w:rsidTr="003F166F">
        <w:trPr>
          <w:trHeight w:val="240"/>
        </w:trPr>
        <w:tc>
          <w:tcPr>
            <w:tcW w:w="2678" w:type="pct"/>
            <w:tcBorders>
              <w:top w:val="nil"/>
              <w:left w:val="nil"/>
              <w:bottom w:val="nil"/>
              <w:right w:val="nil"/>
            </w:tcBorders>
            <w:shd w:val="clear" w:color="auto" w:fill="auto"/>
            <w:noWrap/>
            <w:vAlign w:val="bottom"/>
          </w:tcPr>
          <w:p w14:paraId="59EEECE5" w14:textId="77777777" w:rsidR="00B510BB" w:rsidRDefault="00B510BB">
            <w:pPr>
              <w:rPr>
                <w:rFonts w:ascii="Calibri Light" w:hAnsi="Calibri Light" w:cs="Calibri Light"/>
                <w:b/>
                <w:bCs/>
                <w:color w:val="000000"/>
                <w:sz w:val="18"/>
                <w:szCs w:val="18"/>
              </w:rPr>
            </w:pPr>
          </w:p>
        </w:tc>
        <w:tc>
          <w:tcPr>
            <w:tcW w:w="516" w:type="pct"/>
            <w:tcBorders>
              <w:top w:val="nil"/>
              <w:left w:val="nil"/>
              <w:bottom w:val="nil"/>
              <w:right w:val="nil"/>
            </w:tcBorders>
            <w:shd w:val="clear" w:color="auto" w:fill="auto"/>
            <w:noWrap/>
            <w:vAlign w:val="bottom"/>
          </w:tcPr>
          <w:p w14:paraId="3E02F1AC" w14:textId="77777777" w:rsidR="00B510BB" w:rsidRDefault="00B510BB">
            <w:pPr>
              <w:rPr>
                <w:rFonts w:ascii="Calibri Light" w:hAnsi="Calibri Light" w:cs="Calibri Light"/>
                <w:b/>
                <w:bCs/>
                <w:color w:val="000000"/>
                <w:sz w:val="18"/>
                <w:szCs w:val="18"/>
              </w:rPr>
            </w:pPr>
          </w:p>
        </w:tc>
        <w:tc>
          <w:tcPr>
            <w:tcW w:w="903" w:type="pct"/>
            <w:tcBorders>
              <w:left w:val="nil"/>
              <w:bottom w:val="nil"/>
              <w:right w:val="nil"/>
            </w:tcBorders>
            <w:shd w:val="clear" w:color="auto" w:fill="auto"/>
            <w:noWrap/>
            <w:vAlign w:val="bottom"/>
          </w:tcPr>
          <w:p w14:paraId="11FE1D38" w14:textId="77777777" w:rsidR="00B510BB" w:rsidRDefault="00B510BB">
            <w:pPr>
              <w:jc w:val="right"/>
              <w:rPr>
                <w:rFonts w:ascii="Calibri Light" w:hAnsi="Calibri Light" w:cs="Calibri Light"/>
                <w:b/>
                <w:bCs/>
                <w:color w:val="000000"/>
                <w:sz w:val="18"/>
                <w:szCs w:val="18"/>
              </w:rPr>
            </w:pPr>
          </w:p>
        </w:tc>
        <w:tc>
          <w:tcPr>
            <w:tcW w:w="902" w:type="pct"/>
            <w:tcBorders>
              <w:left w:val="nil"/>
              <w:bottom w:val="nil"/>
              <w:right w:val="nil"/>
            </w:tcBorders>
            <w:shd w:val="clear" w:color="auto" w:fill="auto"/>
            <w:noWrap/>
            <w:vAlign w:val="bottom"/>
          </w:tcPr>
          <w:p w14:paraId="5CB396A1" w14:textId="77777777" w:rsidR="00B510BB" w:rsidRDefault="00B510BB">
            <w:pPr>
              <w:jc w:val="right"/>
              <w:rPr>
                <w:rFonts w:ascii="Calibri Light" w:hAnsi="Calibri Light" w:cs="Calibri Light"/>
                <w:b/>
                <w:bCs/>
                <w:color w:val="000000"/>
                <w:sz w:val="18"/>
                <w:szCs w:val="18"/>
              </w:rPr>
            </w:pPr>
          </w:p>
        </w:tc>
      </w:tr>
      <w:tr w:rsidR="00EF2861" w14:paraId="291E323F" w14:textId="77777777" w:rsidTr="0061181E">
        <w:trPr>
          <w:trHeight w:val="240"/>
        </w:trPr>
        <w:tc>
          <w:tcPr>
            <w:tcW w:w="2678" w:type="pct"/>
            <w:tcBorders>
              <w:top w:val="nil"/>
              <w:left w:val="nil"/>
              <w:bottom w:val="nil"/>
              <w:right w:val="nil"/>
            </w:tcBorders>
            <w:shd w:val="clear" w:color="auto" w:fill="auto"/>
            <w:noWrap/>
            <w:vAlign w:val="bottom"/>
            <w:hideMark/>
          </w:tcPr>
          <w:p w14:paraId="65316D32" w14:textId="77777777" w:rsidR="00EF2861" w:rsidRDefault="00EF2861">
            <w:pPr>
              <w:rPr>
                <w:rFonts w:ascii="Calibri Light" w:hAnsi="Calibri Light" w:cs="Calibri Light"/>
                <w:color w:val="000000"/>
                <w:sz w:val="18"/>
                <w:szCs w:val="18"/>
              </w:rPr>
            </w:pPr>
            <w:r>
              <w:rPr>
                <w:rFonts w:ascii="Calibri Light" w:hAnsi="Calibri Light"/>
                <w:color w:val="000000"/>
                <w:sz w:val="18"/>
              </w:rPr>
              <w:t>Charges financières</w:t>
            </w:r>
          </w:p>
        </w:tc>
        <w:tc>
          <w:tcPr>
            <w:tcW w:w="516" w:type="pct"/>
            <w:tcBorders>
              <w:top w:val="nil"/>
              <w:left w:val="nil"/>
              <w:bottom w:val="nil"/>
              <w:right w:val="nil"/>
            </w:tcBorders>
            <w:shd w:val="clear" w:color="auto" w:fill="auto"/>
            <w:noWrap/>
            <w:vAlign w:val="bottom"/>
            <w:hideMark/>
          </w:tcPr>
          <w:p w14:paraId="3437121F" w14:textId="77777777" w:rsidR="00EF2861" w:rsidRDefault="00EF2861">
            <w:pPr>
              <w:jc w:val="center"/>
              <w:rPr>
                <w:rFonts w:ascii="Calibri Light" w:hAnsi="Calibri Light" w:cs="Calibri Light"/>
                <w:i/>
                <w:iCs/>
                <w:color w:val="000000"/>
                <w:sz w:val="16"/>
                <w:szCs w:val="16"/>
              </w:rPr>
            </w:pPr>
            <w:r>
              <w:rPr>
                <w:rFonts w:ascii="Calibri Light" w:hAnsi="Calibri Light"/>
                <w:i/>
                <w:color w:val="000000"/>
                <w:sz w:val="16"/>
              </w:rPr>
              <w:t>(37)</w:t>
            </w:r>
          </w:p>
        </w:tc>
        <w:tc>
          <w:tcPr>
            <w:tcW w:w="903" w:type="pct"/>
            <w:tcBorders>
              <w:top w:val="nil"/>
              <w:left w:val="nil"/>
              <w:bottom w:val="nil"/>
              <w:right w:val="nil"/>
            </w:tcBorders>
            <w:shd w:val="clear" w:color="auto" w:fill="auto"/>
            <w:noWrap/>
            <w:vAlign w:val="bottom"/>
            <w:hideMark/>
          </w:tcPr>
          <w:p w14:paraId="3FBF0BE0"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(246 184)</w:t>
            </w:r>
          </w:p>
        </w:tc>
        <w:tc>
          <w:tcPr>
            <w:tcW w:w="902" w:type="pct"/>
            <w:tcBorders>
              <w:top w:val="nil"/>
              <w:left w:val="nil"/>
              <w:bottom w:val="nil"/>
              <w:right w:val="nil"/>
            </w:tcBorders>
            <w:shd w:val="clear" w:color="auto" w:fill="auto"/>
            <w:noWrap/>
            <w:vAlign w:val="bottom"/>
            <w:hideMark/>
          </w:tcPr>
          <w:p w14:paraId="1F375756"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(181 558)</w:t>
            </w:r>
          </w:p>
        </w:tc>
      </w:tr>
      <w:tr w:rsidR="00EF2861" w14:paraId="18AEF0D9" w14:textId="77777777" w:rsidTr="0061181E">
        <w:trPr>
          <w:trHeight w:val="240"/>
        </w:trPr>
        <w:tc>
          <w:tcPr>
            <w:tcW w:w="2678" w:type="pct"/>
            <w:tcBorders>
              <w:top w:val="nil"/>
              <w:left w:val="nil"/>
              <w:bottom w:val="nil"/>
              <w:right w:val="nil"/>
            </w:tcBorders>
            <w:shd w:val="clear" w:color="auto" w:fill="auto"/>
            <w:noWrap/>
            <w:vAlign w:val="bottom"/>
            <w:hideMark/>
          </w:tcPr>
          <w:p w14:paraId="067A509D" w14:textId="77777777" w:rsidR="00EF2861" w:rsidRDefault="00EF2861">
            <w:pPr>
              <w:rPr>
                <w:rFonts w:ascii="Calibri Light" w:hAnsi="Calibri Light" w:cs="Calibri Light"/>
                <w:color w:val="000000"/>
                <w:sz w:val="18"/>
                <w:szCs w:val="18"/>
              </w:rPr>
            </w:pPr>
            <w:r>
              <w:rPr>
                <w:rFonts w:ascii="Calibri Light" w:hAnsi="Calibri Light"/>
                <w:color w:val="000000"/>
                <w:sz w:val="18"/>
              </w:rPr>
              <w:t>Produits financiers</w:t>
            </w:r>
          </w:p>
        </w:tc>
        <w:tc>
          <w:tcPr>
            <w:tcW w:w="516" w:type="pct"/>
            <w:tcBorders>
              <w:top w:val="nil"/>
              <w:left w:val="nil"/>
              <w:bottom w:val="nil"/>
              <w:right w:val="nil"/>
            </w:tcBorders>
            <w:shd w:val="clear" w:color="auto" w:fill="auto"/>
            <w:noWrap/>
            <w:vAlign w:val="bottom"/>
            <w:hideMark/>
          </w:tcPr>
          <w:p w14:paraId="1D735394" w14:textId="77777777" w:rsidR="00EF2861" w:rsidRDefault="00EF2861">
            <w:pPr>
              <w:jc w:val="center"/>
              <w:rPr>
                <w:rFonts w:ascii="Calibri Light" w:hAnsi="Calibri Light" w:cs="Calibri Light"/>
                <w:i/>
                <w:iCs/>
                <w:color w:val="000000"/>
                <w:sz w:val="16"/>
                <w:szCs w:val="16"/>
              </w:rPr>
            </w:pPr>
            <w:r>
              <w:rPr>
                <w:rFonts w:ascii="Calibri Light" w:hAnsi="Calibri Light"/>
                <w:i/>
                <w:color w:val="000000"/>
                <w:sz w:val="16"/>
              </w:rPr>
              <w:t>(38)</w:t>
            </w:r>
          </w:p>
        </w:tc>
        <w:tc>
          <w:tcPr>
            <w:tcW w:w="903" w:type="pct"/>
            <w:tcBorders>
              <w:top w:val="nil"/>
              <w:left w:val="nil"/>
              <w:bottom w:val="single" w:sz="4" w:space="0" w:color="auto"/>
              <w:right w:val="nil"/>
            </w:tcBorders>
            <w:shd w:val="clear" w:color="auto" w:fill="auto"/>
            <w:noWrap/>
            <w:vAlign w:val="bottom"/>
            <w:hideMark/>
          </w:tcPr>
          <w:p w14:paraId="6C5A259C"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14 179</w:t>
            </w:r>
          </w:p>
        </w:tc>
        <w:tc>
          <w:tcPr>
            <w:tcW w:w="902" w:type="pct"/>
            <w:tcBorders>
              <w:top w:val="nil"/>
              <w:left w:val="nil"/>
              <w:bottom w:val="single" w:sz="4" w:space="0" w:color="auto"/>
              <w:right w:val="nil"/>
            </w:tcBorders>
            <w:shd w:val="clear" w:color="auto" w:fill="auto"/>
            <w:noWrap/>
            <w:vAlign w:val="bottom"/>
            <w:hideMark/>
          </w:tcPr>
          <w:p w14:paraId="5961D180"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32 798</w:t>
            </w:r>
          </w:p>
        </w:tc>
      </w:tr>
      <w:tr w:rsidR="00EF2861" w14:paraId="3BE6A427" w14:textId="77777777" w:rsidTr="0061181E">
        <w:trPr>
          <w:trHeight w:val="240"/>
        </w:trPr>
        <w:tc>
          <w:tcPr>
            <w:tcW w:w="2678" w:type="pct"/>
            <w:tcBorders>
              <w:top w:val="nil"/>
              <w:left w:val="nil"/>
              <w:bottom w:val="nil"/>
              <w:right w:val="nil"/>
            </w:tcBorders>
            <w:shd w:val="clear" w:color="auto" w:fill="auto"/>
            <w:noWrap/>
            <w:vAlign w:val="bottom"/>
            <w:hideMark/>
          </w:tcPr>
          <w:p w14:paraId="2D95A47A" w14:textId="77777777" w:rsidR="00EF2861" w:rsidRDefault="00EF2861">
            <w:pPr>
              <w:rPr>
                <w:rFonts w:ascii="Calibri Light" w:hAnsi="Calibri Light" w:cs="Calibri Light"/>
                <w:b/>
                <w:bCs/>
                <w:color w:val="000000"/>
                <w:sz w:val="18"/>
                <w:szCs w:val="18"/>
              </w:rPr>
            </w:pPr>
            <w:r>
              <w:rPr>
                <w:rFonts w:ascii="Calibri Light" w:hAnsi="Calibri Light"/>
                <w:b/>
                <w:color w:val="000000"/>
                <w:sz w:val="18"/>
              </w:rPr>
              <w:t>RÉSULTAT AVANT IMPÔT DES ACTIVITÉS D'EXPLOITATION</w:t>
            </w:r>
          </w:p>
        </w:tc>
        <w:tc>
          <w:tcPr>
            <w:tcW w:w="516" w:type="pct"/>
            <w:tcBorders>
              <w:top w:val="nil"/>
              <w:left w:val="nil"/>
              <w:bottom w:val="nil"/>
              <w:right w:val="nil"/>
            </w:tcBorders>
            <w:shd w:val="clear" w:color="auto" w:fill="auto"/>
            <w:noWrap/>
            <w:vAlign w:val="bottom"/>
            <w:hideMark/>
          </w:tcPr>
          <w:p w14:paraId="60D39F28" w14:textId="77777777" w:rsidR="00EF2861" w:rsidRDefault="00EF2861">
            <w:pPr>
              <w:rPr>
                <w:rFonts w:ascii="Calibri Light" w:hAnsi="Calibri Light" w:cs="Calibri Light"/>
                <w:b/>
                <w:bCs/>
                <w:color w:val="000000"/>
                <w:sz w:val="18"/>
                <w:szCs w:val="18"/>
              </w:rPr>
            </w:pPr>
          </w:p>
        </w:tc>
        <w:tc>
          <w:tcPr>
            <w:tcW w:w="903" w:type="pct"/>
            <w:tcBorders>
              <w:top w:val="nil"/>
              <w:left w:val="nil"/>
              <w:bottom w:val="nil"/>
              <w:right w:val="nil"/>
            </w:tcBorders>
            <w:shd w:val="clear" w:color="auto" w:fill="auto"/>
            <w:noWrap/>
            <w:vAlign w:val="bottom"/>
            <w:hideMark/>
          </w:tcPr>
          <w:p w14:paraId="318D9C45" w14:textId="77777777" w:rsidR="00EF2861" w:rsidRDefault="00EF2861">
            <w:pPr>
              <w:jc w:val="right"/>
              <w:rPr>
                <w:rFonts w:ascii="Calibri Light" w:hAnsi="Calibri Light" w:cs="Calibri Light"/>
                <w:b/>
                <w:bCs/>
                <w:color w:val="000000"/>
                <w:sz w:val="18"/>
                <w:szCs w:val="18"/>
              </w:rPr>
            </w:pPr>
            <w:r>
              <w:rPr>
                <w:rFonts w:ascii="Calibri Light" w:hAnsi="Calibri Light"/>
                <w:b/>
                <w:color w:val="000000"/>
                <w:sz w:val="18"/>
              </w:rPr>
              <w:t>2 806 937</w:t>
            </w:r>
          </w:p>
        </w:tc>
        <w:tc>
          <w:tcPr>
            <w:tcW w:w="902" w:type="pct"/>
            <w:tcBorders>
              <w:top w:val="nil"/>
              <w:left w:val="nil"/>
              <w:bottom w:val="nil"/>
              <w:right w:val="nil"/>
            </w:tcBorders>
            <w:shd w:val="clear" w:color="auto" w:fill="auto"/>
            <w:noWrap/>
            <w:vAlign w:val="bottom"/>
            <w:hideMark/>
          </w:tcPr>
          <w:p w14:paraId="20B0DBA2" w14:textId="77777777" w:rsidR="00EF2861" w:rsidRDefault="00EF2861">
            <w:pPr>
              <w:jc w:val="right"/>
              <w:rPr>
                <w:rFonts w:ascii="Calibri Light" w:hAnsi="Calibri Light" w:cs="Calibri Light"/>
                <w:b/>
                <w:bCs/>
                <w:color w:val="000000"/>
                <w:sz w:val="18"/>
                <w:szCs w:val="18"/>
              </w:rPr>
            </w:pPr>
            <w:r>
              <w:rPr>
                <w:rFonts w:ascii="Calibri Light" w:hAnsi="Calibri Light"/>
                <w:b/>
                <w:color w:val="000000"/>
                <w:sz w:val="18"/>
              </w:rPr>
              <w:t>748 555</w:t>
            </w:r>
          </w:p>
        </w:tc>
      </w:tr>
      <w:tr w:rsidR="00EF2861" w14:paraId="08BC5848" w14:textId="77777777" w:rsidTr="0061181E">
        <w:trPr>
          <w:trHeight w:val="240"/>
        </w:trPr>
        <w:tc>
          <w:tcPr>
            <w:tcW w:w="2678" w:type="pct"/>
            <w:tcBorders>
              <w:top w:val="nil"/>
              <w:left w:val="nil"/>
              <w:bottom w:val="nil"/>
              <w:right w:val="nil"/>
            </w:tcBorders>
            <w:shd w:val="clear" w:color="auto" w:fill="auto"/>
            <w:noWrap/>
            <w:vAlign w:val="bottom"/>
            <w:hideMark/>
          </w:tcPr>
          <w:p w14:paraId="1A343EE4" w14:textId="77777777" w:rsidR="00EF2861" w:rsidRDefault="00EF2861">
            <w:pPr>
              <w:jc w:val="right"/>
              <w:rPr>
                <w:rFonts w:ascii="Calibri Light" w:hAnsi="Calibri Light" w:cs="Calibri Light"/>
                <w:b/>
                <w:bCs/>
                <w:color w:val="000000"/>
                <w:sz w:val="18"/>
                <w:szCs w:val="18"/>
              </w:rPr>
            </w:pPr>
          </w:p>
        </w:tc>
        <w:tc>
          <w:tcPr>
            <w:tcW w:w="516" w:type="pct"/>
            <w:tcBorders>
              <w:top w:val="nil"/>
              <w:left w:val="nil"/>
              <w:bottom w:val="nil"/>
              <w:right w:val="nil"/>
            </w:tcBorders>
            <w:shd w:val="clear" w:color="auto" w:fill="auto"/>
            <w:noWrap/>
            <w:vAlign w:val="bottom"/>
            <w:hideMark/>
          </w:tcPr>
          <w:p w14:paraId="615D78AF" w14:textId="77777777" w:rsidR="00EF2861" w:rsidRDefault="00EF2861">
            <w:pPr>
              <w:rPr>
                <w:sz w:val="20"/>
                <w:szCs w:val="20"/>
              </w:rPr>
            </w:pPr>
          </w:p>
        </w:tc>
        <w:tc>
          <w:tcPr>
            <w:tcW w:w="903" w:type="pct"/>
            <w:tcBorders>
              <w:top w:val="nil"/>
              <w:left w:val="nil"/>
              <w:bottom w:val="nil"/>
              <w:right w:val="nil"/>
            </w:tcBorders>
            <w:shd w:val="clear" w:color="auto" w:fill="auto"/>
            <w:noWrap/>
            <w:vAlign w:val="bottom"/>
            <w:hideMark/>
          </w:tcPr>
          <w:p w14:paraId="59EBB2D4" w14:textId="77777777" w:rsidR="00EF2861" w:rsidRDefault="00EF2861">
            <w:pPr>
              <w:jc w:val="center"/>
              <w:rPr>
                <w:sz w:val="20"/>
                <w:szCs w:val="20"/>
              </w:rPr>
            </w:pPr>
          </w:p>
        </w:tc>
        <w:tc>
          <w:tcPr>
            <w:tcW w:w="902" w:type="pct"/>
            <w:tcBorders>
              <w:top w:val="nil"/>
              <w:left w:val="nil"/>
              <w:bottom w:val="nil"/>
              <w:right w:val="nil"/>
            </w:tcBorders>
            <w:shd w:val="clear" w:color="auto" w:fill="auto"/>
            <w:noWrap/>
            <w:vAlign w:val="bottom"/>
            <w:hideMark/>
          </w:tcPr>
          <w:p w14:paraId="42386660" w14:textId="77777777" w:rsidR="00EF2861" w:rsidRDefault="00EF2861">
            <w:pPr>
              <w:rPr>
                <w:sz w:val="20"/>
                <w:szCs w:val="20"/>
              </w:rPr>
            </w:pPr>
          </w:p>
        </w:tc>
      </w:tr>
      <w:tr w:rsidR="00EF2861" w14:paraId="2A3DB25C" w14:textId="77777777" w:rsidTr="0061181E">
        <w:trPr>
          <w:trHeight w:val="240"/>
        </w:trPr>
        <w:tc>
          <w:tcPr>
            <w:tcW w:w="2678" w:type="pct"/>
            <w:tcBorders>
              <w:top w:val="nil"/>
              <w:left w:val="nil"/>
              <w:bottom w:val="nil"/>
              <w:right w:val="nil"/>
            </w:tcBorders>
            <w:shd w:val="clear" w:color="auto" w:fill="auto"/>
            <w:noWrap/>
            <w:vAlign w:val="bottom"/>
            <w:hideMark/>
          </w:tcPr>
          <w:p w14:paraId="3C9368BF" w14:textId="77777777" w:rsidR="00EF2861" w:rsidRDefault="00EF2861">
            <w:pPr>
              <w:rPr>
                <w:rFonts w:ascii="Calibri Light" w:hAnsi="Calibri Light" w:cs="Calibri Light"/>
                <w:sz w:val="18"/>
                <w:szCs w:val="18"/>
              </w:rPr>
            </w:pPr>
            <w:r>
              <w:rPr>
                <w:rFonts w:ascii="Calibri Light" w:hAnsi="Calibri Light"/>
                <w:sz w:val="18"/>
              </w:rPr>
              <w:t>Impôts sur le revenu</w:t>
            </w:r>
          </w:p>
        </w:tc>
        <w:tc>
          <w:tcPr>
            <w:tcW w:w="516" w:type="pct"/>
            <w:tcBorders>
              <w:top w:val="nil"/>
              <w:left w:val="nil"/>
              <w:bottom w:val="nil"/>
              <w:right w:val="nil"/>
            </w:tcBorders>
            <w:shd w:val="clear" w:color="auto" w:fill="auto"/>
            <w:noWrap/>
            <w:vAlign w:val="bottom"/>
            <w:hideMark/>
          </w:tcPr>
          <w:p w14:paraId="7E262FC4" w14:textId="77777777" w:rsidR="00EF2861" w:rsidRDefault="00EF2861">
            <w:pPr>
              <w:jc w:val="center"/>
              <w:rPr>
                <w:rFonts w:ascii="Calibri Light" w:hAnsi="Calibri Light" w:cs="Calibri Light"/>
                <w:i/>
                <w:iCs/>
                <w:color w:val="000000"/>
                <w:sz w:val="16"/>
                <w:szCs w:val="16"/>
              </w:rPr>
            </w:pPr>
            <w:r>
              <w:rPr>
                <w:rFonts w:ascii="Calibri Light" w:hAnsi="Calibri Light"/>
                <w:i/>
                <w:color w:val="000000"/>
                <w:sz w:val="16"/>
              </w:rPr>
              <w:t>(39)</w:t>
            </w:r>
          </w:p>
        </w:tc>
        <w:tc>
          <w:tcPr>
            <w:tcW w:w="903" w:type="pct"/>
            <w:tcBorders>
              <w:top w:val="nil"/>
              <w:left w:val="nil"/>
              <w:bottom w:val="nil"/>
              <w:right w:val="nil"/>
            </w:tcBorders>
            <w:shd w:val="clear" w:color="auto" w:fill="auto"/>
            <w:noWrap/>
            <w:vAlign w:val="bottom"/>
            <w:hideMark/>
          </w:tcPr>
          <w:p w14:paraId="1A035DE1"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(678 267)</w:t>
            </w:r>
          </w:p>
        </w:tc>
        <w:tc>
          <w:tcPr>
            <w:tcW w:w="902" w:type="pct"/>
            <w:tcBorders>
              <w:top w:val="nil"/>
              <w:left w:val="nil"/>
              <w:bottom w:val="nil"/>
              <w:right w:val="nil"/>
            </w:tcBorders>
            <w:shd w:val="clear" w:color="auto" w:fill="auto"/>
            <w:noWrap/>
            <w:vAlign w:val="bottom"/>
            <w:hideMark/>
          </w:tcPr>
          <w:p w14:paraId="0E3534F7" w14:textId="77777777" w:rsidR="00EF2861" w:rsidRDefault="00EF2861">
            <w:pPr>
              <w:jc w:val="right"/>
              <w:rPr>
                <w:rFonts w:ascii="Calibri Light" w:hAnsi="Calibri Light" w:cs="Calibri Light"/>
                <w:color w:val="000000"/>
                <w:sz w:val="18"/>
                <w:szCs w:val="18"/>
              </w:rPr>
            </w:pPr>
            <w:r>
              <w:rPr>
                <w:rFonts w:ascii="Calibri Light" w:hAnsi="Calibri Light"/>
                <w:color w:val="000000"/>
                <w:sz w:val="18"/>
              </w:rPr>
              <w:t>(132 868)</w:t>
            </w:r>
          </w:p>
        </w:tc>
      </w:tr>
      <w:tr w:rsidR="00EF2861" w14:paraId="0CD73309" w14:textId="77777777" w:rsidTr="0061181E">
        <w:trPr>
          <w:trHeight w:val="252"/>
        </w:trPr>
        <w:tc>
          <w:tcPr>
            <w:tcW w:w="2678" w:type="pct"/>
            <w:tcBorders>
              <w:top w:val="nil"/>
              <w:left w:val="nil"/>
              <w:bottom w:val="nil"/>
              <w:right w:val="nil"/>
            </w:tcBorders>
            <w:shd w:val="clear" w:color="auto" w:fill="auto"/>
            <w:noWrap/>
            <w:vAlign w:val="bottom"/>
            <w:hideMark/>
          </w:tcPr>
          <w:p w14:paraId="1BF049F7" w14:textId="77777777" w:rsidR="00EF2861" w:rsidRDefault="00EF2861">
            <w:pPr>
              <w:rPr>
                <w:rFonts w:ascii="Calibri Light" w:hAnsi="Calibri Light" w:cs="Calibri Light"/>
                <w:b/>
                <w:bCs/>
                <w:sz w:val="18"/>
                <w:szCs w:val="18"/>
              </w:rPr>
            </w:pPr>
            <w:r>
              <w:rPr>
                <w:rFonts w:ascii="Calibri Light" w:hAnsi="Calibri Light"/>
                <w:b/>
                <w:sz w:val="18"/>
              </w:rPr>
              <w:t>RÉSULTAT DE L'EXERCICE PROVENANT DES ACTIVITÉS D'EXPLOITATION</w:t>
            </w:r>
          </w:p>
        </w:tc>
        <w:tc>
          <w:tcPr>
            <w:tcW w:w="516" w:type="pct"/>
            <w:tcBorders>
              <w:top w:val="nil"/>
              <w:left w:val="nil"/>
              <w:bottom w:val="nil"/>
              <w:right w:val="nil"/>
            </w:tcBorders>
            <w:shd w:val="clear" w:color="auto" w:fill="auto"/>
            <w:noWrap/>
            <w:vAlign w:val="bottom"/>
            <w:hideMark/>
          </w:tcPr>
          <w:p w14:paraId="6C525AB3" w14:textId="77777777" w:rsidR="00EF2861" w:rsidRDefault="00EF2861">
            <w:pPr>
              <w:rPr>
                <w:rFonts w:ascii="Calibri Light" w:hAnsi="Calibri Light" w:cs="Calibri Light"/>
                <w:b/>
                <w:bCs/>
                <w:sz w:val="18"/>
                <w:szCs w:val="18"/>
              </w:rPr>
            </w:pPr>
          </w:p>
        </w:tc>
        <w:tc>
          <w:tcPr>
            <w:tcW w:w="903" w:type="pct"/>
            <w:tcBorders>
              <w:top w:val="single" w:sz="4" w:space="0" w:color="auto"/>
              <w:left w:val="nil"/>
              <w:bottom w:val="single" w:sz="8" w:space="0" w:color="auto"/>
              <w:right w:val="nil"/>
            </w:tcBorders>
            <w:shd w:val="clear" w:color="auto" w:fill="auto"/>
            <w:noWrap/>
            <w:vAlign w:val="bottom"/>
            <w:hideMark/>
          </w:tcPr>
          <w:p w14:paraId="2E6E7A4B" w14:textId="77777777" w:rsidR="00EF2861" w:rsidRDefault="00EF2861">
            <w:pPr>
              <w:jc w:val="right"/>
              <w:rPr>
                <w:rFonts w:ascii="Calibri Light" w:hAnsi="Calibri Light" w:cs="Calibri Light"/>
                <w:b/>
                <w:bCs/>
                <w:color w:val="000000"/>
                <w:sz w:val="18"/>
                <w:szCs w:val="18"/>
              </w:rPr>
            </w:pPr>
            <w:r>
              <w:rPr>
                <w:rFonts w:ascii="Calibri Light" w:hAnsi="Calibri Light"/>
                <w:b/>
                <w:color w:val="000000"/>
                <w:sz w:val="18"/>
              </w:rPr>
              <w:t>2 128 669</w:t>
            </w:r>
          </w:p>
        </w:tc>
        <w:tc>
          <w:tcPr>
            <w:tcW w:w="902" w:type="pct"/>
            <w:tcBorders>
              <w:top w:val="single" w:sz="4" w:space="0" w:color="auto"/>
              <w:left w:val="nil"/>
              <w:bottom w:val="single" w:sz="8" w:space="0" w:color="auto"/>
              <w:right w:val="nil"/>
            </w:tcBorders>
            <w:shd w:val="clear" w:color="auto" w:fill="auto"/>
            <w:noWrap/>
            <w:vAlign w:val="bottom"/>
            <w:hideMark/>
          </w:tcPr>
          <w:p w14:paraId="5F564D0F" w14:textId="77777777" w:rsidR="00EF2861" w:rsidRDefault="00EF2861">
            <w:pPr>
              <w:jc w:val="right"/>
              <w:rPr>
                <w:rFonts w:ascii="Calibri Light" w:hAnsi="Calibri Light" w:cs="Calibri Light"/>
                <w:b/>
                <w:bCs/>
                <w:color w:val="000000"/>
                <w:sz w:val="18"/>
                <w:szCs w:val="18"/>
              </w:rPr>
            </w:pPr>
            <w:r>
              <w:rPr>
                <w:rFonts w:ascii="Calibri Light" w:hAnsi="Calibri Light"/>
                <w:b/>
                <w:color w:val="000000"/>
                <w:sz w:val="18"/>
              </w:rPr>
              <w:t>615 687</w:t>
            </w:r>
          </w:p>
        </w:tc>
      </w:tr>
      <w:tr w:rsidR="00EF2861" w14:paraId="00C271A2" w14:textId="77777777" w:rsidTr="003F166F">
        <w:trPr>
          <w:trHeight w:val="240"/>
        </w:trPr>
        <w:tc>
          <w:tcPr>
            <w:tcW w:w="2678" w:type="pct"/>
            <w:tcBorders>
              <w:top w:val="nil"/>
              <w:left w:val="nil"/>
              <w:bottom w:val="nil"/>
              <w:right w:val="nil"/>
            </w:tcBorders>
            <w:shd w:val="clear" w:color="auto" w:fill="auto"/>
            <w:noWrap/>
            <w:vAlign w:val="bottom"/>
            <w:hideMark/>
          </w:tcPr>
          <w:p w14:paraId="36CD9A0A" w14:textId="77777777" w:rsidR="00EF2861" w:rsidRDefault="00EF2861">
            <w:pPr>
              <w:jc w:val="right"/>
              <w:rPr>
                <w:rFonts w:ascii="Calibri Light" w:hAnsi="Calibri Light" w:cs="Calibri Light"/>
                <w:b/>
                <w:bCs/>
                <w:color w:val="000000"/>
                <w:sz w:val="18"/>
                <w:szCs w:val="18"/>
              </w:rPr>
            </w:pPr>
          </w:p>
        </w:tc>
        <w:tc>
          <w:tcPr>
            <w:tcW w:w="516" w:type="pct"/>
            <w:tcBorders>
              <w:top w:val="nil"/>
              <w:left w:val="nil"/>
              <w:bottom w:val="nil"/>
              <w:right w:val="nil"/>
            </w:tcBorders>
            <w:shd w:val="clear" w:color="auto" w:fill="auto"/>
            <w:noWrap/>
            <w:vAlign w:val="bottom"/>
            <w:hideMark/>
          </w:tcPr>
          <w:p w14:paraId="089B4D33" w14:textId="77777777" w:rsidR="00EF2861" w:rsidRDefault="00EF2861">
            <w:pPr>
              <w:rPr>
                <w:sz w:val="20"/>
                <w:szCs w:val="20"/>
              </w:rPr>
            </w:pPr>
          </w:p>
        </w:tc>
        <w:tc>
          <w:tcPr>
            <w:tcW w:w="903" w:type="pct"/>
            <w:tcBorders>
              <w:top w:val="nil"/>
              <w:left w:val="nil"/>
              <w:bottom w:val="single" w:sz="4" w:space="0" w:color="auto"/>
              <w:right w:val="nil"/>
            </w:tcBorders>
            <w:shd w:val="clear" w:color="auto" w:fill="auto"/>
            <w:noWrap/>
            <w:vAlign w:val="bottom"/>
            <w:hideMark/>
          </w:tcPr>
          <w:p w14:paraId="48ED4FA7" w14:textId="77777777" w:rsidR="00EF2861" w:rsidRDefault="00EF2861">
            <w:pPr>
              <w:rPr>
                <w:sz w:val="20"/>
                <w:szCs w:val="20"/>
              </w:rPr>
            </w:pPr>
          </w:p>
        </w:tc>
        <w:tc>
          <w:tcPr>
            <w:tcW w:w="902" w:type="pct"/>
            <w:tcBorders>
              <w:top w:val="nil"/>
              <w:left w:val="nil"/>
              <w:bottom w:val="single" w:sz="4" w:space="0" w:color="auto"/>
              <w:right w:val="nil"/>
            </w:tcBorders>
            <w:shd w:val="clear" w:color="auto" w:fill="auto"/>
            <w:noWrap/>
            <w:vAlign w:val="bottom"/>
            <w:hideMark/>
          </w:tcPr>
          <w:p w14:paraId="5315A75D" w14:textId="77777777" w:rsidR="00EF2861" w:rsidRDefault="00EF2861">
            <w:pPr>
              <w:rPr>
                <w:sz w:val="20"/>
                <w:szCs w:val="20"/>
              </w:rPr>
            </w:pPr>
          </w:p>
        </w:tc>
      </w:tr>
      <w:tr w:rsidR="00EF2861" w14:paraId="5BE24224" w14:textId="77777777" w:rsidTr="003F166F">
        <w:trPr>
          <w:trHeight w:val="252"/>
        </w:trPr>
        <w:tc>
          <w:tcPr>
            <w:tcW w:w="2678" w:type="pct"/>
            <w:tcBorders>
              <w:top w:val="nil"/>
              <w:left w:val="nil"/>
              <w:bottom w:val="nil"/>
              <w:right w:val="nil"/>
            </w:tcBorders>
            <w:shd w:val="clear" w:color="auto" w:fill="auto"/>
            <w:noWrap/>
            <w:vAlign w:val="bottom"/>
            <w:hideMark/>
          </w:tcPr>
          <w:p w14:paraId="3E8DF4F8" w14:textId="669B4E5B" w:rsidR="00EF2861" w:rsidRDefault="00EF2861">
            <w:pPr>
              <w:rPr>
                <w:rFonts w:ascii="Calibri Light" w:hAnsi="Calibri Light" w:cs="Calibri Light"/>
                <w:b/>
                <w:bCs/>
                <w:sz w:val="18"/>
                <w:szCs w:val="18"/>
              </w:rPr>
            </w:pPr>
            <w:r>
              <w:rPr>
                <w:rFonts w:ascii="Calibri Light" w:hAnsi="Calibri Light"/>
                <w:b/>
                <w:sz w:val="18"/>
              </w:rPr>
              <w:t>RÉSULTAT POUR LA PÉRIODE</w:t>
            </w:r>
          </w:p>
        </w:tc>
        <w:tc>
          <w:tcPr>
            <w:tcW w:w="516" w:type="pct"/>
            <w:tcBorders>
              <w:top w:val="nil"/>
              <w:left w:val="nil"/>
              <w:bottom w:val="nil"/>
              <w:right w:val="nil"/>
            </w:tcBorders>
            <w:shd w:val="clear" w:color="auto" w:fill="auto"/>
            <w:noWrap/>
            <w:vAlign w:val="bottom"/>
            <w:hideMark/>
          </w:tcPr>
          <w:p w14:paraId="66FBB2DF" w14:textId="77777777" w:rsidR="00EF2861" w:rsidRDefault="00EF2861">
            <w:pPr>
              <w:rPr>
                <w:rFonts w:ascii="Calibri Light" w:hAnsi="Calibri Light" w:cs="Calibri Light"/>
                <w:b/>
                <w:bCs/>
                <w:sz w:val="18"/>
                <w:szCs w:val="18"/>
              </w:rPr>
            </w:pPr>
          </w:p>
        </w:tc>
        <w:tc>
          <w:tcPr>
            <w:tcW w:w="903" w:type="pct"/>
            <w:tcBorders>
              <w:top w:val="single" w:sz="4" w:space="0" w:color="auto"/>
              <w:left w:val="nil"/>
              <w:bottom w:val="single" w:sz="4" w:space="0" w:color="auto"/>
              <w:right w:val="nil"/>
            </w:tcBorders>
            <w:shd w:val="clear" w:color="auto" w:fill="auto"/>
            <w:noWrap/>
            <w:vAlign w:val="bottom"/>
            <w:hideMark/>
          </w:tcPr>
          <w:p w14:paraId="610A0614" w14:textId="77777777" w:rsidR="00EF2861" w:rsidRDefault="00EF2861">
            <w:pPr>
              <w:jc w:val="right"/>
              <w:rPr>
                <w:rFonts w:ascii="Calibri Light" w:hAnsi="Calibri Light" w:cs="Calibri Light"/>
                <w:b/>
                <w:bCs/>
                <w:color w:val="000000"/>
                <w:sz w:val="18"/>
                <w:szCs w:val="18"/>
              </w:rPr>
            </w:pPr>
            <w:r>
              <w:rPr>
                <w:rFonts w:ascii="Calibri Light" w:hAnsi="Calibri Light"/>
                <w:b/>
                <w:color w:val="000000"/>
                <w:sz w:val="18"/>
              </w:rPr>
              <w:t>2 128 669</w:t>
            </w:r>
          </w:p>
        </w:tc>
        <w:tc>
          <w:tcPr>
            <w:tcW w:w="902" w:type="pct"/>
            <w:tcBorders>
              <w:top w:val="single" w:sz="4" w:space="0" w:color="auto"/>
              <w:left w:val="nil"/>
              <w:bottom w:val="single" w:sz="4" w:space="0" w:color="auto"/>
              <w:right w:val="nil"/>
            </w:tcBorders>
            <w:shd w:val="clear" w:color="auto" w:fill="auto"/>
            <w:noWrap/>
            <w:vAlign w:val="bottom"/>
            <w:hideMark/>
          </w:tcPr>
          <w:p w14:paraId="58980AC6" w14:textId="77777777" w:rsidR="00EF2861" w:rsidRDefault="00EF2861">
            <w:pPr>
              <w:jc w:val="right"/>
              <w:rPr>
                <w:rFonts w:ascii="Calibri Light" w:hAnsi="Calibri Light" w:cs="Calibri Light"/>
                <w:b/>
                <w:bCs/>
                <w:color w:val="000000"/>
                <w:sz w:val="18"/>
                <w:szCs w:val="18"/>
              </w:rPr>
            </w:pPr>
            <w:r>
              <w:rPr>
                <w:rFonts w:ascii="Calibri Light" w:hAnsi="Calibri Light"/>
                <w:b/>
                <w:color w:val="000000"/>
                <w:sz w:val="18"/>
              </w:rPr>
              <w:t>615 687</w:t>
            </w:r>
          </w:p>
        </w:tc>
      </w:tr>
      <w:tr w:rsidR="00B510BB" w:rsidRPr="00B510BB" w14:paraId="42CEA748" w14:textId="77777777" w:rsidTr="003F166F">
        <w:trPr>
          <w:trHeight w:val="252"/>
        </w:trPr>
        <w:tc>
          <w:tcPr>
            <w:tcW w:w="2678" w:type="pct"/>
            <w:tcBorders>
              <w:top w:val="nil"/>
              <w:left w:val="nil"/>
              <w:bottom w:val="nil"/>
              <w:right w:val="nil"/>
            </w:tcBorders>
            <w:shd w:val="clear" w:color="auto" w:fill="auto"/>
            <w:noWrap/>
            <w:vAlign w:val="bottom"/>
            <w:hideMark/>
          </w:tcPr>
          <w:p w14:paraId="78CC5F2C" w14:textId="72F8EA74" w:rsidR="00B510BB" w:rsidRPr="003F166F" w:rsidRDefault="00B510BB" w:rsidP="00F01E8A">
            <w:pPr>
              <w:rPr>
                <w:rFonts w:ascii="Calibri Light" w:hAnsi="Calibri Light" w:cs="Calibri Light"/>
                <w:i/>
                <w:iCs/>
                <w:sz w:val="18"/>
                <w:szCs w:val="18"/>
              </w:rPr>
            </w:pPr>
            <w:r>
              <w:rPr>
                <w:rFonts w:ascii="Calibri Light" w:hAnsi="Calibri Light"/>
                <w:i/>
                <w:sz w:val="18"/>
              </w:rPr>
              <w:t>Bénéfice par action</w:t>
            </w:r>
          </w:p>
        </w:tc>
        <w:tc>
          <w:tcPr>
            <w:tcW w:w="516" w:type="pct"/>
            <w:tcBorders>
              <w:top w:val="nil"/>
              <w:left w:val="nil"/>
              <w:bottom w:val="nil"/>
              <w:right w:val="nil"/>
            </w:tcBorders>
            <w:shd w:val="clear" w:color="auto" w:fill="auto"/>
            <w:noWrap/>
            <w:vAlign w:val="bottom"/>
            <w:hideMark/>
          </w:tcPr>
          <w:p w14:paraId="536C0AC7" w14:textId="628D0BB2" w:rsidR="00B510BB" w:rsidRPr="003F166F" w:rsidRDefault="00B510BB" w:rsidP="00B510BB">
            <w:pPr>
              <w:rPr>
                <w:rFonts w:ascii="Calibri Light" w:hAnsi="Calibri Light" w:cs="Calibri Light"/>
                <w:i/>
                <w:iCs/>
                <w:sz w:val="18"/>
                <w:szCs w:val="18"/>
              </w:rPr>
            </w:pPr>
          </w:p>
        </w:tc>
        <w:tc>
          <w:tcPr>
            <w:tcW w:w="903" w:type="pct"/>
            <w:tcBorders>
              <w:top w:val="single" w:sz="4" w:space="0" w:color="auto"/>
              <w:left w:val="nil"/>
              <w:right w:val="nil"/>
            </w:tcBorders>
            <w:shd w:val="clear" w:color="auto" w:fill="auto"/>
            <w:noWrap/>
            <w:vAlign w:val="bottom"/>
            <w:hideMark/>
          </w:tcPr>
          <w:p w14:paraId="72E64E6E" w14:textId="183D5194" w:rsidR="00B510BB" w:rsidRPr="003F166F" w:rsidRDefault="00126A41" w:rsidP="00B510BB">
            <w:pPr>
              <w:jc w:val="right"/>
              <w:rPr>
                <w:rFonts w:ascii="Calibri Light" w:hAnsi="Calibri Light" w:cs="Calibri Light"/>
                <w:i/>
                <w:iCs/>
                <w:sz w:val="18"/>
                <w:szCs w:val="18"/>
              </w:rPr>
            </w:pPr>
            <w:r>
              <w:rPr>
                <w:rFonts w:ascii="Calibri Light" w:hAnsi="Calibri Light"/>
                <w:i/>
                <w:sz w:val="18"/>
              </w:rPr>
              <w:t>0,19</w:t>
            </w:r>
          </w:p>
        </w:tc>
        <w:tc>
          <w:tcPr>
            <w:tcW w:w="902" w:type="pct"/>
            <w:tcBorders>
              <w:top w:val="single" w:sz="4" w:space="0" w:color="auto"/>
              <w:left w:val="nil"/>
              <w:right w:val="nil"/>
            </w:tcBorders>
            <w:shd w:val="clear" w:color="auto" w:fill="auto"/>
            <w:noWrap/>
            <w:vAlign w:val="bottom"/>
            <w:hideMark/>
          </w:tcPr>
          <w:p w14:paraId="085BBF83" w14:textId="165DAEDA" w:rsidR="00B510BB" w:rsidRPr="003F166F" w:rsidRDefault="00B510BB" w:rsidP="00B510BB">
            <w:pPr>
              <w:jc w:val="right"/>
              <w:rPr>
                <w:rFonts w:ascii="Calibri Light" w:hAnsi="Calibri Light" w:cs="Calibri Light"/>
                <w:i/>
                <w:iCs/>
                <w:sz w:val="18"/>
                <w:szCs w:val="18"/>
              </w:rPr>
            </w:pPr>
            <w:r>
              <w:rPr>
                <w:rFonts w:ascii="Calibri Light" w:hAnsi="Calibri Light"/>
                <w:i/>
                <w:sz w:val="18"/>
              </w:rPr>
              <w:t>0,06</w:t>
            </w:r>
          </w:p>
        </w:tc>
      </w:tr>
    </w:tbl>
    <w:p w14:paraId="15C786B8" w14:textId="23FE3FBA" w:rsidR="009D5A4C" w:rsidRDefault="009D5A4C" w:rsidP="00E16D12">
      <w:pPr>
        <w:spacing w:after="200" w:line="276" w:lineRule="auto"/>
        <w:rPr>
          <w:i/>
        </w:rPr>
      </w:pPr>
    </w:p>
    <w:p w14:paraId="2287ED21" w14:textId="77777777" w:rsidR="009D5A4C" w:rsidRDefault="009D5A4C" w:rsidP="00E16D12">
      <w:pPr>
        <w:spacing w:after="200" w:line="276" w:lineRule="auto"/>
        <w:rPr>
          <w:i/>
        </w:rPr>
      </w:pPr>
    </w:p>
    <w:p w14:paraId="53A0CBE0" w14:textId="77777777" w:rsidR="009D5A4C" w:rsidRDefault="009D5A4C" w:rsidP="00E16D12">
      <w:pPr>
        <w:spacing w:after="200" w:line="276" w:lineRule="auto"/>
        <w:rPr>
          <w:i/>
        </w:rPr>
      </w:pPr>
    </w:p>
    <w:p w14:paraId="5ABA35C0" w14:textId="77777777" w:rsidR="009D5A4C" w:rsidRDefault="009D5A4C" w:rsidP="00E16D12">
      <w:pPr>
        <w:spacing w:after="200" w:line="276" w:lineRule="auto"/>
        <w:rPr>
          <w:i/>
        </w:rPr>
      </w:pPr>
    </w:p>
    <w:p w14:paraId="34ACFDBD" w14:textId="77777777" w:rsidR="009D5A4C" w:rsidRDefault="009D5A4C" w:rsidP="00E16D12">
      <w:pPr>
        <w:spacing w:after="200" w:line="276" w:lineRule="auto"/>
        <w:rPr>
          <w:i/>
        </w:rPr>
      </w:pPr>
    </w:p>
    <w:p w14:paraId="6B8F0038" w14:textId="77777777" w:rsidR="009D5A4C" w:rsidRDefault="009D5A4C" w:rsidP="00E16D12">
      <w:pPr>
        <w:spacing w:after="200" w:line="276" w:lineRule="auto"/>
        <w:rPr>
          <w:i/>
        </w:rPr>
      </w:pPr>
    </w:p>
    <w:p w14:paraId="680845E6" w14:textId="77777777" w:rsidR="005F5086" w:rsidRDefault="005F5086" w:rsidP="00E16D12">
      <w:pPr>
        <w:spacing w:after="200" w:line="276" w:lineRule="auto"/>
        <w:rPr>
          <w:i/>
        </w:rPr>
      </w:pPr>
    </w:p>
    <w:p w14:paraId="206E7594" w14:textId="77777777" w:rsidR="009D5A4C" w:rsidRDefault="009D5A4C" w:rsidP="00E16D12">
      <w:pPr>
        <w:spacing w:after="200" w:line="276" w:lineRule="auto"/>
        <w:rPr>
          <w:i/>
        </w:rPr>
      </w:pPr>
    </w:p>
    <w:p w14:paraId="48A16D41" w14:textId="77777777" w:rsidR="00F94B18" w:rsidRDefault="00F94B18" w:rsidP="00E16D12">
      <w:pPr>
        <w:spacing w:after="200" w:line="276" w:lineRule="auto"/>
        <w:rPr>
          <w:i/>
        </w:rPr>
      </w:pPr>
    </w:p>
    <w:p w14:paraId="73E9432E" w14:textId="77777777" w:rsidR="009E3074" w:rsidRDefault="009E3074" w:rsidP="00E16D12">
      <w:pPr>
        <w:spacing w:after="200" w:line="276" w:lineRule="auto"/>
        <w:rPr>
          <w:i/>
        </w:rPr>
      </w:pPr>
    </w:p>
    <w:p w14:paraId="56C3437B" w14:textId="0DCDAFD2" w:rsidR="00F94B18" w:rsidRDefault="00F94B18" w:rsidP="00F31608"/>
    <w:p w14:paraId="26DEB6C0" w14:textId="6AE5778D" w:rsidR="00906BB1" w:rsidRDefault="00906BB1" w:rsidP="00906BB1"/>
    <w:p w14:paraId="00285A8E" w14:textId="77777777" w:rsidR="00906BB1" w:rsidRPr="00F31608" w:rsidRDefault="00906BB1" w:rsidP="00F31608">
      <w:pPr>
        <w:rPr>
          <w:sz w:val="18"/>
        </w:rPr>
      </w:pPr>
    </w:p>
    <w:p w14:paraId="1C00A49F" w14:textId="0FD94FB0" w:rsidR="00F94B18" w:rsidRDefault="00F94B18" w:rsidP="00DD48BC"/>
    <w:p w14:paraId="1ED2CE95" w14:textId="246B2370" w:rsidR="00992459" w:rsidRDefault="00992459">
      <w:r>
        <w:br w:type="page"/>
      </w:r>
    </w:p>
    <w:p w14:paraId="35C5DBA7" w14:textId="57A79F14" w:rsidR="009D5A4C" w:rsidRPr="004C219D" w:rsidRDefault="00F94B18" w:rsidP="007C6746">
      <w:pPr>
        <w:pStyle w:val="Titolo1"/>
        <w:spacing w:line="240" w:lineRule="auto"/>
        <w:ind w:left="0" w:right="0"/>
        <w:jc w:val="left"/>
        <w:rPr>
          <w:sz w:val="28"/>
          <w:szCs w:val="28"/>
        </w:rPr>
      </w:pPr>
      <w:bookmarkStart w:id="45" w:name="_Toc112768616"/>
      <w:r>
        <w:rPr>
          <w:sz w:val="28"/>
        </w:rPr>
        <w:lastRenderedPageBreak/>
        <w:t>Compte de résultat global</w:t>
      </w:r>
      <w:bookmarkEnd w:id="45"/>
    </w:p>
    <w:p w14:paraId="02885702" w14:textId="47F1A581" w:rsidR="00E16D12" w:rsidRDefault="00E16D12" w:rsidP="00E16D12">
      <w:pPr>
        <w:rPr>
          <w:highlight w:val="green"/>
        </w:rPr>
      </w:pPr>
    </w:p>
    <w:tbl>
      <w:tblPr>
        <w:tblW w:w="9780" w:type="dxa"/>
        <w:tblCellMar>
          <w:left w:w="70" w:type="dxa"/>
          <w:right w:w="70" w:type="dxa"/>
        </w:tblCellMar>
        <w:tblLook w:val="04A0" w:firstRow="1" w:lastRow="0" w:firstColumn="1" w:lastColumn="0" w:noHBand="0" w:noVBand="1"/>
      </w:tblPr>
      <w:tblGrid>
        <w:gridCol w:w="5600"/>
        <w:gridCol w:w="500"/>
        <w:gridCol w:w="1840"/>
        <w:gridCol w:w="1840"/>
      </w:tblGrid>
      <w:tr w:rsidR="008630CF" w14:paraId="066AAD95" w14:textId="77777777" w:rsidTr="008630CF">
        <w:trPr>
          <w:trHeight w:val="495"/>
        </w:trPr>
        <w:tc>
          <w:tcPr>
            <w:tcW w:w="5600" w:type="dxa"/>
            <w:tcBorders>
              <w:top w:val="single" w:sz="4" w:space="0" w:color="0070C0"/>
              <w:left w:val="nil"/>
              <w:bottom w:val="single" w:sz="8" w:space="0" w:color="0070C0"/>
              <w:right w:val="nil"/>
            </w:tcBorders>
            <w:shd w:val="clear" w:color="auto" w:fill="auto"/>
            <w:noWrap/>
            <w:vAlign w:val="bottom"/>
            <w:hideMark/>
          </w:tcPr>
          <w:p w14:paraId="0C955325" w14:textId="77777777" w:rsidR="008630CF" w:rsidRDefault="008630CF">
            <w:pPr>
              <w:rPr>
                <w:rFonts w:ascii="Calibri Light" w:hAnsi="Calibri Light" w:cs="Calibri Light"/>
                <w:color w:val="000000"/>
                <w:sz w:val="18"/>
                <w:szCs w:val="18"/>
              </w:rPr>
            </w:pPr>
            <w:r>
              <w:rPr>
                <w:rFonts w:ascii="Calibri Light" w:hAnsi="Calibri Light"/>
                <w:color w:val="000000"/>
                <w:sz w:val="18"/>
              </w:rPr>
              <w:t>(</w:t>
            </w:r>
            <w:proofErr w:type="gramStart"/>
            <w:r>
              <w:rPr>
                <w:rFonts w:ascii="Calibri Light" w:hAnsi="Calibri Light"/>
                <w:color w:val="000000"/>
                <w:sz w:val="18"/>
              </w:rPr>
              <w:t>en</w:t>
            </w:r>
            <w:proofErr w:type="gramEnd"/>
            <w:r>
              <w:rPr>
                <w:rFonts w:ascii="Calibri Light" w:hAnsi="Calibri Light"/>
                <w:color w:val="000000"/>
                <w:sz w:val="18"/>
              </w:rPr>
              <w:t xml:space="preserve"> euros)</w:t>
            </w:r>
          </w:p>
        </w:tc>
        <w:tc>
          <w:tcPr>
            <w:tcW w:w="500" w:type="dxa"/>
            <w:tcBorders>
              <w:top w:val="single" w:sz="4" w:space="0" w:color="0070C0"/>
              <w:left w:val="nil"/>
              <w:bottom w:val="single" w:sz="8" w:space="0" w:color="0070C0"/>
              <w:right w:val="nil"/>
            </w:tcBorders>
            <w:shd w:val="clear" w:color="auto" w:fill="auto"/>
            <w:vAlign w:val="bottom"/>
            <w:hideMark/>
          </w:tcPr>
          <w:p w14:paraId="57A37068" w14:textId="77777777" w:rsidR="008630CF" w:rsidRDefault="008630CF">
            <w:pPr>
              <w:jc w:val="center"/>
              <w:rPr>
                <w:rFonts w:ascii="Calibri Light" w:hAnsi="Calibri Light" w:cs="Calibri Light"/>
                <w:b/>
                <w:bCs/>
                <w:color w:val="000000"/>
                <w:sz w:val="18"/>
                <w:szCs w:val="18"/>
              </w:rPr>
            </w:pPr>
            <w:r>
              <w:rPr>
                <w:rFonts w:ascii="Calibri Light" w:hAnsi="Calibri Light"/>
                <w:b/>
                <w:color w:val="000000"/>
                <w:sz w:val="18"/>
              </w:rPr>
              <w:t>Note</w:t>
            </w:r>
          </w:p>
        </w:tc>
        <w:tc>
          <w:tcPr>
            <w:tcW w:w="1840" w:type="dxa"/>
            <w:tcBorders>
              <w:top w:val="single" w:sz="4" w:space="0" w:color="0070C0"/>
              <w:left w:val="nil"/>
              <w:bottom w:val="single" w:sz="8" w:space="0" w:color="0070C0"/>
              <w:right w:val="nil"/>
            </w:tcBorders>
            <w:shd w:val="clear" w:color="auto" w:fill="auto"/>
            <w:vAlign w:val="bottom"/>
            <w:hideMark/>
          </w:tcPr>
          <w:p w14:paraId="341C27F0" w14:textId="77777777" w:rsidR="008630CF" w:rsidRDefault="008630CF" w:rsidP="0061181E">
            <w:pPr>
              <w:jc w:val="right"/>
              <w:rPr>
                <w:rFonts w:ascii="Calibri Light" w:hAnsi="Calibri Light" w:cs="Calibri Light"/>
                <w:b/>
                <w:bCs/>
                <w:color w:val="000000"/>
                <w:sz w:val="18"/>
                <w:szCs w:val="18"/>
              </w:rPr>
            </w:pPr>
            <w:r>
              <w:rPr>
                <w:rFonts w:ascii="Calibri Light" w:hAnsi="Calibri Light"/>
                <w:b/>
                <w:color w:val="000000"/>
                <w:sz w:val="18"/>
              </w:rPr>
              <w:t xml:space="preserve">1er janvier 2021 - </w:t>
            </w:r>
            <w:r>
              <w:rPr>
                <w:rFonts w:ascii="Calibri Light" w:hAnsi="Calibri Light"/>
                <w:b/>
                <w:bCs/>
                <w:color w:val="000000"/>
                <w:sz w:val="18"/>
                <w:szCs w:val="18"/>
              </w:rPr>
              <w:br/>
            </w:r>
            <w:r>
              <w:rPr>
                <w:rFonts w:ascii="Calibri Light" w:hAnsi="Calibri Light"/>
                <w:b/>
                <w:color w:val="000000"/>
                <w:sz w:val="18"/>
              </w:rPr>
              <w:t>30 juin 2021</w:t>
            </w:r>
          </w:p>
        </w:tc>
        <w:tc>
          <w:tcPr>
            <w:tcW w:w="1840" w:type="dxa"/>
            <w:tcBorders>
              <w:top w:val="single" w:sz="4" w:space="0" w:color="0070C0"/>
              <w:left w:val="nil"/>
              <w:bottom w:val="single" w:sz="8" w:space="0" w:color="0070C0"/>
              <w:right w:val="nil"/>
            </w:tcBorders>
            <w:shd w:val="clear" w:color="auto" w:fill="auto"/>
            <w:vAlign w:val="bottom"/>
            <w:hideMark/>
          </w:tcPr>
          <w:p w14:paraId="3734FA14" w14:textId="77777777" w:rsidR="008630CF" w:rsidRDefault="008630CF" w:rsidP="0061181E">
            <w:pPr>
              <w:jc w:val="right"/>
              <w:rPr>
                <w:rFonts w:ascii="Calibri Light" w:hAnsi="Calibri Light" w:cs="Calibri Light"/>
                <w:b/>
                <w:bCs/>
                <w:color w:val="000000"/>
                <w:sz w:val="18"/>
                <w:szCs w:val="18"/>
              </w:rPr>
            </w:pPr>
            <w:r>
              <w:rPr>
                <w:rFonts w:ascii="Calibri Light" w:hAnsi="Calibri Light"/>
                <w:b/>
                <w:color w:val="000000"/>
                <w:sz w:val="18"/>
              </w:rPr>
              <w:t xml:space="preserve">1er janvier 2020 - </w:t>
            </w:r>
            <w:r>
              <w:rPr>
                <w:rFonts w:ascii="Calibri Light" w:hAnsi="Calibri Light"/>
                <w:b/>
                <w:bCs/>
                <w:color w:val="000000"/>
                <w:sz w:val="18"/>
                <w:szCs w:val="18"/>
              </w:rPr>
              <w:br/>
            </w:r>
            <w:r>
              <w:rPr>
                <w:rFonts w:ascii="Calibri Light" w:hAnsi="Calibri Light"/>
                <w:b/>
                <w:color w:val="000000"/>
                <w:sz w:val="18"/>
              </w:rPr>
              <w:t>30 juin 2020</w:t>
            </w:r>
          </w:p>
        </w:tc>
      </w:tr>
      <w:tr w:rsidR="008630CF" w14:paraId="204CD0EA" w14:textId="77777777" w:rsidTr="008630CF">
        <w:trPr>
          <w:trHeight w:val="240"/>
        </w:trPr>
        <w:tc>
          <w:tcPr>
            <w:tcW w:w="5600" w:type="dxa"/>
            <w:tcBorders>
              <w:top w:val="nil"/>
              <w:left w:val="nil"/>
              <w:bottom w:val="nil"/>
              <w:right w:val="nil"/>
            </w:tcBorders>
            <w:shd w:val="clear" w:color="auto" w:fill="auto"/>
            <w:noWrap/>
            <w:vAlign w:val="bottom"/>
            <w:hideMark/>
          </w:tcPr>
          <w:p w14:paraId="4591D836" w14:textId="77777777" w:rsidR="008630CF" w:rsidRDefault="008630CF">
            <w:pPr>
              <w:jc w:val="center"/>
              <w:rPr>
                <w:rFonts w:ascii="Calibri Light" w:hAnsi="Calibri Light" w:cs="Calibri Light"/>
                <w:b/>
                <w:bCs/>
                <w:color w:val="000000"/>
                <w:sz w:val="18"/>
                <w:szCs w:val="18"/>
              </w:rPr>
            </w:pPr>
          </w:p>
        </w:tc>
        <w:tc>
          <w:tcPr>
            <w:tcW w:w="500" w:type="dxa"/>
            <w:tcBorders>
              <w:top w:val="nil"/>
              <w:left w:val="nil"/>
              <w:bottom w:val="nil"/>
              <w:right w:val="nil"/>
            </w:tcBorders>
            <w:shd w:val="clear" w:color="auto" w:fill="auto"/>
            <w:noWrap/>
            <w:vAlign w:val="bottom"/>
            <w:hideMark/>
          </w:tcPr>
          <w:p w14:paraId="07207A78" w14:textId="77777777" w:rsidR="008630CF" w:rsidRDefault="008630CF">
            <w:pPr>
              <w:rPr>
                <w:sz w:val="20"/>
                <w:szCs w:val="20"/>
              </w:rPr>
            </w:pPr>
          </w:p>
        </w:tc>
        <w:tc>
          <w:tcPr>
            <w:tcW w:w="1840" w:type="dxa"/>
            <w:tcBorders>
              <w:top w:val="nil"/>
              <w:left w:val="nil"/>
              <w:bottom w:val="nil"/>
              <w:right w:val="nil"/>
            </w:tcBorders>
            <w:shd w:val="clear" w:color="auto" w:fill="auto"/>
            <w:vAlign w:val="bottom"/>
            <w:hideMark/>
          </w:tcPr>
          <w:p w14:paraId="040701D3" w14:textId="77777777" w:rsidR="008630CF" w:rsidRDefault="008630CF">
            <w:pPr>
              <w:rPr>
                <w:sz w:val="20"/>
                <w:szCs w:val="20"/>
              </w:rPr>
            </w:pPr>
          </w:p>
        </w:tc>
        <w:tc>
          <w:tcPr>
            <w:tcW w:w="1840" w:type="dxa"/>
            <w:tcBorders>
              <w:top w:val="nil"/>
              <w:left w:val="nil"/>
              <w:bottom w:val="nil"/>
              <w:right w:val="nil"/>
            </w:tcBorders>
            <w:shd w:val="clear" w:color="auto" w:fill="auto"/>
            <w:vAlign w:val="bottom"/>
            <w:hideMark/>
          </w:tcPr>
          <w:p w14:paraId="1BDD9FEC" w14:textId="77777777" w:rsidR="008630CF" w:rsidRDefault="008630CF">
            <w:pPr>
              <w:jc w:val="center"/>
              <w:rPr>
                <w:sz w:val="20"/>
                <w:szCs w:val="20"/>
              </w:rPr>
            </w:pPr>
          </w:p>
        </w:tc>
      </w:tr>
      <w:tr w:rsidR="00C72011" w14:paraId="3174931D" w14:textId="77777777" w:rsidTr="008630CF">
        <w:trPr>
          <w:trHeight w:val="240"/>
        </w:trPr>
        <w:tc>
          <w:tcPr>
            <w:tcW w:w="5600" w:type="dxa"/>
            <w:tcBorders>
              <w:top w:val="nil"/>
              <w:left w:val="nil"/>
              <w:bottom w:val="nil"/>
              <w:right w:val="nil"/>
            </w:tcBorders>
            <w:shd w:val="clear" w:color="auto" w:fill="auto"/>
            <w:noWrap/>
            <w:vAlign w:val="bottom"/>
            <w:hideMark/>
          </w:tcPr>
          <w:p w14:paraId="3DF772FB" w14:textId="77777777" w:rsidR="00C72011" w:rsidRDefault="00C72011" w:rsidP="00C72011">
            <w:pPr>
              <w:rPr>
                <w:rFonts w:ascii="Calibri Light" w:hAnsi="Calibri Light" w:cs="Calibri Light"/>
                <w:b/>
                <w:bCs/>
                <w:color w:val="000000"/>
                <w:sz w:val="18"/>
                <w:szCs w:val="18"/>
              </w:rPr>
            </w:pPr>
            <w:r>
              <w:rPr>
                <w:rFonts w:ascii="Calibri Light" w:hAnsi="Calibri Light"/>
                <w:b/>
                <w:color w:val="000000"/>
                <w:sz w:val="18"/>
              </w:rPr>
              <w:t>RÉSULTAT POUR LA PÉRIODE</w:t>
            </w:r>
          </w:p>
        </w:tc>
        <w:tc>
          <w:tcPr>
            <w:tcW w:w="500" w:type="dxa"/>
            <w:tcBorders>
              <w:top w:val="nil"/>
              <w:left w:val="nil"/>
              <w:bottom w:val="nil"/>
              <w:right w:val="nil"/>
            </w:tcBorders>
            <w:shd w:val="clear" w:color="auto" w:fill="auto"/>
            <w:noWrap/>
            <w:vAlign w:val="bottom"/>
            <w:hideMark/>
          </w:tcPr>
          <w:p w14:paraId="5902D615" w14:textId="77777777" w:rsidR="00C72011" w:rsidRDefault="00C72011" w:rsidP="00C72011">
            <w:pPr>
              <w:rPr>
                <w:rFonts w:ascii="Calibri Light" w:hAnsi="Calibri Light" w:cs="Calibri Light"/>
                <w:b/>
                <w:bCs/>
                <w:color w:val="000000"/>
                <w:sz w:val="18"/>
                <w:szCs w:val="18"/>
              </w:rPr>
            </w:pPr>
          </w:p>
        </w:tc>
        <w:tc>
          <w:tcPr>
            <w:tcW w:w="1840" w:type="dxa"/>
            <w:tcBorders>
              <w:top w:val="nil"/>
              <w:left w:val="nil"/>
              <w:bottom w:val="nil"/>
              <w:right w:val="nil"/>
            </w:tcBorders>
            <w:shd w:val="clear" w:color="auto" w:fill="auto"/>
            <w:noWrap/>
            <w:vAlign w:val="bottom"/>
            <w:hideMark/>
          </w:tcPr>
          <w:p w14:paraId="5CDBC7BB" w14:textId="1D9B2400" w:rsidR="00C72011" w:rsidRDefault="00C72011" w:rsidP="00091BEF">
            <w:pPr>
              <w:jc w:val="right"/>
              <w:rPr>
                <w:rFonts w:ascii="Calibri Light" w:hAnsi="Calibri Light" w:cs="Calibri Light"/>
                <w:b/>
                <w:bCs/>
                <w:color w:val="000000"/>
                <w:sz w:val="18"/>
                <w:szCs w:val="18"/>
              </w:rPr>
            </w:pPr>
            <w:r>
              <w:rPr>
                <w:rFonts w:ascii="Calibri Light" w:hAnsi="Calibri Light"/>
                <w:b/>
                <w:color w:val="000000"/>
                <w:sz w:val="18"/>
              </w:rPr>
              <w:t>2 128 669</w:t>
            </w:r>
          </w:p>
        </w:tc>
        <w:tc>
          <w:tcPr>
            <w:tcW w:w="1840" w:type="dxa"/>
            <w:tcBorders>
              <w:top w:val="nil"/>
              <w:left w:val="nil"/>
              <w:bottom w:val="nil"/>
              <w:right w:val="nil"/>
            </w:tcBorders>
            <w:shd w:val="clear" w:color="auto" w:fill="auto"/>
            <w:noWrap/>
            <w:vAlign w:val="bottom"/>
            <w:hideMark/>
          </w:tcPr>
          <w:p w14:paraId="768A448C" w14:textId="76E7D706" w:rsidR="00C72011" w:rsidRDefault="00C72011" w:rsidP="00091BEF">
            <w:pPr>
              <w:jc w:val="right"/>
              <w:rPr>
                <w:rFonts w:ascii="Calibri Light" w:hAnsi="Calibri Light" w:cs="Calibri Light"/>
                <w:b/>
                <w:bCs/>
                <w:color w:val="000000"/>
                <w:sz w:val="18"/>
                <w:szCs w:val="18"/>
              </w:rPr>
            </w:pPr>
            <w:r>
              <w:rPr>
                <w:rFonts w:ascii="Calibri Light" w:hAnsi="Calibri Light"/>
                <w:b/>
                <w:color w:val="000000"/>
                <w:sz w:val="18"/>
              </w:rPr>
              <w:t>615 687</w:t>
            </w:r>
          </w:p>
        </w:tc>
      </w:tr>
      <w:tr w:rsidR="00C72011" w14:paraId="7413F973" w14:textId="77777777" w:rsidTr="008630CF">
        <w:trPr>
          <w:trHeight w:val="240"/>
        </w:trPr>
        <w:tc>
          <w:tcPr>
            <w:tcW w:w="5600" w:type="dxa"/>
            <w:tcBorders>
              <w:top w:val="nil"/>
              <w:left w:val="nil"/>
              <w:bottom w:val="nil"/>
              <w:right w:val="nil"/>
            </w:tcBorders>
            <w:shd w:val="clear" w:color="auto" w:fill="auto"/>
            <w:noWrap/>
            <w:vAlign w:val="bottom"/>
            <w:hideMark/>
          </w:tcPr>
          <w:p w14:paraId="603C9ADF" w14:textId="77777777" w:rsidR="00C72011" w:rsidRDefault="00C72011" w:rsidP="00C72011">
            <w:pPr>
              <w:jc w:val="right"/>
              <w:rPr>
                <w:rFonts w:ascii="Calibri Light" w:hAnsi="Calibri Light" w:cs="Calibri Light"/>
                <w:b/>
                <w:bCs/>
                <w:color w:val="000000"/>
                <w:sz w:val="18"/>
                <w:szCs w:val="18"/>
              </w:rPr>
            </w:pPr>
          </w:p>
        </w:tc>
        <w:tc>
          <w:tcPr>
            <w:tcW w:w="500" w:type="dxa"/>
            <w:tcBorders>
              <w:top w:val="nil"/>
              <w:left w:val="nil"/>
              <w:bottom w:val="nil"/>
              <w:right w:val="nil"/>
            </w:tcBorders>
            <w:shd w:val="clear" w:color="auto" w:fill="auto"/>
            <w:noWrap/>
            <w:vAlign w:val="bottom"/>
            <w:hideMark/>
          </w:tcPr>
          <w:p w14:paraId="100E46F7" w14:textId="77777777" w:rsidR="00C72011" w:rsidRDefault="00C72011" w:rsidP="00C72011">
            <w:pPr>
              <w:rPr>
                <w:sz w:val="20"/>
                <w:szCs w:val="20"/>
              </w:rPr>
            </w:pPr>
          </w:p>
        </w:tc>
        <w:tc>
          <w:tcPr>
            <w:tcW w:w="1840" w:type="dxa"/>
            <w:tcBorders>
              <w:top w:val="nil"/>
              <w:left w:val="nil"/>
              <w:bottom w:val="nil"/>
              <w:right w:val="nil"/>
            </w:tcBorders>
            <w:shd w:val="clear" w:color="auto" w:fill="auto"/>
            <w:noWrap/>
            <w:vAlign w:val="bottom"/>
            <w:hideMark/>
          </w:tcPr>
          <w:p w14:paraId="0EC51F11" w14:textId="77777777" w:rsidR="00C72011" w:rsidRDefault="00C72011" w:rsidP="0061181E">
            <w:pPr>
              <w:jc w:val="right"/>
              <w:rPr>
                <w:sz w:val="20"/>
                <w:szCs w:val="20"/>
              </w:rPr>
            </w:pPr>
          </w:p>
        </w:tc>
        <w:tc>
          <w:tcPr>
            <w:tcW w:w="1840" w:type="dxa"/>
            <w:tcBorders>
              <w:top w:val="nil"/>
              <w:left w:val="nil"/>
              <w:bottom w:val="nil"/>
              <w:right w:val="nil"/>
            </w:tcBorders>
            <w:shd w:val="clear" w:color="auto" w:fill="auto"/>
            <w:noWrap/>
            <w:vAlign w:val="bottom"/>
            <w:hideMark/>
          </w:tcPr>
          <w:p w14:paraId="3B457E88" w14:textId="77777777" w:rsidR="00C72011" w:rsidRDefault="00C72011" w:rsidP="0061181E">
            <w:pPr>
              <w:jc w:val="right"/>
              <w:rPr>
                <w:sz w:val="20"/>
                <w:szCs w:val="20"/>
              </w:rPr>
            </w:pPr>
          </w:p>
        </w:tc>
      </w:tr>
      <w:tr w:rsidR="00C72011" w14:paraId="79AAD276" w14:textId="77777777" w:rsidTr="008630CF">
        <w:trPr>
          <w:trHeight w:val="240"/>
        </w:trPr>
        <w:tc>
          <w:tcPr>
            <w:tcW w:w="5600" w:type="dxa"/>
            <w:tcBorders>
              <w:top w:val="nil"/>
              <w:left w:val="nil"/>
              <w:bottom w:val="nil"/>
              <w:right w:val="nil"/>
            </w:tcBorders>
            <w:shd w:val="clear" w:color="auto" w:fill="auto"/>
            <w:noWrap/>
            <w:vAlign w:val="bottom"/>
            <w:hideMark/>
          </w:tcPr>
          <w:p w14:paraId="3D55AD02" w14:textId="77777777" w:rsidR="00C72011" w:rsidRDefault="00C72011" w:rsidP="00C72011">
            <w:pPr>
              <w:rPr>
                <w:rFonts w:ascii="Calibri Light" w:hAnsi="Calibri Light" w:cs="Calibri Light"/>
                <w:b/>
                <w:bCs/>
                <w:color w:val="000000"/>
                <w:sz w:val="18"/>
                <w:szCs w:val="18"/>
              </w:rPr>
            </w:pPr>
            <w:r>
              <w:rPr>
                <w:rFonts w:ascii="Calibri Light" w:hAnsi="Calibri Light"/>
                <w:b/>
                <w:color w:val="000000"/>
                <w:sz w:val="18"/>
              </w:rPr>
              <w:t>Autres postes du compte de résultat global</w:t>
            </w:r>
          </w:p>
        </w:tc>
        <w:tc>
          <w:tcPr>
            <w:tcW w:w="500" w:type="dxa"/>
            <w:tcBorders>
              <w:top w:val="nil"/>
              <w:left w:val="nil"/>
              <w:bottom w:val="nil"/>
              <w:right w:val="nil"/>
            </w:tcBorders>
            <w:shd w:val="clear" w:color="auto" w:fill="auto"/>
            <w:noWrap/>
            <w:vAlign w:val="bottom"/>
            <w:hideMark/>
          </w:tcPr>
          <w:p w14:paraId="1ADB05DD" w14:textId="77777777" w:rsidR="00C72011" w:rsidRDefault="00C72011" w:rsidP="00C72011">
            <w:pPr>
              <w:rPr>
                <w:rFonts w:ascii="Calibri Light" w:hAnsi="Calibri Light" w:cs="Calibri Light"/>
                <w:b/>
                <w:bCs/>
                <w:color w:val="000000"/>
                <w:sz w:val="18"/>
                <w:szCs w:val="18"/>
              </w:rPr>
            </w:pPr>
          </w:p>
        </w:tc>
        <w:tc>
          <w:tcPr>
            <w:tcW w:w="1840" w:type="dxa"/>
            <w:tcBorders>
              <w:top w:val="nil"/>
              <w:left w:val="nil"/>
              <w:bottom w:val="nil"/>
              <w:right w:val="nil"/>
            </w:tcBorders>
            <w:shd w:val="clear" w:color="auto" w:fill="auto"/>
            <w:noWrap/>
            <w:vAlign w:val="bottom"/>
            <w:hideMark/>
          </w:tcPr>
          <w:p w14:paraId="5F7CA47C" w14:textId="77777777" w:rsidR="00C72011" w:rsidRDefault="00C72011" w:rsidP="0061181E">
            <w:pPr>
              <w:jc w:val="right"/>
              <w:rPr>
                <w:sz w:val="20"/>
                <w:szCs w:val="20"/>
              </w:rPr>
            </w:pPr>
          </w:p>
        </w:tc>
        <w:tc>
          <w:tcPr>
            <w:tcW w:w="1840" w:type="dxa"/>
            <w:tcBorders>
              <w:top w:val="nil"/>
              <w:left w:val="nil"/>
              <w:bottom w:val="nil"/>
              <w:right w:val="nil"/>
            </w:tcBorders>
            <w:shd w:val="clear" w:color="auto" w:fill="auto"/>
            <w:noWrap/>
            <w:vAlign w:val="bottom"/>
            <w:hideMark/>
          </w:tcPr>
          <w:p w14:paraId="4BBF0189" w14:textId="77777777" w:rsidR="00C72011" w:rsidRDefault="00C72011" w:rsidP="0061181E">
            <w:pPr>
              <w:jc w:val="right"/>
              <w:rPr>
                <w:sz w:val="20"/>
                <w:szCs w:val="20"/>
              </w:rPr>
            </w:pPr>
          </w:p>
        </w:tc>
      </w:tr>
      <w:tr w:rsidR="00C72011" w14:paraId="03988DEA" w14:textId="77777777" w:rsidTr="008630CF">
        <w:trPr>
          <w:trHeight w:val="240"/>
        </w:trPr>
        <w:tc>
          <w:tcPr>
            <w:tcW w:w="5600" w:type="dxa"/>
            <w:tcBorders>
              <w:top w:val="nil"/>
              <w:left w:val="nil"/>
              <w:bottom w:val="nil"/>
              <w:right w:val="nil"/>
            </w:tcBorders>
            <w:shd w:val="clear" w:color="auto" w:fill="auto"/>
            <w:vAlign w:val="bottom"/>
            <w:hideMark/>
          </w:tcPr>
          <w:p w14:paraId="2958F613" w14:textId="77777777" w:rsidR="00C72011" w:rsidRDefault="00C72011" w:rsidP="00C72011">
            <w:pPr>
              <w:rPr>
                <w:sz w:val="20"/>
                <w:szCs w:val="20"/>
              </w:rPr>
            </w:pPr>
          </w:p>
        </w:tc>
        <w:tc>
          <w:tcPr>
            <w:tcW w:w="500" w:type="dxa"/>
            <w:tcBorders>
              <w:top w:val="nil"/>
              <w:left w:val="nil"/>
              <w:bottom w:val="nil"/>
              <w:right w:val="nil"/>
            </w:tcBorders>
            <w:shd w:val="clear" w:color="auto" w:fill="auto"/>
            <w:vAlign w:val="bottom"/>
            <w:hideMark/>
          </w:tcPr>
          <w:p w14:paraId="54E4FE75" w14:textId="77777777" w:rsidR="00C72011" w:rsidRDefault="00C72011" w:rsidP="00C72011">
            <w:pPr>
              <w:rPr>
                <w:sz w:val="20"/>
                <w:szCs w:val="20"/>
              </w:rPr>
            </w:pPr>
          </w:p>
        </w:tc>
        <w:tc>
          <w:tcPr>
            <w:tcW w:w="1840" w:type="dxa"/>
            <w:tcBorders>
              <w:top w:val="nil"/>
              <w:left w:val="nil"/>
              <w:bottom w:val="nil"/>
              <w:right w:val="nil"/>
            </w:tcBorders>
            <w:shd w:val="clear" w:color="auto" w:fill="auto"/>
            <w:noWrap/>
            <w:vAlign w:val="bottom"/>
            <w:hideMark/>
          </w:tcPr>
          <w:p w14:paraId="7002BA40" w14:textId="77777777" w:rsidR="00C72011" w:rsidRDefault="00C72011" w:rsidP="0061181E">
            <w:pPr>
              <w:jc w:val="right"/>
              <w:rPr>
                <w:sz w:val="20"/>
                <w:szCs w:val="20"/>
              </w:rPr>
            </w:pPr>
          </w:p>
        </w:tc>
        <w:tc>
          <w:tcPr>
            <w:tcW w:w="1840" w:type="dxa"/>
            <w:tcBorders>
              <w:top w:val="nil"/>
              <w:left w:val="nil"/>
              <w:bottom w:val="nil"/>
              <w:right w:val="nil"/>
            </w:tcBorders>
            <w:shd w:val="clear" w:color="auto" w:fill="auto"/>
            <w:noWrap/>
            <w:vAlign w:val="bottom"/>
            <w:hideMark/>
          </w:tcPr>
          <w:p w14:paraId="33B00ABC" w14:textId="77777777" w:rsidR="00C72011" w:rsidRDefault="00C72011" w:rsidP="0061181E">
            <w:pPr>
              <w:jc w:val="right"/>
              <w:rPr>
                <w:sz w:val="20"/>
                <w:szCs w:val="20"/>
              </w:rPr>
            </w:pPr>
          </w:p>
        </w:tc>
      </w:tr>
      <w:tr w:rsidR="00C72011" w14:paraId="7C23D826" w14:textId="77777777" w:rsidTr="008630CF">
        <w:trPr>
          <w:trHeight w:val="720"/>
        </w:trPr>
        <w:tc>
          <w:tcPr>
            <w:tcW w:w="5600" w:type="dxa"/>
            <w:tcBorders>
              <w:top w:val="nil"/>
              <w:left w:val="nil"/>
              <w:bottom w:val="nil"/>
              <w:right w:val="nil"/>
            </w:tcBorders>
            <w:shd w:val="clear" w:color="auto" w:fill="auto"/>
            <w:vAlign w:val="bottom"/>
            <w:hideMark/>
          </w:tcPr>
          <w:p w14:paraId="0E8905A7" w14:textId="77777777" w:rsidR="00C72011" w:rsidRDefault="00C72011" w:rsidP="00C72011">
            <w:pPr>
              <w:rPr>
                <w:rFonts w:ascii="Calibri Light" w:hAnsi="Calibri Light" w:cs="Calibri Light"/>
                <w:i/>
                <w:iCs/>
                <w:color w:val="000000"/>
                <w:sz w:val="18"/>
                <w:szCs w:val="18"/>
              </w:rPr>
            </w:pPr>
            <w:r>
              <w:rPr>
                <w:rFonts w:ascii="Calibri Light" w:hAnsi="Calibri Light"/>
                <w:i/>
                <w:color w:val="000000"/>
                <w:sz w:val="18"/>
              </w:rPr>
              <w:t>Autres éléments du résultat global qui ne seront pas reclassées ultérieurement dans le bénéfice/(perte) de l'exercice (net d'impôts) :</w:t>
            </w:r>
          </w:p>
        </w:tc>
        <w:tc>
          <w:tcPr>
            <w:tcW w:w="500" w:type="dxa"/>
            <w:tcBorders>
              <w:top w:val="nil"/>
              <w:left w:val="nil"/>
              <w:bottom w:val="nil"/>
              <w:right w:val="nil"/>
            </w:tcBorders>
            <w:shd w:val="clear" w:color="auto" w:fill="auto"/>
            <w:vAlign w:val="bottom"/>
            <w:hideMark/>
          </w:tcPr>
          <w:p w14:paraId="39AAA19F" w14:textId="77777777" w:rsidR="00C72011" w:rsidRDefault="00C72011" w:rsidP="00C72011">
            <w:pPr>
              <w:rPr>
                <w:rFonts w:ascii="Calibri Light" w:hAnsi="Calibri Light" w:cs="Calibri Light"/>
                <w:i/>
                <w:iCs/>
                <w:color w:val="000000"/>
                <w:sz w:val="18"/>
                <w:szCs w:val="18"/>
              </w:rPr>
            </w:pPr>
          </w:p>
        </w:tc>
        <w:tc>
          <w:tcPr>
            <w:tcW w:w="1840" w:type="dxa"/>
            <w:tcBorders>
              <w:top w:val="nil"/>
              <w:left w:val="nil"/>
              <w:bottom w:val="nil"/>
              <w:right w:val="nil"/>
            </w:tcBorders>
            <w:shd w:val="clear" w:color="auto" w:fill="auto"/>
            <w:noWrap/>
            <w:vAlign w:val="bottom"/>
            <w:hideMark/>
          </w:tcPr>
          <w:p w14:paraId="62073550" w14:textId="77777777" w:rsidR="00C72011" w:rsidRDefault="00C72011" w:rsidP="0061181E">
            <w:pPr>
              <w:jc w:val="right"/>
              <w:rPr>
                <w:sz w:val="20"/>
                <w:szCs w:val="20"/>
              </w:rPr>
            </w:pPr>
          </w:p>
        </w:tc>
        <w:tc>
          <w:tcPr>
            <w:tcW w:w="1840" w:type="dxa"/>
            <w:tcBorders>
              <w:top w:val="nil"/>
              <w:left w:val="nil"/>
              <w:bottom w:val="nil"/>
              <w:right w:val="nil"/>
            </w:tcBorders>
            <w:shd w:val="clear" w:color="auto" w:fill="auto"/>
            <w:noWrap/>
            <w:vAlign w:val="bottom"/>
            <w:hideMark/>
          </w:tcPr>
          <w:p w14:paraId="49953520" w14:textId="77777777" w:rsidR="00C72011" w:rsidRDefault="00C72011" w:rsidP="0061181E">
            <w:pPr>
              <w:jc w:val="right"/>
              <w:rPr>
                <w:sz w:val="20"/>
                <w:szCs w:val="20"/>
              </w:rPr>
            </w:pPr>
          </w:p>
        </w:tc>
      </w:tr>
      <w:tr w:rsidR="00C72011" w14:paraId="02BA1A40" w14:textId="77777777" w:rsidTr="008630CF">
        <w:trPr>
          <w:trHeight w:val="240"/>
        </w:trPr>
        <w:tc>
          <w:tcPr>
            <w:tcW w:w="5600" w:type="dxa"/>
            <w:tcBorders>
              <w:top w:val="nil"/>
              <w:left w:val="nil"/>
              <w:bottom w:val="nil"/>
              <w:right w:val="nil"/>
            </w:tcBorders>
            <w:shd w:val="clear" w:color="auto" w:fill="auto"/>
            <w:noWrap/>
            <w:vAlign w:val="bottom"/>
            <w:hideMark/>
          </w:tcPr>
          <w:p w14:paraId="06282D9B" w14:textId="77777777" w:rsidR="00C72011" w:rsidRDefault="00C72011" w:rsidP="00C72011">
            <w:pPr>
              <w:rPr>
                <w:rFonts w:ascii="Calibri Light" w:hAnsi="Calibri Light" w:cs="Calibri Light"/>
                <w:color w:val="000000"/>
                <w:sz w:val="18"/>
                <w:szCs w:val="18"/>
              </w:rPr>
            </w:pPr>
            <w:r>
              <w:rPr>
                <w:rFonts w:ascii="Calibri Light" w:hAnsi="Calibri Light"/>
                <w:color w:val="000000"/>
                <w:sz w:val="18"/>
              </w:rPr>
              <w:t>Profits/(pertes) résultant de l'actualisation des passifs au titre des avantages sociaux futurs.</w:t>
            </w:r>
          </w:p>
        </w:tc>
        <w:tc>
          <w:tcPr>
            <w:tcW w:w="500" w:type="dxa"/>
            <w:tcBorders>
              <w:top w:val="nil"/>
              <w:left w:val="nil"/>
              <w:bottom w:val="nil"/>
              <w:right w:val="nil"/>
            </w:tcBorders>
            <w:shd w:val="clear" w:color="auto" w:fill="auto"/>
            <w:noWrap/>
            <w:vAlign w:val="bottom"/>
            <w:hideMark/>
          </w:tcPr>
          <w:p w14:paraId="4E6A5A44" w14:textId="77777777" w:rsidR="00C72011" w:rsidRDefault="00C72011" w:rsidP="00C72011">
            <w:pPr>
              <w:rPr>
                <w:rFonts w:ascii="Calibri Light" w:hAnsi="Calibri Light" w:cs="Calibri Light"/>
                <w:color w:val="000000"/>
                <w:sz w:val="18"/>
                <w:szCs w:val="18"/>
              </w:rPr>
            </w:pPr>
          </w:p>
        </w:tc>
        <w:tc>
          <w:tcPr>
            <w:tcW w:w="1840" w:type="dxa"/>
            <w:tcBorders>
              <w:top w:val="nil"/>
              <w:left w:val="nil"/>
              <w:bottom w:val="nil"/>
              <w:right w:val="nil"/>
            </w:tcBorders>
            <w:shd w:val="clear" w:color="auto" w:fill="auto"/>
            <w:noWrap/>
            <w:vAlign w:val="bottom"/>
            <w:hideMark/>
          </w:tcPr>
          <w:p w14:paraId="6115BD11" w14:textId="6A8846F4" w:rsidR="00C72011" w:rsidRDefault="00C72011" w:rsidP="00091BEF">
            <w:pPr>
              <w:jc w:val="right"/>
              <w:rPr>
                <w:rFonts w:ascii="Calibri Light" w:hAnsi="Calibri Light" w:cs="Calibri Light"/>
                <w:color w:val="000000"/>
                <w:sz w:val="18"/>
                <w:szCs w:val="18"/>
              </w:rPr>
            </w:pPr>
            <w:r>
              <w:rPr>
                <w:rFonts w:ascii="Calibri Light" w:hAnsi="Calibri Light"/>
                <w:color w:val="000000"/>
                <w:sz w:val="18"/>
              </w:rPr>
              <w:t>3 078</w:t>
            </w:r>
          </w:p>
        </w:tc>
        <w:tc>
          <w:tcPr>
            <w:tcW w:w="1840" w:type="dxa"/>
            <w:tcBorders>
              <w:top w:val="nil"/>
              <w:left w:val="nil"/>
              <w:bottom w:val="nil"/>
              <w:right w:val="nil"/>
            </w:tcBorders>
            <w:shd w:val="clear" w:color="auto" w:fill="auto"/>
            <w:noWrap/>
            <w:vAlign w:val="bottom"/>
            <w:hideMark/>
          </w:tcPr>
          <w:p w14:paraId="1A031144" w14:textId="21DF387B" w:rsidR="00C72011" w:rsidRDefault="00583B1A" w:rsidP="00091BEF">
            <w:pPr>
              <w:jc w:val="right"/>
              <w:rPr>
                <w:rFonts w:ascii="Calibri Light" w:hAnsi="Calibri Light" w:cs="Calibri Light"/>
                <w:color w:val="000000"/>
                <w:sz w:val="18"/>
                <w:szCs w:val="18"/>
              </w:rPr>
            </w:pPr>
            <w:r>
              <w:rPr>
                <w:rFonts w:ascii="Calibri Light" w:hAnsi="Calibri Light"/>
                <w:color w:val="000000"/>
                <w:sz w:val="18"/>
              </w:rPr>
              <w:t>-</w:t>
            </w:r>
          </w:p>
        </w:tc>
      </w:tr>
      <w:tr w:rsidR="00C72011" w14:paraId="5A4640B4" w14:textId="77777777" w:rsidTr="008630CF">
        <w:trPr>
          <w:trHeight w:val="240"/>
        </w:trPr>
        <w:tc>
          <w:tcPr>
            <w:tcW w:w="5600" w:type="dxa"/>
            <w:tcBorders>
              <w:top w:val="nil"/>
              <w:left w:val="nil"/>
              <w:bottom w:val="nil"/>
              <w:right w:val="nil"/>
            </w:tcBorders>
            <w:shd w:val="clear" w:color="auto" w:fill="auto"/>
            <w:noWrap/>
            <w:vAlign w:val="bottom"/>
            <w:hideMark/>
          </w:tcPr>
          <w:p w14:paraId="388DB3BC" w14:textId="77777777" w:rsidR="00C72011" w:rsidRDefault="00C72011" w:rsidP="00C72011">
            <w:pPr>
              <w:rPr>
                <w:rFonts w:ascii="Calibri Light" w:hAnsi="Calibri Light" w:cs="Calibri Light"/>
                <w:b/>
                <w:bCs/>
                <w:color w:val="000000"/>
                <w:sz w:val="18"/>
                <w:szCs w:val="18"/>
              </w:rPr>
            </w:pPr>
            <w:r>
              <w:rPr>
                <w:rFonts w:ascii="Calibri Light" w:hAnsi="Calibri Light"/>
                <w:b/>
                <w:color w:val="000000"/>
                <w:sz w:val="18"/>
              </w:rPr>
              <w:t>Total des autres éléments du résultat global</w:t>
            </w:r>
          </w:p>
        </w:tc>
        <w:tc>
          <w:tcPr>
            <w:tcW w:w="500" w:type="dxa"/>
            <w:tcBorders>
              <w:top w:val="nil"/>
              <w:left w:val="nil"/>
              <w:bottom w:val="nil"/>
              <w:right w:val="nil"/>
            </w:tcBorders>
            <w:shd w:val="clear" w:color="auto" w:fill="auto"/>
            <w:noWrap/>
            <w:vAlign w:val="bottom"/>
            <w:hideMark/>
          </w:tcPr>
          <w:p w14:paraId="2F350CC4" w14:textId="77777777" w:rsidR="00C72011" w:rsidRDefault="00C72011" w:rsidP="00C72011">
            <w:pPr>
              <w:rPr>
                <w:rFonts w:ascii="Calibri Light" w:hAnsi="Calibri Light" w:cs="Calibri Light"/>
                <w:b/>
                <w:bCs/>
                <w:color w:val="000000"/>
                <w:sz w:val="18"/>
                <w:szCs w:val="18"/>
              </w:rPr>
            </w:pPr>
          </w:p>
        </w:tc>
        <w:tc>
          <w:tcPr>
            <w:tcW w:w="1840" w:type="dxa"/>
            <w:tcBorders>
              <w:top w:val="nil"/>
              <w:left w:val="nil"/>
              <w:bottom w:val="nil"/>
              <w:right w:val="nil"/>
            </w:tcBorders>
            <w:shd w:val="clear" w:color="auto" w:fill="auto"/>
            <w:noWrap/>
            <w:vAlign w:val="bottom"/>
            <w:hideMark/>
          </w:tcPr>
          <w:p w14:paraId="2137810A" w14:textId="51A8DCBC" w:rsidR="00C72011" w:rsidRDefault="00C72011" w:rsidP="00091BEF">
            <w:pPr>
              <w:jc w:val="right"/>
              <w:rPr>
                <w:rFonts w:ascii="Calibri Light" w:hAnsi="Calibri Light" w:cs="Calibri Light"/>
                <w:b/>
                <w:bCs/>
                <w:color w:val="000000"/>
                <w:sz w:val="18"/>
                <w:szCs w:val="18"/>
              </w:rPr>
            </w:pPr>
            <w:r>
              <w:rPr>
                <w:rFonts w:ascii="Calibri Light" w:hAnsi="Calibri Light"/>
                <w:b/>
                <w:color w:val="000000"/>
                <w:sz w:val="18"/>
              </w:rPr>
              <w:t>3 078</w:t>
            </w:r>
          </w:p>
        </w:tc>
        <w:tc>
          <w:tcPr>
            <w:tcW w:w="1840" w:type="dxa"/>
            <w:tcBorders>
              <w:top w:val="nil"/>
              <w:left w:val="nil"/>
              <w:bottom w:val="nil"/>
              <w:right w:val="nil"/>
            </w:tcBorders>
            <w:shd w:val="clear" w:color="auto" w:fill="auto"/>
            <w:noWrap/>
            <w:vAlign w:val="bottom"/>
            <w:hideMark/>
          </w:tcPr>
          <w:p w14:paraId="695E1B32" w14:textId="0741E7D8" w:rsidR="00C72011" w:rsidRDefault="00583B1A" w:rsidP="00091BEF">
            <w:pPr>
              <w:jc w:val="right"/>
              <w:rPr>
                <w:rFonts w:ascii="Calibri Light" w:hAnsi="Calibri Light" w:cs="Calibri Light"/>
                <w:b/>
                <w:bCs/>
                <w:color w:val="000000"/>
                <w:sz w:val="18"/>
                <w:szCs w:val="18"/>
              </w:rPr>
            </w:pPr>
            <w:r>
              <w:rPr>
                <w:rFonts w:ascii="Calibri Light" w:hAnsi="Calibri Light"/>
                <w:b/>
                <w:color w:val="000000"/>
                <w:sz w:val="18"/>
              </w:rPr>
              <w:t xml:space="preserve">- </w:t>
            </w:r>
          </w:p>
        </w:tc>
      </w:tr>
      <w:tr w:rsidR="00C72011" w14:paraId="39A471D7" w14:textId="77777777" w:rsidTr="008630CF">
        <w:trPr>
          <w:trHeight w:val="240"/>
        </w:trPr>
        <w:tc>
          <w:tcPr>
            <w:tcW w:w="5600" w:type="dxa"/>
            <w:tcBorders>
              <w:top w:val="nil"/>
              <w:left w:val="nil"/>
              <w:bottom w:val="nil"/>
              <w:right w:val="nil"/>
            </w:tcBorders>
            <w:shd w:val="clear" w:color="auto" w:fill="auto"/>
            <w:noWrap/>
            <w:vAlign w:val="bottom"/>
            <w:hideMark/>
          </w:tcPr>
          <w:p w14:paraId="542D16AD" w14:textId="77777777" w:rsidR="00C72011" w:rsidRDefault="00C72011" w:rsidP="00C72011">
            <w:pPr>
              <w:jc w:val="right"/>
              <w:rPr>
                <w:rFonts w:ascii="Calibri Light" w:hAnsi="Calibri Light" w:cs="Calibri Light"/>
                <w:b/>
                <w:bCs/>
                <w:color w:val="000000"/>
                <w:sz w:val="18"/>
                <w:szCs w:val="18"/>
              </w:rPr>
            </w:pPr>
          </w:p>
        </w:tc>
        <w:tc>
          <w:tcPr>
            <w:tcW w:w="500" w:type="dxa"/>
            <w:tcBorders>
              <w:top w:val="nil"/>
              <w:left w:val="nil"/>
              <w:bottom w:val="nil"/>
              <w:right w:val="nil"/>
            </w:tcBorders>
            <w:shd w:val="clear" w:color="auto" w:fill="auto"/>
            <w:noWrap/>
            <w:vAlign w:val="bottom"/>
            <w:hideMark/>
          </w:tcPr>
          <w:p w14:paraId="60CBCA28" w14:textId="77777777" w:rsidR="00C72011" w:rsidRDefault="00C72011" w:rsidP="00C72011">
            <w:pPr>
              <w:rPr>
                <w:sz w:val="20"/>
                <w:szCs w:val="20"/>
              </w:rPr>
            </w:pPr>
          </w:p>
        </w:tc>
        <w:tc>
          <w:tcPr>
            <w:tcW w:w="1840" w:type="dxa"/>
            <w:tcBorders>
              <w:top w:val="nil"/>
              <w:left w:val="nil"/>
              <w:bottom w:val="nil"/>
              <w:right w:val="nil"/>
            </w:tcBorders>
            <w:shd w:val="clear" w:color="auto" w:fill="auto"/>
            <w:noWrap/>
            <w:vAlign w:val="bottom"/>
            <w:hideMark/>
          </w:tcPr>
          <w:p w14:paraId="05173C2C" w14:textId="77777777" w:rsidR="00C72011" w:rsidRDefault="00C72011" w:rsidP="0061181E">
            <w:pPr>
              <w:jc w:val="right"/>
              <w:rPr>
                <w:sz w:val="20"/>
                <w:szCs w:val="20"/>
              </w:rPr>
            </w:pPr>
          </w:p>
        </w:tc>
        <w:tc>
          <w:tcPr>
            <w:tcW w:w="1840" w:type="dxa"/>
            <w:tcBorders>
              <w:top w:val="nil"/>
              <w:left w:val="nil"/>
              <w:bottom w:val="nil"/>
              <w:right w:val="nil"/>
            </w:tcBorders>
            <w:shd w:val="clear" w:color="auto" w:fill="auto"/>
            <w:noWrap/>
            <w:vAlign w:val="bottom"/>
            <w:hideMark/>
          </w:tcPr>
          <w:p w14:paraId="676C1D14" w14:textId="77777777" w:rsidR="00C72011" w:rsidRDefault="00C72011" w:rsidP="0061181E">
            <w:pPr>
              <w:jc w:val="right"/>
              <w:rPr>
                <w:sz w:val="20"/>
                <w:szCs w:val="20"/>
              </w:rPr>
            </w:pPr>
          </w:p>
        </w:tc>
      </w:tr>
      <w:tr w:rsidR="00C72011" w14:paraId="4E19E83E" w14:textId="77777777" w:rsidTr="008630CF">
        <w:trPr>
          <w:trHeight w:val="720"/>
        </w:trPr>
        <w:tc>
          <w:tcPr>
            <w:tcW w:w="5600" w:type="dxa"/>
            <w:tcBorders>
              <w:top w:val="nil"/>
              <w:left w:val="nil"/>
              <w:bottom w:val="nil"/>
              <w:right w:val="nil"/>
            </w:tcBorders>
            <w:shd w:val="clear" w:color="auto" w:fill="auto"/>
            <w:vAlign w:val="bottom"/>
            <w:hideMark/>
          </w:tcPr>
          <w:p w14:paraId="74B01C52" w14:textId="77777777" w:rsidR="00C72011" w:rsidRDefault="00C72011" w:rsidP="00C72011">
            <w:pPr>
              <w:rPr>
                <w:rFonts w:ascii="Calibri Light" w:hAnsi="Calibri Light" w:cs="Calibri Light"/>
                <w:i/>
                <w:iCs/>
                <w:color w:val="000000"/>
                <w:sz w:val="18"/>
                <w:szCs w:val="18"/>
              </w:rPr>
            </w:pPr>
            <w:r>
              <w:rPr>
                <w:rFonts w:ascii="Calibri Light" w:hAnsi="Calibri Light"/>
                <w:i/>
                <w:color w:val="000000"/>
                <w:sz w:val="18"/>
              </w:rPr>
              <w:t>Autres éléments du résultat global qui seront ultérieurement reclassés dans le bénéfice/(perte) de la période (nets d'impôts)</w:t>
            </w:r>
          </w:p>
        </w:tc>
        <w:tc>
          <w:tcPr>
            <w:tcW w:w="500" w:type="dxa"/>
            <w:tcBorders>
              <w:top w:val="nil"/>
              <w:left w:val="nil"/>
              <w:bottom w:val="nil"/>
              <w:right w:val="nil"/>
            </w:tcBorders>
            <w:shd w:val="clear" w:color="auto" w:fill="auto"/>
            <w:vAlign w:val="bottom"/>
            <w:hideMark/>
          </w:tcPr>
          <w:p w14:paraId="233B601D" w14:textId="77777777" w:rsidR="00C72011" w:rsidRDefault="00C72011" w:rsidP="00C72011">
            <w:pPr>
              <w:rPr>
                <w:rFonts w:ascii="Calibri Light" w:hAnsi="Calibri Light" w:cs="Calibri Light"/>
                <w:i/>
                <w:iCs/>
                <w:color w:val="000000"/>
                <w:sz w:val="18"/>
                <w:szCs w:val="18"/>
              </w:rPr>
            </w:pPr>
          </w:p>
        </w:tc>
        <w:tc>
          <w:tcPr>
            <w:tcW w:w="1840" w:type="dxa"/>
            <w:tcBorders>
              <w:top w:val="nil"/>
              <w:left w:val="nil"/>
              <w:bottom w:val="nil"/>
              <w:right w:val="nil"/>
            </w:tcBorders>
            <w:shd w:val="clear" w:color="auto" w:fill="auto"/>
            <w:noWrap/>
            <w:vAlign w:val="bottom"/>
            <w:hideMark/>
          </w:tcPr>
          <w:p w14:paraId="37E308C9" w14:textId="4D3D2EBF" w:rsidR="00C72011" w:rsidRDefault="00C72011" w:rsidP="0061181E">
            <w:pPr>
              <w:jc w:val="right"/>
              <w:rPr>
                <w:rFonts w:ascii="Cambria" w:hAnsi="Cambria" w:cs="Arial"/>
                <w:color w:val="000000"/>
                <w:sz w:val="18"/>
                <w:szCs w:val="18"/>
              </w:rPr>
            </w:pPr>
            <w:r>
              <w:rPr>
                <w:rFonts w:ascii="Cambria" w:hAnsi="Cambria"/>
                <w:color w:val="000000"/>
                <w:sz w:val="18"/>
              </w:rPr>
              <w:t xml:space="preserve">                                    - </w:t>
            </w:r>
          </w:p>
        </w:tc>
        <w:tc>
          <w:tcPr>
            <w:tcW w:w="1840" w:type="dxa"/>
            <w:tcBorders>
              <w:top w:val="nil"/>
              <w:left w:val="nil"/>
              <w:bottom w:val="nil"/>
              <w:right w:val="nil"/>
            </w:tcBorders>
            <w:shd w:val="clear" w:color="auto" w:fill="auto"/>
            <w:noWrap/>
            <w:vAlign w:val="bottom"/>
            <w:hideMark/>
          </w:tcPr>
          <w:p w14:paraId="1BD4CF1A" w14:textId="41585583" w:rsidR="00C72011" w:rsidRDefault="00C72011" w:rsidP="0061181E">
            <w:pPr>
              <w:jc w:val="right"/>
              <w:rPr>
                <w:rFonts w:ascii="Cambria" w:hAnsi="Cambria" w:cs="Arial"/>
                <w:color w:val="000000"/>
                <w:sz w:val="18"/>
                <w:szCs w:val="18"/>
              </w:rPr>
            </w:pPr>
            <w:r>
              <w:rPr>
                <w:rFonts w:ascii="Cambria" w:hAnsi="Cambria"/>
                <w:color w:val="000000"/>
                <w:sz w:val="18"/>
              </w:rPr>
              <w:t xml:space="preserve">                                    - </w:t>
            </w:r>
          </w:p>
        </w:tc>
      </w:tr>
      <w:tr w:rsidR="00C72011" w14:paraId="0A65D921" w14:textId="77777777" w:rsidTr="008630CF">
        <w:trPr>
          <w:trHeight w:val="240"/>
        </w:trPr>
        <w:tc>
          <w:tcPr>
            <w:tcW w:w="5600" w:type="dxa"/>
            <w:tcBorders>
              <w:top w:val="nil"/>
              <w:left w:val="nil"/>
              <w:bottom w:val="nil"/>
              <w:right w:val="nil"/>
            </w:tcBorders>
            <w:shd w:val="clear" w:color="auto" w:fill="auto"/>
            <w:noWrap/>
            <w:vAlign w:val="bottom"/>
            <w:hideMark/>
          </w:tcPr>
          <w:p w14:paraId="52EF7D85" w14:textId="77777777" w:rsidR="00C72011" w:rsidRDefault="00C72011" w:rsidP="00C72011">
            <w:pPr>
              <w:rPr>
                <w:rFonts w:ascii="Cambria" w:hAnsi="Cambria" w:cs="Arial"/>
                <w:color w:val="000000"/>
                <w:sz w:val="18"/>
                <w:szCs w:val="18"/>
              </w:rPr>
            </w:pPr>
          </w:p>
        </w:tc>
        <w:tc>
          <w:tcPr>
            <w:tcW w:w="500" w:type="dxa"/>
            <w:tcBorders>
              <w:top w:val="nil"/>
              <w:left w:val="nil"/>
              <w:bottom w:val="nil"/>
              <w:right w:val="nil"/>
            </w:tcBorders>
            <w:shd w:val="clear" w:color="auto" w:fill="auto"/>
            <w:noWrap/>
            <w:vAlign w:val="bottom"/>
            <w:hideMark/>
          </w:tcPr>
          <w:p w14:paraId="48AF3FD7" w14:textId="77777777" w:rsidR="00C72011" w:rsidRDefault="00C72011" w:rsidP="00C72011">
            <w:pPr>
              <w:rPr>
                <w:sz w:val="20"/>
                <w:szCs w:val="20"/>
              </w:rPr>
            </w:pPr>
          </w:p>
        </w:tc>
        <w:tc>
          <w:tcPr>
            <w:tcW w:w="1840" w:type="dxa"/>
            <w:tcBorders>
              <w:top w:val="nil"/>
              <w:left w:val="nil"/>
              <w:bottom w:val="nil"/>
              <w:right w:val="nil"/>
            </w:tcBorders>
            <w:shd w:val="clear" w:color="auto" w:fill="auto"/>
            <w:noWrap/>
            <w:vAlign w:val="bottom"/>
            <w:hideMark/>
          </w:tcPr>
          <w:p w14:paraId="063103DC" w14:textId="77777777" w:rsidR="00C72011" w:rsidRDefault="00C72011" w:rsidP="0061181E">
            <w:pPr>
              <w:jc w:val="right"/>
              <w:rPr>
                <w:sz w:val="20"/>
                <w:szCs w:val="20"/>
              </w:rPr>
            </w:pPr>
          </w:p>
        </w:tc>
        <w:tc>
          <w:tcPr>
            <w:tcW w:w="1840" w:type="dxa"/>
            <w:tcBorders>
              <w:top w:val="nil"/>
              <w:left w:val="nil"/>
              <w:bottom w:val="nil"/>
              <w:right w:val="nil"/>
            </w:tcBorders>
            <w:shd w:val="clear" w:color="auto" w:fill="auto"/>
            <w:noWrap/>
            <w:vAlign w:val="bottom"/>
            <w:hideMark/>
          </w:tcPr>
          <w:p w14:paraId="216DBFDA" w14:textId="77777777" w:rsidR="00C72011" w:rsidRDefault="00C72011" w:rsidP="0061181E">
            <w:pPr>
              <w:jc w:val="right"/>
              <w:rPr>
                <w:sz w:val="20"/>
                <w:szCs w:val="20"/>
              </w:rPr>
            </w:pPr>
          </w:p>
        </w:tc>
      </w:tr>
      <w:tr w:rsidR="00C72011" w14:paraId="0DE24621" w14:textId="77777777" w:rsidTr="008630CF">
        <w:trPr>
          <w:trHeight w:val="255"/>
        </w:trPr>
        <w:tc>
          <w:tcPr>
            <w:tcW w:w="5600" w:type="dxa"/>
            <w:tcBorders>
              <w:top w:val="nil"/>
              <w:left w:val="nil"/>
              <w:bottom w:val="nil"/>
              <w:right w:val="nil"/>
            </w:tcBorders>
            <w:shd w:val="clear" w:color="auto" w:fill="auto"/>
            <w:noWrap/>
            <w:vAlign w:val="bottom"/>
            <w:hideMark/>
          </w:tcPr>
          <w:p w14:paraId="00476CAE" w14:textId="77777777" w:rsidR="00C72011" w:rsidRDefault="00C72011" w:rsidP="00C72011">
            <w:pPr>
              <w:rPr>
                <w:rFonts w:ascii="Calibri Light" w:hAnsi="Calibri Light" w:cs="Calibri Light"/>
                <w:b/>
                <w:bCs/>
                <w:color w:val="000000"/>
                <w:sz w:val="18"/>
                <w:szCs w:val="18"/>
              </w:rPr>
            </w:pPr>
            <w:r>
              <w:rPr>
                <w:rFonts w:ascii="Calibri Light" w:hAnsi="Calibri Light"/>
                <w:b/>
                <w:color w:val="000000"/>
                <w:sz w:val="18"/>
              </w:rPr>
              <w:t>RÉSULTAT GLOBAL POUR LA PÉRIODE</w:t>
            </w:r>
          </w:p>
        </w:tc>
        <w:tc>
          <w:tcPr>
            <w:tcW w:w="500" w:type="dxa"/>
            <w:tcBorders>
              <w:top w:val="nil"/>
              <w:left w:val="nil"/>
              <w:bottom w:val="nil"/>
              <w:right w:val="nil"/>
            </w:tcBorders>
            <w:shd w:val="clear" w:color="auto" w:fill="auto"/>
            <w:noWrap/>
            <w:vAlign w:val="bottom"/>
            <w:hideMark/>
          </w:tcPr>
          <w:p w14:paraId="4F2110B3" w14:textId="77777777" w:rsidR="00C72011" w:rsidRDefault="00C72011" w:rsidP="00C72011">
            <w:pPr>
              <w:rPr>
                <w:rFonts w:ascii="Calibri Light" w:hAnsi="Calibri Light" w:cs="Calibri Light"/>
                <w:b/>
                <w:bCs/>
                <w:color w:val="000000"/>
                <w:sz w:val="18"/>
                <w:szCs w:val="18"/>
              </w:rPr>
            </w:pPr>
          </w:p>
        </w:tc>
        <w:tc>
          <w:tcPr>
            <w:tcW w:w="1840" w:type="dxa"/>
            <w:tcBorders>
              <w:top w:val="single" w:sz="4" w:space="0" w:color="auto"/>
              <w:left w:val="nil"/>
              <w:bottom w:val="single" w:sz="8" w:space="0" w:color="auto"/>
              <w:right w:val="nil"/>
            </w:tcBorders>
            <w:shd w:val="clear" w:color="auto" w:fill="auto"/>
            <w:noWrap/>
            <w:vAlign w:val="bottom"/>
            <w:hideMark/>
          </w:tcPr>
          <w:p w14:paraId="428A736D" w14:textId="363C912C" w:rsidR="00C72011" w:rsidRDefault="00C72011" w:rsidP="00091BEF">
            <w:pPr>
              <w:jc w:val="right"/>
              <w:rPr>
                <w:rFonts w:ascii="Calibri Light" w:hAnsi="Calibri Light" w:cs="Calibri Light"/>
                <w:b/>
                <w:bCs/>
                <w:color w:val="000000"/>
                <w:sz w:val="18"/>
                <w:szCs w:val="18"/>
              </w:rPr>
            </w:pPr>
            <w:r>
              <w:rPr>
                <w:rFonts w:ascii="Calibri Light" w:hAnsi="Calibri Light"/>
                <w:b/>
                <w:color w:val="000000"/>
                <w:sz w:val="18"/>
              </w:rPr>
              <w:t>2 131 748</w:t>
            </w:r>
          </w:p>
        </w:tc>
        <w:tc>
          <w:tcPr>
            <w:tcW w:w="1840" w:type="dxa"/>
            <w:tcBorders>
              <w:top w:val="single" w:sz="4" w:space="0" w:color="auto"/>
              <w:left w:val="nil"/>
              <w:bottom w:val="single" w:sz="8" w:space="0" w:color="auto"/>
              <w:right w:val="nil"/>
            </w:tcBorders>
            <w:shd w:val="clear" w:color="auto" w:fill="auto"/>
            <w:noWrap/>
            <w:vAlign w:val="bottom"/>
            <w:hideMark/>
          </w:tcPr>
          <w:p w14:paraId="547B0100" w14:textId="4CF6F4D8" w:rsidR="00C72011" w:rsidRDefault="00C72011" w:rsidP="00091BEF">
            <w:pPr>
              <w:jc w:val="right"/>
              <w:rPr>
                <w:rFonts w:ascii="Calibri Light" w:hAnsi="Calibri Light" w:cs="Calibri Light"/>
                <w:b/>
                <w:bCs/>
                <w:color w:val="000000"/>
                <w:sz w:val="18"/>
                <w:szCs w:val="18"/>
              </w:rPr>
            </w:pPr>
            <w:r>
              <w:rPr>
                <w:rFonts w:ascii="Calibri Light" w:hAnsi="Calibri Light"/>
                <w:b/>
                <w:color w:val="000000"/>
                <w:sz w:val="18"/>
              </w:rPr>
              <w:t>615 687</w:t>
            </w:r>
          </w:p>
        </w:tc>
      </w:tr>
    </w:tbl>
    <w:p w14:paraId="1C6717C4" w14:textId="30305216" w:rsidR="00790334" w:rsidRDefault="00790334" w:rsidP="00E16D12">
      <w:pPr>
        <w:rPr>
          <w:highlight w:val="green"/>
        </w:rPr>
      </w:pPr>
    </w:p>
    <w:p w14:paraId="437EAA30" w14:textId="77777777" w:rsidR="00E16D12" w:rsidRPr="00FC0C93" w:rsidRDefault="00E16D12" w:rsidP="00E16D12">
      <w:pPr>
        <w:rPr>
          <w:highlight w:val="green"/>
        </w:rPr>
      </w:pPr>
    </w:p>
    <w:p w14:paraId="1011E679" w14:textId="77777777" w:rsidR="00E16D12" w:rsidRPr="00C17031" w:rsidRDefault="00E16D12" w:rsidP="00E16D12">
      <w:pPr>
        <w:spacing w:after="200" w:line="276" w:lineRule="auto"/>
        <w:rPr>
          <w:b/>
          <w:bCs/>
          <w:iCs/>
          <w:sz w:val="28"/>
          <w:szCs w:val="28"/>
          <w:highlight w:val="green"/>
        </w:rPr>
      </w:pPr>
      <w:r>
        <w:br w:type="page"/>
      </w:r>
    </w:p>
    <w:p w14:paraId="6E1FB8D7" w14:textId="048A2FE6" w:rsidR="00431871" w:rsidRPr="00877A73" w:rsidRDefault="00E16D12" w:rsidP="007C6746">
      <w:pPr>
        <w:pStyle w:val="Titolo1"/>
        <w:spacing w:line="240" w:lineRule="auto"/>
        <w:ind w:left="0" w:right="0"/>
        <w:rPr>
          <w:sz w:val="28"/>
        </w:rPr>
      </w:pPr>
      <w:bookmarkStart w:id="46" w:name="_Toc112768617"/>
      <w:r>
        <w:rPr>
          <w:sz w:val="28"/>
        </w:rPr>
        <w:lastRenderedPageBreak/>
        <w:t>État des variations des capitaux propres</w:t>
      </w:r>
      <w:bookmarkEnd w:id="46"/>
    </w:p>
    <w:p w14:paraId="26EF9D70" w14:textId="6AEDDAF1" w:rsidR="000944E7" w:rsidRDefault="000944E7" w:rsidP="00F31608"/>
    <w:tbl>
      <w:tblPr>
        <w:tblW w:w="0" w:type="auto"/>
        <w:tblLayout w:type="fixed"/>
        <w:tblCellMar>
          <w:left w:w="70" w:type="dxa"/>
          <w:right w:w="70" w:type="dxa"/>
        </w:tblCellMar>
        <w:tblLook w:val="04A0" w:firstRow="1" w:lastRow="0" w:firstColumn="1" w:lastColumn="0" w:noHBand="0" w:noVBand="1"/>
      </w:tblPr>
      <w:tblGrid>
        <w:gridCol w:w="2694"/>
        <w:gridCol w:w="442"/>
        <w:gridCol w:w="1048"/>
        <w:gridCol w:w="1016"/>
        <w:gridCol w:w="894"/>
        <w:gridCol w:w="698"/>
        <w:gridCol w:w="1094"/>
        <w:gridCol w:w="1043"/>
        <w:gridCol w:w="709"/>
      </w:tblGrid>
      <w:tr w:rsidR="002B1954" w:rsidRPr="002B1954" w14:paraId="618A3B68" w14:textId="77777777" w:rsidTr="008A28F5">
        <w:trPr>
          <w:trHeight w:val="2010"/>
        </w:trPr>
        <w:tc>
          <w:tcPr>
            <w:tcW w:w="2694" w:type="dxa"/>
            <w:tcBorders>
              <w:top w:val="single" w:sz="8" w:space="0" w:color="0070C0"/>
              <w:left w:val="nil"/>
              <w:bottom w:val="single" w:sz="8" w:space="0" w:color="0070C0"/>
              <w:right w:val="nil"/>
            </w:tcBorders>
            <w:shd w:val="clear" w:color="auto" w:fill="auto"/>
            <w:noWrap/>
            <w:vAlign w:val="center"/>
            <w:hideMark/>
          </w:tcPr>
          <w:p w14:paraId="0CDB0494" w14:textId="77777777" w:rsidR="002B1954" w:rsidRPr="002B1954" w:rsidRDefault="002B1954">
            <w:pPr>
              <w:rPr>
                <w:rFonts w:ascii="Cambria" w:hAnsi="Cambria" w:cs="Arial"/>
                <w:color w:val="000000"/>
                <w:sz w:val="12"/>
                <w:szCs w:val="12"/>
              </w:rPr>
            </w:pPr>
            <w:r>
              <w:rPr>
                <w:rFonts w:ascii="Cambria" w:hAnsi="Cambria"/>
                <w:color w:val="000000"/>
                <w:sz w:val="12"/>
              </w:rPr>
              <w:t>(</w:t>
            </w:r>
            <w:proofErr w:type="gramStart"/>
            <w:r>
              <w:rPr>
                <w:rFonts w:ascii="Cambria" w:hAnsi="Cambria"/>
                <w:color w:val="000000"/>
                <w:sz w:val="12"/>
              </w:rPr>
              <w:t>en</w:t>
            </w:r>
            <w:proofErr w:type="gramEnd"/>
            <w:r>
              <w:rPr>
                <w:rFonts w:ascii="Cambria" w:hAnsi="Cambria"/>
                <w:color w:val="000000"/>
                <w:sz w:val="12"/>
              </w:rPr>
              <w:t xml:space="preserve"> euros)</w:t>
            </w:r>
          </w:p>
        </w:tc>
        <w:tc>
          <w:tcPr>
            <w:tcW w:w="442" w:type="dxa"/>
            <w:tcBorders>
              <w:top w:val="single" w:sz="8" w:space="0" w:color="0070C0"/>
              <w:left w:val="nil"/>
              <w:bottom w:val="single" w:sz="8" w:space="0" w:color="0070C0"/>
              <w:right w:val="nil"/>
            </w:tcBorders>
            <w:shd w:val="clear" w:color="auto" w:fill="auto"/>
            <w:vAlign w:val="center"/>
            <w:hideMark/>
          </w:tcPr>
          <w:p w14:paraId="494B4CB3"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Note</w:t>
            </w:r>
          </w:p>
        </w:tc>
        <w:tc>
          <w:tcPr>
            <w:tcW w:w="1048" w:type="dxa"/>
            <w:tcBorders>
              <w:top w:val="single" w:sz="8" w:space="0" w:color="0070C0"/>
              <w:left w:val="nil"/>
              <w:bottom w:val="single" w:sz="8" w:space="0" w:color="0070C0"/>
              <w:right w:val="nil"/>
            </w:tcBorders>
            <w:shd w:val="clear" w:color="auto" w:fill="auto"/>
            <w:vAlign w:val="center"/>
            <w:hideMark/>
          </w:tcPr>
          <w:p w14:paraId="68CA4BF0"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Capital social</w:t>
            </w:r>
          </w:p>
        </w:tc>
        <w:tc>
          <w:tcPr>
            <w:tcW w:w="1016" w:type="dxa"/>
            <w:tcBorders>
              <w:top w:val="single" w:sz="8" w:space="0" w:color="0070C0"/>
              <w:left w:val="nil"/>
              <w:bottom w:val="single" w:sz="8" w:space="0" w:color="0070C0"/>
              <w:right w:val="nil"/>
            </w:tcBorders>
            <w:shd w:val="clear" w:color="auto" w:fill="auto"/>
            <w:vAlign w:val="center"/>
            <w:hideMark/>
          </w:tcPr>
          <w:p w14:paraId="33D01905"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Réserve légale</w:t>
            </w:r>
          </w:p>
        </w:tc>
        <w:tc>
          <w:tcPr>
            <w:tcW w:w="894" w:type="dxa"/>
            <w:tcBorders>
              <w:top w:val="single" w:sz="8" w:space="0" w:color="0070C0"/>
              <w:left w:val="nil"/>
              <w:bottom w:val="single" w:sz="8" w:space="0" w:color="0070C0"/>
              <w:right w:val="nil"/>
            </w:tcBorders>
            <w:shd w:val="clear" w:color="auto" w:fill="auto"/>
            <w:vAlign w:val="center"/>
            <w:hideMark/>
          </w:tcPr>
          <w:p w14:paraId="515C9EB2"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Réserve de conversion aux normes IAS/IFRS</w:t>
            </w:r>
          </w:p>
        </w:tc>
        <w:tc>
          <w:tcPr>
            <w:tcW w:w="698" w:type="dxa"/>
            <w:tcBorders>
              <w:top w:val="single" w:sz="8" w:space="0" w:color="0070C0"/>
              <w:left w:val="nil"/>
              <w:bottom w:val="single" w:sz="8" w:space="0" w:color="0070C0"/>
              <w:right w:val="nil"/>
            </w:tcBorders>
            <w:shd w:val="clear" w:color="auto" w:fill="auto"/>
            <w:vAlign w:val="center"/>
            <w:hideMark/>
          </w:tcPr>
          <w:p w14:paraId="6940F03F"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Autres réserves</w:t>
            </w:r>
          </w:p>
        </w:tc>
        <w:tc>
          <w:tcPr>
            <w:tcW w:w="1094" w:type="dxa"/>
            <w:tcBorders>
              <w:top w:val="single" w:sz="8" w:space="0" w:color="0070C0"/>
              <w:left w:val="nil"/>
              <w:bottom w:val="single" w:sz="8" w:space="0" w:color="0070C0"/>
              <w:right w:val="nil"/>
            </w:tcBorders>
            <w:shd w:val="clear" w:color="auto" w:fill="auto"/>
            <w:vAlign w:val="center"/>
            <w:hideMark/>
          </w:tcPr>
          <w:p w14:paraId="7B4D9C11"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Bénéfices/(pertes) des périodes précédentes</w:t>
            </w:r>
          </w:p>
        </w:tc>
        <w:tc>
          <w:tcPr>
            <w:tcW w:w="1043" w:type="dxa"/>
            <w:tcBorders>
              <w:top w:val="single" w:sz="8" w:space="0" w:color="0070C0"/>
              <w:left w:val="nil"/>
              <w:bottom w:val="single" w:sz="8" w:space="0" w:color="0070C0"/>
              <w:right w:val="nil"/>
            </w:tcBorders>
            <w:shd w:val="clear" w:color="auto" w:fill="auto"/>
            <w:vAlign w:val="center"/>
            <w:hideMark/>
          </w:tcPr>
          <w:p w14:paraId="6B6929B1"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Bénéfice/(pertes) de la période</w:t>
            </w:r>
          </w:p>
        </w:tc>
        <w:tc>
          <w:tcPr>
            <w:tcW w:w="709" w:type="dxa"/>
            <w:tcBorders>
              <w:top w:val="single" w:sz="8" w:space="0" w:color="0070C0"/>
              <w:left w:val="nil"/>
              <w:bottom w:val="single" w:sz="8" w:space="0" w:color="0070C0"/>
              <w:right w:val="nil"/>
            </w:tcBorders>
            <w:shd w:val="clear" w:color="auto" w:fill="auto"/>
            <w:vAlign w:val="center"/>
            <w:hideMark/>
          </w:tcPr>
          <w:p w14:paraId="3C714C55"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Total</w:t>
            </w:r>
          </w:p>
        </w:tc>
      </w:tr>
      <w:tr w:rsidR="002B1954" w:rsidRPr="002B1954" w14:paraId="74FB1504" w14:textId="77777777" w:rsidTr="008A28F5">
        <w:trPr>
          <w:trHeight w:val="315"/>
        </w:trPr>
        <w:tc>
          <w:tcPr>
            <w:tcW w:w="2694" w:type="dxa"/>
            <w:tcBorders>
              <w:top w:val="nil"/>
              <w:left w:val="nil"/>
              <w:bottom w:val="nil"/>
              <w:right w:val="nil"/>
            </w:tcBorders>
            <w:shd w:val="clear" w:color="auto" w:fill="auto"/>
            <w:noWrap/>
            <w:vAlign w:val="center"/>
            <w:hideMark/>
          </w:tcPr>
          <w:p w14:paraId="0F15FF84" w14:textId="77777777" w:rsidR="002B1954" w:rsidRPr="002B1954" w:rsidRDefault="002B1954">
            <w:pPr>
              <w:rPr>
                <w:rFonts w:ascii="Cambria" w:hAnsi="Cambria" w:cs="Arial"/>
                <w:b/>
                <w:bCs/>
                <w:color w:val="000000"/>
                <w:sz w:val="12"/>
                <w:szCs w:val="12"/>
              </w:rPr>
            </w:pPr>
            <w:r>
              <w:rPr>
                <w:rFonts w:ascii="Cambria" w:hAnsi="Cambria"/>
                <w:b/>
                <w:color w:val="000000"/>
                <w:sz w:val="12"/>
              </w:rPr>
              <w:t>Bilan au 31 décembre 2019</w:t>
            </w:r>
          </w:p>
        </w:tc>
        <w:tc>
          <w:tcPr>
            <w:tcW w:w="442" w:type="dxa"/>
            <w:tcBorders>
              <w:top w:val="nil"/>
              <w:left w:val="nil"/>
              <w:bottom w:val="nil"/>
              <w:right w:val="nil"/>
            </w:tcBorders>
            <w:shd w:val="clear" w:color="auto" w:fill="auto"/>
            <w:noWrap/>
            <w:vAlign w:val="bottom"/>
            <w:hideMark/>
          </w:tcPr>
          <w:p w14:paraId="59F832A9" w14:textId="77777777" w:rsidR="002B1954" w:rsidRPr="002B1954" w:rsidRDefault="002B1954">
            <w:pPr>
              <w:rPr>
                <w:rFonts w:ascii="Cambria" w:hAnsi="Cambria" w:cs="Arial"/>
                <w:b/>
                <w:bCs/>
                <w:color w:val="000000"/>
                <w:sz w:val="12"/>
                <w:szCs w:val="12"/>
              </w:rPr>
            </w:pPr>
          </w:p>
        </w:tc>
        <w:tc>
          <w:tcPr>
            <w:tcW w:w="1048" w:type="dxa"/>
            <w:tcBorders>
              <w:top w:val="nil"/>
              <w:left w:val="nil"/>
              <w:bottom w:val="single" w:sz="8" w:space="0" w:color="auto"/>
              <w:right w:val="nil"/>
            </w:tcBorders>
            <w:shd w:val="clear" w:color="auto" w:fill="auto"/>
            <w:noWrap/>
            <w:vAlign w:val="center"/>
            <w:hideMark/>
          </w:tcPr>
          <w:p w14:paraId="21BC50B8" w14:textId="77777777" w:rsidR="002B1954" w:rsidRPr="002B1954" w:rsidRDefault="002B1954">
            <w:pPr>
              <w:jc w:val="right"/>
              <w:rPr>
                <w:rFonts w:ascii="Cambria" w:hAnsi="Cambria" w:cs="Arial"/>
                <w:b/>
                <w:bCs/>
                <w:color w:val="000000"/>
                <w:sz w:val="12"/>
                <w:szCs w:val="12"/>
              </w:rPr>
            </w:pPr>
            <w:r>
              <w:rPr>
                <w:rFonts w:ascii="Cambria" w:hAnsi="Cambria"/>
                <w:b/>
                <w:color w:val="000000"/>
                <w:sz w:val="12"/>
              </w:rPr>
              <w:t>596 667</w:t>
            </w:r>
          </w:p>
        </w:tc>
        <w:tc>
          <w:tcPr>
            <w:tcW w:w="1016" w:type="dxa"/>
            <w:tcBorders>
              <w:top w:val="nil"/>
              <w:left w:val="nil"/>
              <w:bottom w:val="single" w:sz="8" w:space="0" w:color="auto"/>
              <w:right w:val="nil"/>
            </w:tcBorders>
            <w:shd w:val="clear" w:color="auto" w:fill="auto"/>
            <w:noWrap/>
            <w:vAlign w:val="center"/>
            <w:hideMark/>
          </w:tcPr>
          <w:p w14:paraId="507155B8" w14:textId="77777777" w:rsidR="002B1954" w:rsidRPr="002B1954" w:rsidRDefault="002B1954">
            <w:pPr>
              <w:jc w:val="right"/>
              <w:rPr>
                <w:rFonts w:ascii="Cambria" w:hAnsi="Cambria" w:cs="Arial"/>
                <w:b/>
                <w:bCs/>
                <w:color w:val="000000"/>
                <w:sz w:val="12"/>
                <w:szCs w:val="12"/>
              </w:rPr>
            </w:pPr>
            <w:r>
              <w:rPr>
                <w:rFonts w:ascii="Cambria" w:hAnsi="Cambria"/>
                <w:b/>
                <w:color w:val="000000"/>
                <w:sz w:val="12"/>
              </w:rPr>
              <w:t>45 333</w:t>
            </w:r>
          </w:p>
        </w:tc>
        <w:tc>
          <w:tcPr>
            <w:tcW w:w="894" w:type="dxa"/>
            <w:tcBorders>
              <w:top w:val="nil"/>
              <w:left w:val="nil"/>
              <w:bottom w:val="single" w:sz="8" w:space="0" w:color="auto"/>
              <w:right w:val="nil"/>
            </w:tcBorders>
            <w:shd w:val="clear" w:color="auto" w:fill="auto"/>
            <w:noWrap/>
            <w:vAlign w:val="center"/>
            <w:hideMark/>
          </w:tcPr>
          <w:p w14:paraId="26F25A7F"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2 440 366</w:t>
            </w:r>
          </w:p>
        </w:tc>
        <w:tc>
          <w:tcPr>
            <w:tcW w:w="698" w:type="dxa"/>
            <w:tcBorders>
              <w:top w:val="nil"/>
              <w:left w:val="nil"/>
              <w:bottom w:val="single" w:sz="8" w:space="0" w:color="auto"/>
              <w:right w:val="nil"/>
            </w:tcBorders>
            <w:shd w:val="clear" w:color="auto" w:fill="auto"/>
            <w:noWrap/>
            <w:vAlign w:val="center"/>
            <w:hideMark/>
          </w:tcPr>
          <w:p w14:paraId="3A868E22" w14:textId="77777777" w:rsidR="002B1954" w:rsidRPr="002B1954" w:rsidRDefault="002B1954">
            <w:pPr>
              <w:jc w:val="right"/>
              <w:rPr>
                <w:rFonts w:ascii="Cambria" w:hAnsi="Cambria" w:cs="Arial"/>
                <w:b/>
                <w:bCs/>
                <w:color w:val="000000"/>
                <w:sz w:val="12"/>
                <w:szCs w:val="12"/>
              </w:rPr>
            </w:pPr>
            <w:r>
              <w:rPr>
                <w:rFonts w:ascii="Cambria" w:hAnsi="Cambria"/>
                <w:b/>
                <w:color w:val="000000"/>
                <w:sz w:val="12"/>
              </w:rPr>
              <w:t>6 196 113</w:t>
            </w:r>
          </w:p>
        </w:tc>
        <w:tc>
          <w:tcPr>
            <w:tcW w:w="1094" w:type="dxa"/>
            <w:tcBorders>
              <w:top w:val="nil"/>
              <w:left w:val="nil"/>
              <w:bottom w:val="single" w:sz="8" w:space="0" w:color="auto"/>
              <w:right w:val="nil"/>
            </w:tcBorders>
            <w:shd w:val="clear" w:color="auto" w:fill="auto"/>
            <w:noWrap/>
            <w:vAlign w:val="center"/>
            <w:hideMark/>
          </w:tcPr>
          <w:p w14:paraId="57077994" w14:textId="77777777" w:rsidR="002B1954" w:rsidRPr="002B1954" w:rsidRDefault="002B1954">
            <w:pPr>
              <w:jc w:val="right"/>
              <w:rPr>
                <w:rFonts w:ascii="Cambria" w:hAnsi="Cambria" w:cs="Arial"/>
                <w:b/>
                <w:bCs/>
                <w:i/>
                <w:iCs/>
                <w:color w:val="000000"/>
                <w:sz w:val="12"/>
                <w:szCs w:val="12"/>
              </w:rPr>
            </w:pPr>
            <w:r>
              <w:rPr>
                <w:rFonts w:ascii="Cambria" w:hAnsi="Cambria"/>
                <w:b/>
                <w:i/>
                <w:color w:val="000000"/>
                <w:sz w:val="12"/>
              </w:rPr>
              <w:t>-15 105</w:t>
            </w:r>
          </w:p>
        </w:tc>
        <w:tc>
          <w:tcPr>
            <w:tcW w:w="1043" w:type="dxa"/>
            <w:tcBorders>
              <w:top w:val="nil"/>
              <w:left w:val="nil"/>
              <w:bottom w:val="single" w:sz="8" w:space="0" w:color="auto"/>
              <w:right w:val="nil"/>
            </w:tcBorders>
            <w:shd w:val="clear" w:color="auto" w:fill="auto"/>
            <w:noWrap/>
            <w:vAlign w:val="center"/>
            <w:hideMark/>
          </w:tcPr>
          <w:p w14:paraId="54D00AB1" w14:textId="77777777" w:rsidR="002B1954" w:rsidRPr="002B1954" w:rsidRDefault="002B1954">
            <w:pPr>
              <w:jc w:val="right"/>
              <w:rPr>
                <w:rFonts w:ascii="Cambria" w:hAnsi="Cambria" w:cs="Arial"/>
                <w:b/>
                <w:bCs/>
                <w:i/>
                <w:iCs/>
                <w:color w:val="000000"/>
                <w:sz w:val="12"/>
                <w:szCs w:val="12"/>
              </w:rPr>
            </w:pPr>
            <w:r>
              <w:rPr>
                <w:rFonts w:ascii="Cambria" w:hAnsi="Cambria"/>
                <w:b/>
                <w:i/>
                <w:color w:val="000000"/>
                <w:sz w:val="12"/>
              </w:rPr>
              <w:t>3 569 602</w:t>
            </w:r>
          </w:p>
        </w:tc>
        <w:tc>
          <w:tcPr>
            <w:tcW w:w="709" w:type="dxa"/>
            <w:tcBorders>
              <w:top w:val="nil"/>
              <w:left w:val="nil"/>
              <w:bottom w:val="single" w:sz="8" w:space="0" w:color="auto"/>
              <w:right w:val="nil"/>
            </w:tcBorders>
            <w:shd w:val="clear" w:color="auto" w:fill="auto"/>
            <w:noWrap/>
            <w:vAlign w:val="center"/>
            <w:hideMark/>
          </w:tcPr>
          <w:p w14:paraId="4C36FFAB" w14:textId="77777777" w:rsidR="002B1954" w:rsidRPr="002B1954" w:rsidRDefault="002B1954">
            <w:pPr>
              <w:jc w:val="right"/>
              <w:rPr>
                <w:rFonts w:ascii="Cambria" w:hAnsi="Cambria" w:cs="Arial"/>
                <w:b/>
                <w:bCs/>
                <w:color w:val="000000"/>
                <w:sz w:val="12"/>
                <w:szCs w:val="12"/>
              </w:rPr>
            </w:pPr>
            <w:r>
              <w:rPr>
                <w:rFonts w:ascii="Cambria" w:hAnsi="Cambria"/>
                <w:b/>
                <w:color w:val="000000"/>
                <w:sz w:val="12"/>
              </w:rPr>
              <w:t>12 813 311</w:t>
            </w:r>
          </w:p>
        </w:tc>
      </w:tr>
      <w:tr w:rsidR="002B1954" w:rsidRPr="002B1954" w14:paraId="04ECD316" w14:textId="77777777" w:rsidTr="008A28F5">
        <w:trPr>
          <w:trHeight w:val="300"/>
        </w:trPr>
        <w:tc>
          <w:tcPr>
            <w:tcW w:w="2694" w:type="dxa"/>
            <w:tcBorders>
              <w:top w:val="nil"/>
              <w:left w:val="nil"/>
              <w:bottom w:val="nil"/>
              <w:right w:val="nil"/>
            </w:tcBorders>
            <w:shd w:val="clear" w:color="auto" w:fill="auto"/>
            <w:noWrap/>
            <w:vAlign w:val="bottom"/>
            <w:hideMark/>
          </w:tcPr>
          <w:p w14:paraId="5F6228BF" w14:textId="77777777" w:rsidR="002B1954" w:rsidRPr="002B1954" w:rsidRDefault="002B1954">
            <w:pPr>
              <w:jc w:val="right"/>
              <w:rPr>
                <w:rFonts w:ascii="Cambria" w:hAnsi="Cambria" w:cs="Arial"/>
                <w:b/>
                <w:bCs/>
                <w:color w:val="000000"/>
                <w:sz w:val="12"/>
                <w:szCs w:val="12"/>
              </w:rPr>
            </w:pPr>
          </w:p>
        </w:tc>
        <w:tc>
          <w:tcPr>
            <w:tcW w:w="442" w:type="dxa"/>
            <w:tcBorders>
              <w:top w:val="nil"/>
              <w:left w:val="nil"/>
              <w:bottom w:val="nil"/>
              <w:right w:val="nil"/>
            </w:tcBorders>
            <w:shd w:val="clear" w:color="auto" w:fill="auto"/>
            <w:noWrap/>
            <w:vAlign w:val="bottom"/>
            <w:hideMark/>
          </w:tcPr>
          <w:p w14:paraId="53C20F9C" w14:textId="77777777" w:rsidR="002B1954" w:rsidRPr="002B1954" w:rsidRDefault="002B1954">
            <w:pPr>
              <w:rPr>
                <w:sz w:val="12"/>
                <w:szCs w:val="12"/>
              </w:rPr>
            </w:pPr>
          </w:p>
        </w:tc>
        <w:tc>
          <w:tcPr>
            <w:tcW w:w="1048" w:type="dxa"/>
            <w:tcBorders>
              <w:top w:val="nil"/>
              <w:left w:val="nil"/>
              <w:bottom w:val="nil"/>
              <w:right w:val="nil"/>
            </w:tcBorders>
            <w:shd w:val="clear" w:color="auto" w:fill="auto"/>
            <w:noWrap/>
            <w:vAlign w:val="bottom"/>
            <w:hideMark/>
          </w:tcPr>
          <w:p w14:paraId="56DDC6E9" w14:textId="77777777" w:rsidR="002B1954" w:rsidRPr="002B1954" w:rsidRDefault="002B1954">
            <w:pPr>
              <w:rPr>
                <w:sz w:val="12"/>
                <w:szCs w:val="12"/>
              </w:rPr>
            </w:pPr>
          </w:p>
        </w:tc>
        <w:tc>
          <w:tcPr>
            <w:tcW w:w="1016" w:type="dxa"/>
            <w:tcBorders>
              <w:top w:val="nil"/>
              <w:left w:val="nil"/>
              <w:bottom w:val="nil"/>
              <w:right w:val="nil"/>
            </w:tcBorders>
            <w:shd w:val="clear" w:color="auto" w:fill="auto"/>
            <w:noWrap/>
            <w:vAlign w:val="bottom"/>
            <w:hideMark/>
          </w:tcPr>
          <w:p w14:paraId="1524C06C" w14:textId="77777777" w:rsidR="002B1954" w:rsidRPr="002B1954" w:rsidRDefault="002B1954">
            <w:pPr>
              <w:rPr>
                <w:sz w:val="12"/>
                <w:szCs w:val="12"/>
              </w:rPr>
            </w:pPr>
          </w:p>
        </w:tc>
        <w:tc>
          <w:tcPr>
            <w:tcW w:w="894" w:type="dxa"/>
            <w:tcBorders>
              <w:top w:val="nil"/>
              <w:left w:val="nil"/>
              <w:bottom w:val="nil"/>
              <w:right w:val="nil"/>
            </w:tcBorders>
            <w:shd w:val="clear" w:color="auto" w:fill="auto"/>
            <w:noWrap/>
            <w:vAlign w:val="bottom"/>
            <w:hideMark/>
          </w:tcPr>
          <w:p w14:paraId="3DF6B8AA" w14:textId="77777777" w:rsidR="002B1954" w:rsidRPr="002B1954" w:rsidRDefault="002B1954">
            <w:pPr>
              <w:rPr>
                <w:sz w:val="12"/>
                <w:szCs w:val="12"/>
              </w:rPr>
            </w:pPr>
          </w:p>
        </w:tc>
        <w:tc>
          <w:tcPr>
            <w:tcW w:w="698" w:type="dxa"/>
            <w:tcBorders>
              <w:top w:val="nil"/>
              <w:left w:val="nil"/>
              <w:bottom w:val="nil"/>
              <w:right w:val="nil"/>
            </w:tcBorders>
            <w:shd w:val="clear" w:color="auto" w:fill="auto"/>
            <w:noWrap/>
            <w:vAlign w:val="bottom"/>
            <w:hideMark/>
          </w:tcPr>
          <w:p w14:paraId="3D172BE6" w14:textId="77777777" w:rsidR="002B1954" w:rsidRPr="002B1954" w:rsidRDefault="002B1954">
            <w:pPr>
              <w:rPr>
                <w:sz w:val="12"/>
                <w:szCs w:val="12"/>
              </w:rPr>
            </w:pPr>
          </w:p>
        </w:tc>
        <w:tc>
          <w:tcPr>
            <w:tcW w:w="1094" w:type="dxa"/>
            <w:tcBorders>
              <w:top w:val="nil"/>
              <w:left w:val="nil"/>
              <w:bottom w:val="nil"/>
              <w:right w:val="nil"/>
            </w:tcBorders>
            <w:shd w:val="clear" w:color="auto" w:fill="auto"/>
            <w:noWrap/>
            <w:vAlign w:val="bottom"/>
            <w:hideMark/>
          </w:tcPr>
          <w:p w14:paraId="3CFBDDBD" w14:textId="77777777" w:rsidR="002B1954" w:rsidRPr="002B1954" w:rsidRDefault="002B1954">
            <w:pPr>
              <w:rPr>
                <w:sz w:val="12"/>
                <w:szCs w:val="12"/>
              </w:rPr>
            </w:pPr>
          </w:p>
        </w:tc>
        <w:tc>
          <w:tcPr>
            <w:tcW w:w="1043" w:type="dxa"/>
            <w:tcBorders>
              <w:top w:val="nil"/>
              <w:left w:val="nil"/>
              <w:bottom w:val="nil"/>
              <w:right w:val="nil"/>
            </w:tcBorders>
            <w:shd w:val="clear" w:color="auto" w:fill="auto"/>
            <w:noWrap/>
            <w:vAlign w:val="bottom"/>
            <w:hideMark/>
          </w:tcPr>
          <w:p w14:paraId="25766491" w14:textId="77777777" w:rsidR="002B1954" w:rsidRPr="002B1954" w:rsidRDefault="002B1954">
            <w:pPr>
              <w:rPr>
                <w:sz w:val="12"/>
                <w:szCs w:val="12"/>
              </w:rPr>
            </w:pPr>
          </w:p>
        </w:tc>
        <w:tc>
          <w:tcPr>
            <w:tcW w:w="709" w:type="dxa"/>
            <w:tcBorders>
              <w:top w:val="nil"/>
              <w:left w:val="nil"/>
              <w:bottom w:val="nil"/>
              <w:right w:val="nil"/>
            </w:tcBorders>
            <w:shd w:val="clear" w:color="auto" w:fill="auto"/>
            <w:noWrap/>
            <w:vAlign w:val="bottom"/>
            <w:hideMark/>
          </w:tcPr>
          <w:p w14:paraId="49FCDE66" w14:textId="77777777" w:rsidR="002B1954" w:rsidRPr="002B1954" w:rsidRDefault="002B1954">
            <w:pPr>
              <w:rPr>
                <w:sz w:val="12"/>
                <w:szCs w:val="12"/>
              </w:rPr>
            </w:pPr>
          </w:p>
        </w:tc>
      </w:tr>
      <w:tr w:rsidR="002B1954" w:rsidRPr="002B1954" w14:paraId="4505C313" w14:textId="77777777" w:rsidTr="008A28F5">
        <w:trPr>
          <w:trHeight w:val="300"/>
        </w:trPr>
        <w:tc>
          <w:tcPr>
            <w:tcW w:w="2694" w:type="dxa"/>
            <w:tcBorders>
              <w:top w:val="nil"/>
              <w:left w:val="nil"/>
              <w:bottom w:val="nil"/>
              <w:right w:val="nil"/>
            </w:tcBorders>
            <w:shd w:val="clear" w:color="auto" w:fill="auto"/>
            <w:noWrap/>
            <w:vAlign w:val="center"/>
            <w:hideMark/>
          </w:tcPr>
          <w:p w14:paraId="0C6AB947" w14:textId="77777777" w:rsidR="002B1954" w:rsidRPr="002B1954" w:rsidRDefault="002B1954">
            <w:pPr>
              <w:rPr>
                <w:rFonts w:ascii="Cambria" w:hAnsi="Cambria" w:cs="Arial"/>
                <w:i/>
                <w:iCs/>
                <w:color w:val="000000"/>
                <w:sz w:val="12"/>
                <w:szCs w:val="12"/>
              </w:rPr>
            </w:pPr>
            <w:r>
              <w:rPr>
                <w:rFonts w:ascii="Cambria" w:hAnsi="Cambria"/>
                <w:i/>
                <w:color w:val="000000"/>
                <w:sz w:val="12"/>
              </w:rPr>
              <w:t>Résultat pour la période</w:t>
            </w:r>
          </w:p>
        </w:tc>
        <w:tc>
          <w:tcPr>
            <w:tcW w:w="442" w:type="dxa"/>
            <w:tcBorders>
              <w:top w:val="nil"/>
              <w:left w:val="nil"/>
              <w:bottom w:val="nil"/>
              <w:right w:val="nil"/>
            </w:tcBorders>
            <w:shd w:val="clear" w:color="auto" w:fill="auto"/>
            <w:noWrap/>
            <w:vAlign w:val="bottom"/>
            <w:hideMark/>
          </w:tcPr>
          <w:p w14:paraId="75529ACD" w14:textId="77777777" w:rsidR="002B1954" w:rsidRPr="002B1954" w:rsidRDefault="002B1954">
            <w:pPr>
              <w:rPr>
                <w:rFonts w:ascii="Cambria" w:hAnsi="Cambria" w:cs="Arial"/>
                <w:i/>
                <w:iCs/>
                <w:color w:val="000000"/>
                <w:sz w:val="12"/>
                <w:szCs w:val="12"/>
              </w:rPr>
            </w:pPr>
          </w:p>
        </w:tc>
        <w:tc>
          <w:tcPr>
            <w:tcW w:w="1048" w:type="dxa"/>
            <w:tcBorders>
              <w:top w:val="nil"/>
              <w:left w:val="nil"/>
              <w:bottom w:val="nil"/>
              <w:right w:val="nil"/>
            </w:tcBorders>
            <w:shd w:val="clear" w:color="auto" w:fill="auto"/>
            <w:noWrap/>
            <w:vAlign w:val="bottom"/>
            <w:hideMark/>
          </w:tcPr>
          <w:p w14:paraId="7D09ABA5" w14:textId="77777777" w:rsidR="002B1954" w:rsidRPr="002B1954" w:rsidRDefault="002B1954">
            <w:pPr>
              <w:rPr>
                <w:sz w:val="12"/>
                <w:szCs w:val="12"/>
              </w:rPr>
            </w:pPr>
          </w:p>
        </w:tc>
        <w:tc>
          <w:tcPr>
            <w:tcW w:w="1016" w:type="dxa"/>
            <w:tcBorders>
              <w:top w:val="nil"/>
              <w:left w:val="nil"/>
              <w:bottom w:val="nil"/>
              <w:right w:val="nil"/>
            </w:tcBorders>
            <w:shd w:val="clear" w:color="auto" w:fill="auto"/>
            <w:noWrap/>
            <w:vAlign w:val="bottom"/>
            <w:hideMark/>
          </w:tcPr>
          <w:p w14:paraId="770ADED6" w14:textId="77777777" w:rsidR="002B1954" w:rsidRPr="002B1954" w:rsidRDefault="002B1954">
            <w:pPr>
              <w:rPr>
                <w:sz w:val="12"/>
                <w:szCs w:val="12"/>
              </w:rPr>
            </w:pPr>
          </w:p>
        </w:tc>
        <w:tc>
          <w:tcPr>
            <w:tcW w:w="894" w:type="dxa"/>
            <w:tcBorders>
              <w:top w:val="nil"/>
              <w:left w:val="nil"/>
              <w:bottom w:val="nil"/>
              <w:right w:val="nil"/>
            </w:tcBorders>
            <w:shd w:val="clear" w:color="auto" w:fill="auto"/>
            <w:noWrap/>
            <w:vAlign w:val="bottom"/>
            <w:hideMark/>
          </w:tcPr>
          <w:p w14:paraId="7713A85B" w14:textId="77777777" w:rsidR="002B1954" w:rsidRPr="002B1954" w:rsidRDefault="002B1954">
            <w:pPr>
              <w:rPr>
                <w:sz w:val="12"/>
                <w:szCs w:val="12"/>
              </w:rPr>
            </w:pPr>
          </w:p>
        </w:tc>
        <w:tc>
          <w:tcPr>
            <w:tcW w:w="698" w:type="dxa"/>
            <w:tcBorders>
              <w:top w:val="nil"/>
              <w:left w:val="nil"/>
              <w:bottom w:val="nil"/>
              <w:right w:val="nil"/>
            </w:tcBorders>
            <w:shd w:val="clear" w:color="auto" w:fill="auto"/>
            <w:noWrap/>
            <w:vAlign w:val="bottom"/>
            <w:hideMark/>
          </w:tcPr>
          <w:p w14:paraId="482EAB8F" w14:textId="77777777" w:rsidR="002B1954" w:rsidRPr="002B1954" w:rsidRDefault="002B1954">
            <w:pPr>
              <w:rPr>
                <w:sz w:val="12"/>
                <w:szCs w:val="12"/>
              </w:rPr>
            </w:pPr>
          </w:p>
        </w:tc>
        <w:tc>
          <w:tcPr>
            <w:tcW w:w="1094" w:type="dxa"/>
            <w:tcBorders>
              <w:top w:val="nil"/>
              <w:left w:val="nil"/>
              <w:bottom w:val="nil"/>
              <w:right w:val="nil"/>
            </w:tcBorders>
            <w:shd w:val="clear" w:color="auto" w:fill="auto"/>
            <w:noWrap/>
            <w:vAlign w:val="bottom"/>
            <w:hideMark/>
          </w:tcPr>
          <w:p w14:paraId="41787A92" w14:textId="77777777" w:rsidR="002B1954" w:rsidRPr="002B1954" w:rsidRDefault="002B1954">
            <w:pPr>
              <w:rPr>
                <w:sz w:val="12"/>
                <w:szCs w:val="12"/>
              </w:rPr>
            </w:pPr>
          </w:p>
        </w:tc>
        <w:tc>
          <w:tcPr>
            <w:tcW w:w="1043" w:type="dxa"/>
            <w:tcBorders>
              <w:top w:val="nil"/>
              <w:left w:val="nil"/>
              <w:bottom w:val="nil"/>
              <w:right w:val="nil"/>
            </w:tcBorders>
            <w:shd w:val="clear" w:color="auto" w:fill="auto"/>
            <w:noWrap/>
            <w:vAlign w:val="center"/>
            <w:hideMark/>
          </w:tcPr>
          <w:p w14:paraId="460302EA" w14:textId="77777777" w:rsidR="002B1954" w:rsidRPr="002B1954" w:rsidRDefault="002B1954">
            <w:pPr>
              <w:jc w:val="right"/>
              <w:rPr>
                <w:rFonts w:ascii="Cambria" w:hAnsi="Cambria" w:cs="Arial"/>
                <w:i/>
                <w:iCs/>
                <w:color w:val="000000"/>
                <w:sz w:val="12"/>
                <w:szCs w:val="12"/>
              </w:rPr>
            </w:pPr>
            <w:r>
              <w:rPr>
                <w:rFonts w:ascii="Cambria" w:hAnsi="Cambria"/>
                <w:i/>
                <w:color w:val="000000"/>
                <w:sz w:val="12"/>
              </w:rPr>
              <w:t>615 687</w:t>
            </w:r>
          </w:p>
        </w:tc>
        <w:tc>
          <w:tcPr>
            <w:tcW w:w="709" w:type="dxa"/>
            <w:tcBorders>
              <w:top w:val="nil"/>
              <w:left w:val="nil"/>
              <w:bottom w:val="nil"/>
              <w:right w:val="nil"/>
            </w:tcBorders>
            <w:shd w:val="clear" w:color="auto" w:fill="auto"/>
            <w:noWrap/>
            <w:vAlign w:val="center"/>
            <w:hideMark/>
          </w:tcPr>
          <w:p w14:paraId="7C93969B" w14:textId="77777777" w:rsidR="002B1954" w:rsidRPr="002B1954" w:rsidRDefault="002B1954">
            <w:pPr>
              <w:jc w:val="right"/>
              <w:rPr>
                <w:rFonts w:ascii="Cambria" w:hAnsi="Cambria" w:cs="Arial"/>
                <w:i/>
                <w:iCs/>
                <w:color w:val="000000"/>
                <w:sz w:val="12"/>
                <w:szCs w:val="12"/>
              </w:rPr>
            </w:pPr>
            <w:r>
              <w:rPr>
                <w:rFonts w:ascii="Cambria" w:hAnsi="Cambria"/>
                <w:i/>
                <w:color w:val="000000"/>
                <w:sz w:val="12"/>
              </w:rPr>
              <w:t>615 687</w:t>
            </w:r>
          </w:p>
        </w:tc>
      </w:tr>
      <w:tr w:rsidR="002B1954" w:rsidRPr="002B1954" w14:paraId="6430576E" w14:textId="77777777" w:rsidTr="008A28F5">
        <w:trPr>
          <w:trHeight w:val="315"/>
        </w:trPr>
        <w:tc>
          <w:tcPr>
            <w:tcW w:w="2694" w:type="dxa"/>
            <w:tcBorders>
              <w:top w:val="nil"/>
              <w:left w:val="nil"/>
              <w:bottom w:val="nil"/>
              <w:right w:val="nil"/>
            </w:tcBorders>
            <w:shd w:val="clear" w:color="auto" w:fill="auto"/>
            <w:noWrap/>
            <w:vAlign w:val="center"/>
            <w:hideMark/>
          </w:tcPr>
          <w:p w14:paraId="09199908" w14:textId="77777777" w:rsidR="002B1954" w:rsidRPr="002B1954" w:rsidRDefault="002B1954">
            <w:pPr>
              <w:rPr>
                <w:rFonts w:ascii="Cambria" w:hAnsi="Cambria" w:cs="Arial"/>
                <w:i/>
                <w:iCs/>
                <w:color w:val="000000"/>
                <w:sz w:val="12"/>
                <w:szCs w:val="12"/>
              </w:rPr>
            </w:pPr>
            <w:r>
              <w:rPr>
                <w:rFonts w:ascii="Cambria" w:hAnsi="Cambria"/>
                <w:i/>
                <w:color w:val="000000"/>
                <w:sz w:val="12"/>
              </w:rPr>
              <w:t>Autres postes du compte de résultat global</w:t>
            </w:r>
          </w:p>
        </w:tc>
        <w:tc>
          <w:tcPr>
            <w:tcW w:w="442" w:type="dxa"/>
            <w:tcBorders>
              <w:top w:val="nil"/>
              <w:left w:val="nil"/>
              <w:bottom w:val="nil"/>
              <w:right w:val="nil"/>
            </w:tcBorders>
            <w:shd w:val="clear" w:color="auto" w:fill="auto"/>
            <w:noWrap/>
            <w:vAlign w:val="bottom"/>
            <w:hideMark/>
          </w:tcPr>
          <w:p w14:paraId="36107550" w14:textId="77777777" w:rsidR="002B1954" w:rsidRPr="002B1954" w:rsidRDefault="002B1954">
            <w:pPr>
              <w:rPr>
                <w:rFonts w:ascii="Cambria" w:hAnsi="Cambria" w:cs="Arial"/>
                <w:i/>
                <w:iCs/>
                <w:color w:val="000000"/>
                <w:sz w:val="12"/>
                <w:szCs w:val="12"/>
              </w:rPr>
            </w:pPr>
          </w:p>
        </w:tc>
        <w:tc>
          <w:tcPr>
            <w:tcW w:w="1048" w:type="dxa"/>
            <w:tcBorders>
              <w:top w:val="nil"/>
              <w:left w:val="nil"/>
              <w:bottom w:val="single" w:sz="8" w:space="0" w:color="auto"/>
              <w:right w:val="nil"/>
            </w:tcBorders>
            <w:shd w:val="clear" w:color="auto" w:fill="auto"/>
            <w:noWrap/>
            <w:vAlign w:val="center"/>
            <w:hideMark/>
          </w:tcPr>
          <w:p w14:paraId="30715AC0" w14:textId="77777777" w:rsidR="002B1954" w:rsidRPr="002B1954" w:rsidRDefault="002B1954">
            <w:pPr>
              <w:rPr>
                <w:rFonts w:ascii="Cambria" w:hAnsi="Cambria" w:cs="Arial"/>
                <w:i/>
                <w:iCs/>
                <w:color w:val="000000"/>
                <w:sz w:val="12"/>
                <w:szCs w:val="12"/>
              </w:rPr>
            </w:pPr>
            <w:r>
              <w:rPr>
                <w:rFonts w:ascii="Cambria" w:hAnsi="Cambria"/>
                <w:i/>
                <w:color w:val="000000"/>
                <w:sz w:val="12"/>
              </w:rPr>
              <w:t> </w:t>
            </w:r>
          </w:p>
        </w:tc>
        <w:tc>
          <w:tcPr>
            <w:tcW w:w="1016" w:type="dxa"/>
            <w:tcBorders>
              <w:top w:val="nil"/>
              <w:left w:val="nil"/>
              <w:bottom w:val="single" w:sz="8" w:space="0" w:color="auto"/>
              <w:right w:val="nil"/>
            </w:tcBorders>
            <w:shd w:val="clear" w:color="auto" w:fill="auto"/>
            <w:noWrap/>
            <w:vAlign w:val="center"/>
            <w:hideMark/>
          </w:tcPr>
          <w:p w14:paraId="07B345AE" w14:textId="77777777" w:rsidR="002B1954" w:rsidRPr="002B1954" w:rsidRDefault="002B1954">
            <w:pPr>
              <w:rPr>
                <w:rFonts w:ascii="Cambria" w:hAnsi="Cambria" w:cs="Arial"/>
                <w:i/>
                <w:iCs/>
                <w:color w:val="000000"/>
                <w:sz w:val="12"/>
                <w:szCs w:val="12"/>
              </w:rPr>
            </w:pPr>
            <w:r>
              <w:rPr>
                <w:rFonts w:ascii="Cambria" w:hAnsi="Cambria"/>
                <w:i/>
                <w:color w:val="000000"/>
                <w:sz w:val="12"/>
              </w:rPr>
              <w:t> </w:t>
            </w:r>
          </w:p>
        </w:tc>
        <w:tc>
          <w:tcPr>
            <w:tcW w:w="894" w:type="dxa"/>
            <w:tcBorders>
              <w:top w:val="nil"/>
              <w:left w:val="nil"/>
              <w:bottom w:val="single" w:sz="8" w:space="0" w:color="auto"/>
              <w:right w:val="nil"/>
            </w:tcBorders>
            <w:shd w:val="clear" w:color="auto" w:fill="auto"/>
            <w:noWrap/>
            <w:vAlign w:val="center"/>
            <w:hideMark/>
          </w:tcPr>
          <w:p w14:paraId="0384D418" w14:textId="77777777" w:rsidR="002B1954" w:rsidRPr="002B1954" w:rsidRDefault="002B1954">
            <w:pPr>
              <w:rPr>
                <w:rFonts w:ascii="Cambria" w:hAnsi="Cambria" w:cs="Arial"/>
                <w:i/>
                <w:iCs/>
                <w:color w:val="000000"/>
                <w:sz w:val="12"/>
                <w:szCs w:val="12"/>
              </w:rPr>
            </w:pPr>
            <w:r>
              <w:rPr>
                <w:rFonts w:ascii="Cambria" w:hAnsi="Cambria"/>
                <w:i/>
                <w:color w:val="000000"/>
                <w:sz w:val="12"/>
              </w:rPr>
              <w:t> </w:t>
            </w:r>
          </w:p>
        </w:tc>
        <w:tc>
          <w:tcPr>
            <w:tcW w:w="698" w:type="dxa"/>
            <w:tcBorders>
              <w:top w:val="nil"/>
              <w:left w:val="nil"/>
              <w:bottom w:val="single" w:sz="8" w:space="0" w:color="auto"/>
              <w:right w:val="nil"/>
            </w:tcBorders>
            <w:shd w:val="clear" w:color="auto" w:fill="auto"/>
            <w:noWrap/>
            <w:vAlign w:val="center"/>
            <w:hideMark/>
          </w:tcPr>
          <w:p w14:paraId="19C952D2" w14:textId="77777777" w:rsidR="002B1954" w:rsidRPr="002B1954" w:rsidRDefault="002B1954">
            <w:pPr>
              <w:rPr>
                <w:rFonts w:ascii="Cambria" w:hAnsi="Cambria" w:cs="Arial"/>
                <w:i/>
                <w:iCs/>
                <w:color w:val="000000"/>
                <w:sz w:val="12"/>
                <w:szCs w:val="12"/>
              </w:rPr>
            </w:pPr>
            <w:r>
              <w:rPr>
                <w:rFonts w:ascii="Cambria" w:hAnsi="Cambria"/>
                <w:i/>
                <w:color w:val="000000"/>
                <w:sz w:val="12"/>
              </w:rPr>
              <w:t> </w:t>
            </w:r>
          </w:p>
        </w:tc>
        <w:tc>
          <w:tcPr>
            <w:tcW w:w="1094" w:type="dxa"/>
            <w:tcBorders>
              <w:top w:val="nil"/>
              <w:left w:val="nil"/>
              <w:bottom w:val="single" w:sz="8" w:space="0" w:color="auto"/>
              <w:right w:val="nil"/>
            </w:tcBorders>
            <w:shd w:val="clear" w:color="auto" w:fill="auto"/>
            <w:noWrap/>
            <w:vAlign w:val="center"/>
            <w:hideMark/>
          </w:tcPr>
          <w:p w14:paraId="5B7AFB4F" w14:textId="77777777" w:rsidR="002B1954" w:rsidRPr="002B1954" w:rsidRDefault="002B1954">
            <w:pPr>
              <w:rPr>
                <w:rFonts w:ascii="Cambria" w:hAnsi="Cambria" w:cs="Arial"/>
                <w:i/>
                <w:iCs/>
                <w:color w:val="000000"/>
                <w:sz w:val="12"/>
                <w:szCs w:val="12"/>
              </w:rPr>
            </w:pPr>
            <w:r>
              <w:rPr>
                <w:rFonts w:ascii="Cambria" w:hAnsi="Cambria"/>
                <w:i/>
                <w:color w:val="000000"/>
                <w:sz w:val="12"/>
              </w:rPr>
              <w:t> </w:t>
            </w:r>
          </w:p>
        </w:tc>
        <w:tc>
          <w:tcPr>
            <w:tcW w:w="1043" w:type="dxa"/>
            <w:tcBorders>
              <w:top w:val="nil"/>
              <w:left w:val="nil"/>
              <w:bottom w:val="single" w:sz="8" w:space="0" w:color="auto"/>
              <w:right w:val="nil"/>
            </w:tcBorders>
            <w:shd w:val="clear" w:color="auto" w:fill="auto"/>
            <w:noWrap/>
            <w:vAlign w:val="center"/>
            <w:hideMark/>
          </w:tcPr>
          <w:p w14:paraId="1807E84F" w14:textId="77777777" w:rsidR="002B1954" w:rsidRPr="002B1954" w:rsidRDefault="002B1954">
            <w:pPr>
              <w:rPr>
                <w:rFonts w:ascii="Cambria" w:hAnsi="Cambria" w:cs="Arial"/>
                <w:i/>
                <w:iCs/>
                <w:color w:val="000000"/>
                <w:sz w:val="12"/>
                <w:szCs w:val="12"/>
              </w:rPr>
            </w:pPr>
            <w:r>
              <w:rPr>
                <w:rFonts w:ascii="Cambria" w:hAnsi="Cambria"/>
                <w:i/>
                <w:color w:val="000000"/>
                <w:sz w:val="12"/>
              </w:rPr>
              <w:t> </w:t>
            </w:r>
          </w:p>
        </w:tc>
        <w:tc>
          <w:tcPr>
            <w:tcW w:w="709" w:type="dxa"/>
            <w:tcBorders>
              <w:top w:val="nil"/>
              <w:left w:val="nil"/>
              <w:bottom w:val="single" w:sz="8" w:space="0" w:color="auto"/>
              <w:right w:val="nil"/>
            </w:tcBorders>
            <w:shd w:val="clear" w:color="auto" w:fill="auto"/>
            <w:noWrap/>
            <w:vAlign w:val="center"/>
            <w:hideMark/>
          </w:tcPr>
          <w:p w14:paraId="0267D3AD" w14:textId="77777777" w:rsidR="002B1954" w:rsidRPr="002B1954" w:rsidRDefault="002B1954">
            <w:pPr>
              <w:jc w:val="right"/>
              <w:rPr>
                <w:rFonts w:ascii="Cambria" w:hAnsi="Cambria" w:cs="Arial"/>
                <w:i/>
                <w:iCs/>
                <w:color w:val="000000"/>
                <w:sz w:val="12"/>
                <w:szCs w:val="12"/>
              </w:rPr>
            </w:pPr>
            <w:r>
              <w:rPr>
                <w:rFonts w:ascii="Cambria" w:hAnsi="Cambria"/>
                <w:i/>
                <w:color w:val="000000"/>
                <w:sz w:val="12"/>
              </w:rPr>
              <w:t>0</w:t>
            </w:r>
          </w:p>
        </w:tc>
      </w:tr>
      <w:tr w:rsidR="002B1954" w:rsidRPr="002B1954" w14:paraId="75E1612D" w14:textId="77777777" w:rsidTr="008A28F5">
        <w:trPr>
          <w:trHeight w:val="300"/>
        </w:trPr>
        <w:tc>
          <w:tcPr>
            <w:tcW w:w="2694" w:type="dxa"/>
            <w:tcBorders>
              <w:top w:val="nil"/>
              <w:left w:val="nil"/>
              <w:bottom w:val="nil"/>
              <w:right w:val="nil"/>
            </w:tcBorders>
            <w:shd w:val="clear" w:color="auto" w:fill="auto"/>
            <w:noWrap/>
            <w:vAlign w:val="center"/>
            <w:hideMark/>
          </w:tcPr>
          <w:p w14:paraId="2D971106" w14:textId="77777777" w:rsidR="002B1954" w:rsidRPr="002B1954" w:rsidRDefault="002B1954">
            <w:pPr>
              <w:rPr>
                <w:rFonts w:ascii="Cambria" w:hAnsi="Cambria" w:cs="Arial"/>
                <w:color w:val="000000"/>
                <w:sz w:val="12"/>
                <w:szCs w:val="12"/>
              </w:rPr>
            </w:pPr>
            <w:r>
              <w:rPr>
                <w:rFonts w:ascii="Cambria" w:hAnsi="Cambria"/>
                <w:color w:val="000000"/>
                <w:sz w:val="12"/>
              </w:rPr>
              <w:t>Bénéfice ou perte global(e) pour la période</w:t>
            </w:r>
          </w:p>
        </w:tc>
        <w:tc>
          <w:tcPr>
            <w:tcW w:w="442" w:type="dxa"/>
            <w:tcBorders>
              <w:top w:val="nil"/>
              <w:left w:val="nil"/>
              <w:bottom w:val="nil"/>
              <w:right w:val="nil"/>
            </w:tcBorders>
            <w:shd w:val="clear" w:color="auto" w:fill="auto"/>
            <w:noWrap/>
            <w:vAlign w:val="bottom"/>
            <w:hideMark/>
          </w:tcPr>
          <w:p w14:paraId="1774D98A" w14:textId="77777777" w:rsidR="002B1954" w:rsidRPr="002B1954" w:rsidRDefault="002B1954">
            <w:pPr>
              <w:rPr>
                <w:rFonts w:ascii="Cambria" w:hAnsi="Cambria" w:cs="Arial"/>
                <w:color w:val="000000"/>
                <w:sz w:val="12"/>
                <w:szCs w:val="12"/>
              </w:rPr>
            </w:pPr>
          </w:p>
        </w:tc>
        <w:tc>
          <w:tcPr>
            <w:tcW w:w="1048" w:type="dxa"/>
            <w:tcBorders>
              <w:top w:val="nil"/>
              <w:left w:val="nil"/>
              <w:bottom w:val="nil"/>
              <w:right w:val="nil"/>
            </w:tcBorders>
            <w:shd w:val="clear" w:color="auto" w:fill="auto"/>
            <w:noWrap/>
            <w:vAlign w:val="center"/>
            <w:hideMark/>
          </w:tcPr>
          <w:p w14:paraId="78CA4C1C" w14:textId="77777777" w:rsidR="002B1954" w:rsidRPr="002B1954" w:rsidRDefault="002B1954">
            <w:pPr>
              <w:rPr>
                <w:rFonts w:ascii="Cambria" w:hAnsi="Cambria" w:cs="Arial"/>
                <w:color w:val="000000"/>
                <w:sz w:val="12"/>
                <w:szCs w:val="12"/>
              </w:rPr>
            </w:pPr>
            <w:r>
              <w:rPr>
                <w:rFonts w:ascii="Cambria" w:hAnsi="Cambria"/>
                <w:color w:val="000000"/>
                <w:sz w:val="12"/>
              </w:rPr>
              <w:t xml:space="preserve">                                    - </w:t>
            </w:r>
          </w:p>
        </w:tc>
        <w:tc>
          <w:tcPr>
            <w:tcW w:w="1016" w:type="dxa"/>
            <w:tcBorders>
              <w:top w:val="nil"/>
              <w:left w:val="nil"/>
              <w:bottom w:val="nil"/>
              <w:right w:val="nil"/>
            </w:tcBorders>
            <w:shd w:val="clear" w:color="auto" w:fill="auto"/>
            <w:noWrap/>
            <w:vAlign w:val="center"/>
            <w:hideMark/>
          </w:tcPr>
          <w:p w14:paraId="03D6CB3B" w14:textId="77777777" w:rsidR="002B1954" w:rsidRPr="002B1954" w:rsidRDefault="002B1954">
            <w:pPr>
              <w:rPr>
                <w:rFonts w:ascii="Cambria" w:hAnsi="Cambria" w:cs="Arial"/>
                <w:color w:val="000000"/>
                <w:sz w:val="12"/>
                <w:szCs w:val="12"/>
              </w:rPr>
            </w:pPr>
            <w:r>
              <w:rPr>
                <w:rFonts w:ascii="Cambria" w:hAnsi="Cambria"/>
                <w:color w:val="000000"/>
                <w:sz w:val="12"/>
              </w:rPr>
              <w:t xml:space="preserve">                               - </w:t>
            </w:r>
          </w:p>
        </w:tc>
        <w:tc>
          <w:tcPr>
            <w:tcW w:w="894" w:type="dxa"/>
            <w:tcBorders>
              <w:top w:val="nil"/>
              <w:left w:val="nil"/>
              <w:bottom w:val="nil"/>
              <w:right w:val="nil"/>
            </w:tcBorders>
            <w:shd w:val="clear" w:color="auto" w:fill="auto"/>
            <w:noWrap/>
            <w:vAlign w:val="center"/>
            <w:hideMark/>
          </w:tcPr>
          <w:p w14:paraId="623F500D" w14:textId="77777777" w:rsidR="002B1954" w:rsidRPr="002B1954" w:rsidRDefault="002B1954">
            <w:pPr>
              <w:rPr>
                <w:rFonts w:ascii="Cambria" w:hAnsi="Cambria" w:cs="Arial"/>
                <w:color w:val="000000"/>
                <w:sz w:val="12"/>
                <w:szCs w:val="12"/>
              </w:rPr>
            </w:pPr>
            <w:r>
              <w:rPr>
                <w:rFonts w:ascii="Cambria" w:hAnsi="Cambria"/>
                <w:color w:val="000000"/>
                <w:sz w:val="12"/>
              </w:rPr>
              <w:t xml:space="preserve">                             - </w:t>
            </w:r>
          </w:p>
        </w:tc>
        <w:tc>
          <w:tcPr>
            <w:tcW w:w="1792" w:type="dxa"/>
            <w:gridSpan w:val="2"/>
            <w:tcBorders>
              <w:top w:val="nil"/>
              <w:left w:val="nil"/>
              <w:bottom w:val="nil"/>
              <w:right w:val="nil"/>
            </w:tcBorders>
            <w:shd w:val="clear" w:color="auto" w:fill="auto"/>
            <w:noWrap/>
            <w:vAlign w:val="center"/>
            <w:hideMark/>
          </w:tcPr>
          <w:p w14:paraId="31EEF6B6" w14:textId="77777777" w:rsidR="002B1954" w:rsidRPr="002B1954" w:rsidRDefault="002B1954">
            <w:pPr>
              <w:rPr>
                <w:rFonts w:ascii="Cambria" w:hAnsi="Cambria" w:cs="Arial"/>
                <w:color w:val="000000"/>
                <w:sz w:val="12"/>
                <w:szCs w:val="12"/>
              </w:rPr>
            </w:pPr>
            <w:r>
              <w:rPr>
                <w:rFonts w:ascii="Cambria" w:hAnsi="Cambria"/>
                <w:color w:val="000000"/>
                <w:sz w:val="12"/>
              </w:rPr>
              <w:t xml:space="preserve">                             - </w:t>
            </w:r>
          </w:p>
        </w:tc>
        <w:tc>
          <w:tcPr>
            <w:tcW w:w="1043" w:type="dxa"/>
            <w:tcBorders>
              <w:top w:val="nil"/>
              <w:left w:val="nil"/>
              <w:bottom w:val="nil"/>
              <w:right w:val="nil"/>
            </w:tcBorders>
            <w:shd w:val="clear" w:color="auto" w:fill="auto"/>
            <w:noWrap/>
            <w:vAlign w:val="center"/>
            <w:hideMark/>
          </w:tcPr>
          <w:p w14:paraId="377B84DA" w14:textId="77777777" w:rsidR="002B1954" w:rsidRPr="002B1954" w:rsidRDefault="002B1954">
            <w:pPr>
              <w:jc w:val="right"/>
              <w:rPr>
                <w:rFonts w:ascii="Cambria" w:hAnsi="Cambria" w:cs="Arial"/>
                <w:color w:val="000000"/>
                <w:sz w:val="12"/>
                <w:szCs w:val="12"/>
              </w:rPr>
            </w:pPr>
            <w:r>
              <w:rPr>
                <w:rFonts w:ascii="Cambria" w:hAnsi="Cambria"/>
                <w:color w:val="000000"/>
                <w:sz w:val="12"/>
              </w:rPr>
              <w:t>615 687</w:t>
            </w:r>
          </w:p>
        </w:tc>
        <w:tc>
          <w:tcPr>
            <w:tcW w:w="709" w:type="dxa"/>
            <w:tcBorders>
              <w:top w:val="nil"/>
              <w:left w:val="nil"/>
              <w:bottom w:val="nil"/>
              <w:right w:val="nil"/>
            </w:tcBorders>
            <w:shd w:val="clear" w:color="auto" w:fill="auto"/>
            <w:noWrap/>
            <w:vAlign w:val="center"/>
            <w:hideMark/>
          </w:tcPr>
          <w:p w14:paraId="18A465C8" w14:textId="77777777" w:rsidR="002B1954" w:rsidRPr="002B1954" w:rsidRDefault="002B1954">
            <w:pPr>
              <w:jc w:val="right"/>
              <w:rPr>
                <w:rFonts w:ascii="Cambria" w:hAnsi="Cambria" w:cs="Arial"/>
                <w:color w:val="000000"/>
                <w:sz w:val="12"/>
                <w:szCs w:val="12"/>
              </w:rPr>
            </w:pPr>
            <w:r>
              <w:rPr>
                <w:rFonts w:ascii="Cambria" w:hAnsi="Cambria"/>
                <w:color w:val="000000"/>
                <w:sz w:val="12"/>
              </w:rPr>
              <w:t>615 687</w:t>
            </w:r>
          </w:p>
        </w:tc>
      </w:tr>
      <w:tr w:rsidR="002B1954" w:rsidRPr="002B1954" w14:paraId="007E8A1E" w14:textId="77777777" w:rsidTr="008A28F5">
        <w:trPr>
          <w:trHeight w:val="300"/>
        </w:trPr>
        <w:tc>
          <w:tcPr>
            <w:tcW w:w="2694" w:type="dxa"/>
            <w:tcBorders>
              <w:top w:val="nil"/>
              <w:left w:val="nil"/>
              <w:bottom w:val="nil"/>
              <w:right w:val="nil"/>
            </w:tcBorders>
            <w:shd w:val="clear" w:color="auto" w:fill="auto"/>
            <w:noWrap/>
            <w:vAlign w:val="bottom"/>
            <w:hideMark/>
          </w:tcPr>
          <w:p w14:paraId="6259EC0A" w14:textId="77777777" w:rsidR="002B1954" w:rsidRPr="002B1954" w:rsidRDefault="002B1954">
            <w:pPr>
              <w:jc w:val="right"/>
              <w:rPr>
                <w:rFonts w:ascii="Cambria" w:hAnsi="Cambria" w:cs="Arial"/>
                <w:color w:val="000000"/>
                <w:sz w:val="12"/>
                <w:szCs w:val="12"/>
              </w:rPr>
            </w:pPr>
          </w:p>
        </w:tc>
        <w:tc>
          <w:tcPr>
            <w:tcW w:w="442" w:type="dxa"/>
            <w:tcBorders>
              <w:top w:val="nil"/>
              <w:left w:val="nil"/>
              <w:bottom w:val="nil"/>
              <w:right w:val="nil"/>
            </w:tcBorders>
            <w:shd w:val="clear" w:color="auto" w:fill="auto"/>
            <w:noWrap/>
            <w:vAlign w:val="bottom"/>
            <w:hideMark/>
          </w:tcPr>
          <w:p w14:paraId="2EC11CAB" w14:textId="77777777" w:rsidR="002B1954" w:rsidRPr="002B1954" w:rsidRDefault="002B1954">
            <w:pPr>
              <w:rPr>
                <w:sz w:val="12"/>
                <w:szCs w:val="12"/>
              </w:rPr>
            </w:pPr>
          </w:p>
        </w:tc>
        <w:tc>
          <w:tcPr>
            <w:tcW w:w="1048" w:type="dxa"/>
            <w:tcBorders>
              <w:top w:val="nil"/>
              <w:left w:val="nil"/>
              <w:bottom w:val="nil"/>
              <w:right w:val="nil"/>
            </w:tcBorders>
            <w:shd w:val="clear" w:color="auto" w:fill="auto"/>
            <w:noWrap/>
            <w:vAlign w:val="bottom"/>
            <w:hideMark/>
          </w:tcPr>
          <w:p w14:paraId="41758837" w14:textId="77777777" w:rsidR="002B1954" w:rsidRPr="002B1954" w:rsidRDefault="002B1954">
            <w:pPr>
              <w:rPr>
                <w:sz w:val="12"/>
                <w:szCs w:val="12"/>
              </w:rPr>
            </w:pPr>
          </w:p>
        </w:tc>
        <w:tc>
          <w:tcPr>
            <w:tcW w:w="1016" w:type="dxa"/>
            <w:tcBorders>
              <w:top w:val="nil"/>
              <w:left w:val="nil"/>
              <w:bottom w:val="nil"/>
              <w:right w:val="nil"/>
            </w:tcBorders>
            <w:shd w:val="clear" w:color="auto" w:fill="auto"/>
            <w:noWrap/>
            <w:vAlign w:val="bottom"/>
            <w:hideMark/>
          </w:tcPr>
          <w:p w14:paraId="54F77361" w14:textId="77777777" w:rsidR="002B1954" w:rsidRPr="002B1954" w:rsidRDefault="002B1954">
            <w:pPr>
              <w:rPr>
                <w:sz w:val="12"/>
                <w:szCs w:val="12"/>
              </w:rPr>
            </w:pPr>
          </w:p>
        </w:tc>
        <w:tc>
          <w:tcPr>
            <w:tcW w:w="894" w:type="dxa"/>
            <w:tcBorders>
              <w:top w:val="nil"/>
              <w:left w:val="nil"/>
              <w:bottom w:val="nil"/>
              <w:right w:val="nil"/>
            </w:tcBorders>
            <w:shd w:val="clear" w:color="auto" w:fill="auto"/>
            <w:noWrap/>
            <w:vAlign w:val="bottom"/>
            <w:hideMark/>
          </w:tcPr>
          <w:p w14:paraId="3412426E" w14:textId="77777777" w:rsidR="002B1954" w:rsidRPr="002B1954" w:rsidRDefault="002B1954">
            <w:pPr>
              <w:rPr>
                <w:sz w:val="12"/>
                <w:szCs w:val="12"/>
              </w:rPr>
            </w:pPr>
          </w:p>
        </w:tc>
        <w:tc>
          <w:tcPr>
            <w:tcW w:w="698" w:type="dxa"/>
            <w:tcBorders>
              <w:top w:val="nil"/>
              <w:left w:val="nil"/>
              <w:bottom w:val="nil"/>
              <w:right w:val="nil"/>
            </w:tcBorders>
            <w:shd w:val="clear" w:color="auto" w:fill="auto"/>
            <w:noWrap/>
            <w:vAlign w:val="bottom"/>
            <w:hideMark/>
          </w:tcPr>
          <w:p w14:paraId="3B8B48E8" w14:textId="77777777" w:rsidR="002B1954" w:rsidRPr="002B1954" w:rsidRDefault="002B1954">
            <w:pPr>
              <w:rPr>
                <w:sz w:val="12"/>
                <w:szCs w:val="12"/>
              </w:rPr>
            </w:pPr>
          </w:p>
        </w:tc>
        <w:tc>
          <w:tcPr>
            <w:tcW w:w="1094" w:type="dxa"/>
            <w:tcBorders>
              <w:top w:val="nil"/>
              <w:left w:val="nil"/>
              <w:bottom w:val="nil"/>
              <w:right w:val="nil"/>
            </w:tcBorders>
            <w:shd w:val="clear" w:color="auto" w:fill="auto"/>
            <w:noWrap/>
            <w:vAlign w:val="bottom"/>
            <w:hideMark/>
          </w:tcPr>
          <w:p w14:paraId="6978C90A" w14:textId="77777777" w:rsidR="002B1954" w:rsidRPr="002B1954" w:rsidRDefault="002B1954">
            <w:pPr>
              <w:rPr>
                <w:sz w:val="12"/>
                <w:szCs w:val="12"/>
              </w:rPr>
            </w:pPr>
          </w:p>
        </w:tc>
        <w:tc>
          <w:tcPr>
            <w:tcW w:w="1043" w:type="dxa"/>
            <w:tcBorders>
              <w:top w:val="nil"/>
              <w:left w:val="nil"/>
              <w:bottom w:val="nil"/>
              <w:right w:val="nil"/>
            </w:tcBorders>
            <w:shd w:val="clear" w:color="auto" w:fill="auto"/>
            <w:noWrap/>
            <w:vAlign w:val="bottom"/>
            <w:hideMark/>
          </w:tcPr>
          <w:p w14:paraId="59C57FE3" w14:textId="77777777" w:rsidR="002B1954" w:rsidRPr="002B1954" w:rsidRDefault="002B1954">
            <w:pPr>
              <w:rPr>
                <w:sz w:val="12"/>
                <w:szCs w:val="12"/>
              </w:rPr>
            </w:pPr>
          </w:p>
        </w:tc>
        <w:tc>
          <w:tcPr>
            <w:tcW w:w="709" w:type="dxa"/>
            <w:tcBorders>
              <w:top w:val="nil"/>
              <w:left w:val="nil"/>
              <w:bottom w:val="nil"/>
              <w:right w:val="nil"/>
            </w:tcBorders>
            <w:shd w:val="clear" w:color="auto" w:fill="auto"/>
            <w:noWrap/>
            <w:vAlign w:val="bottom"/>
            <w:hideMark/>
          </w:tcPr>
          <w:p w14:paraId="08C81FF4" w14:textId="77777777" w:rsidR="002B1954" w:rsidRPr="002B1954" w:rsidRDefault="002B1954">
            <w:pPr>
              <w:rPr>
                <w:sz w:val="12"/>
                <w:szCs w:val="12"/>
              </w:rPr>
            </w:pPr>
          </w:p>
        </w:tc>
      </w:tr>
      <w:tr w:rsidR="002B1954" w:rsidRPr="002B1954" w14:paraId="0BC86DD3" w14:textId="77777777" w:rsidTr="008A28F5">
        <w:trPr>
          <w:trHeight w:val="300"/>
        </w:trPr>
        <w:tc>
          <w:tcPr>
            <w:tcW w:w="2694" w:type="dxa"/>
            <w:tcBorders>
              <w:top w:val="nil"/>
              <w:left w:val="nil"/>
              <w:bottom w:val="nil"/>
              <w:right w:val="nil"/>
            </w:tcBorders>
            <w:shd w:val="clear" w:color="auto" w:fill="auto"/>
            <w:noWrap/>
            <w:vAlign w:val="center"/>
            <w:hideMark/>
          </w:tcPr>
          <w:p w14:paraId="11855667" w14:textId="77777777" w:rsidR="002B1954" w:rsidRPr="002B1954" w:rsidRDefault="002B1954">
            <w:pPr>
              <w:rPr>
                <w:rFonts w:ascii="Cambria" w:hAnsi="Cambria" w:cs="Arial"/>
                <w:color w:val="000000"/>
                <w:sz w:val="12"/>
                <w:szCs w:val="12"/>
              </w:rPr>
            </w:pPr>
            <w:r>
              <w:rPr>
                <w:rFonts w:ascii="Cambria" w:hAnsi="Cambria"/>
                <w:color w:val="000000"/>
                <w:sz w:val="12"/>
              </w:rPr>
              <w:t>Affectation du résultat de l'exercice précédent</w:t>
            </w:r>
          </w:p>
        </w:tc>
        <w:tc>
          <w:tcPr>
            <w:tcW w:w="442" w:type="dxa"/>
            <w:tcBorders>
              <w:top w:val="nil"/>
              <w:left w:val="nil"/>
              <w:bottom w:val="nil"/>
              <w:right w:val="nil"/>
            </w:tcBorders>
            <w:shd w:val="clear" w:color="auto" w:fill="auto"/>
            <w:noWrap/>
            <w:vAlign w:val="bottom"/>
            <w:hideMark/>
          </w:tcPr>
          <w:p w14:paraId="4350550E" w14:textId="77777777" w:rsidR="002B1954" w:rsidRPr="002B1954" w:rsidRDefault="002B1954">
            <w:pPr>
              <w:rPr>
                <w:rFonts w:ascii="Cambria" w:hAnsi="Cambria" w:cs="Arial"/>
                <w:color w:val="000000"/>
                <w:sz w:val="12"/>
                <w:szCs w:val="12"/>
              </w:rPr>
            </w:pPr>
          </w:p>
        </w:tc>
        <w:tc>
          <w:tcPr>
            <w:tcW w:w="1048" w:type="dxa"/>
            <w:tcBorders>
              <w:top w:val="nil"/>
              <w:left w:val="nil"/>
              <w:bottom w:val="nil"/>
              <w:right w:val="nil"/>
            </w:tcBorders>
            <w:shd w:val="clear" w:color="auto" w:fill="auto"/>
            <w:noWrap/>
            <w:vAlign w:val="bottom"/>
            <w:hideMark/>
          </w:tcPr>
          <w:p w14:paraId="7BDBE2CB" w14:textId="77777777" w:rsidR="002B1954" w:rsidRPr="002B1954" w:rsidRDefault="002B1954">
            <w:pPr>
              <w:rPr>
                <w:sz w:val="12"/>
                <w:szCs w:val="12"/>
              </w:rPr>
            </w:pPr>
          </w:p>
        </w:tc>
        <w:tc>
          <w:tcPr>
            <w:tcW w:w="1016" w:type="dxa"/>
            <w:tcBorders>
              <w:top w:val="nil"/>
              <w:left w:val="nil"/>
              <w:bottom w:val="nil"/>
              <w:right w:val="nil"/>
            </w:tcBorders>
            <w:shd w:val="clear" w:color="auto" w:fill="auto"/>
            <w:noWrap/>
            <w:vAlign w:val="bottom"/>
            <w:hideMark/>
          </w:tcPr>
          <w:p w14:paraId="3D989310" w14:textId="77777777" w:rsidR="002B1954" w:rsidRPr="002B1954" w:rsidRDefault="002B1954">
            <w:pPr>
              <w:jc w:val="right"/>
              <w:rPr>
                <w:sz w:val="12"/>
                <w:szCs w:val="12"/>
              </w:rPr>
            </w:pPr>
            <w:r>
              <w:rPr>
                <w:sz w:val="12"/>
              </w:rPr>
              <w:t>146 066</w:t>
            </w:r>
          </w:p>
        </w:tc>
        <w:tc>
          <w:tcPr>
            <w:tcW w:w="894" w:type="dxa"/>
            <w:tcBorders>
              <w:top w:val="nil"/>
              <w:left w:val="nil"/>
              <w:bottom w:val="nil"/>
              <w:right w:val="nil"/>
            </w:tcBorders>
            <w:shd w:val="clear" w:color="auto" w:fill="auto"/>
            <w:noWrap/>
            <w:vAlign w:val="bottom"/>
            <w:hideMark/>
          </w:tcPr>
          <w:p w14:paraId="214E9678" w14:textId="77777777" w:rsidR="002B1954" w:rsidRPr="002B1954" w:rsidRDefault="002B1954">
            <w:pPr>
              <w:jc w:val="right"/>
              <w:rPr>
                <w:sz w:val="12"/>
                <w:szCs w:val="12"/>
              </w:rPr>
            </w:pPr>
          </w:p>
        </w:tc>
        <w:tc>
          <w:tcPr>
            <w:tcW w:w="698" w:type="dxa"/>
            <w:tcBorders>
              <w:top w:val="nil"/>
              <w:left w:val="nil"/>
              <w:bottom w:val="nil"/>
              <w:right w:val="nil"/>
            </w:tcBorders>
            <w:shd w:val="clear" w:color="auto" w:fill="auto"/>
            <w:noWrap/>
            <w:vAlign w:val="center"/>
            <w:hideMark/>
          </w:tcPr>
          <w:p w14:paraId="5EEF4246" w14:textId="77777777" w:rsidR="002B1954" w:rsidRPr="002B1954" w:rsidRDefault="002B1954">
            <w:pPr>
              <w:jc w:val="right"/>
              <w:rPr>
                <w:rFonts w:ascii="Cambria" w:hAnsi="Cambria" w:cs="Arial"/>
                <w:color w:val="000000"/>
                <w:sz w:val="12"/>
                <w:szCs w:val="12"/>
              </w:rPr>
            </w:pPr>
            <w:r>
              <w:rPr>
                <w:rFonts w:ascii="Cambria" w:hAnsi="Cambria"/>
                <w:color w:val="000000"/>
                <w:sz w:val="12"/>
              </w:rPr>
              <w:t>2 655 205</w:t>
            </w:r>
          </w:p>
        </w:tc>
        <w:tc>
          <w:tcPr>
            <w:tcW w:w="1094" w:type="dxa"/>
            <w:tcBorders>
              <w:top w:val="nil"/>
              <w:left w:val="nil"/>
              <w:bottom w:val="nil"/>
              <w:right w:val="nil"/>
            </w:tcBorders>
            <w:shd w:val="clear" w:color="auto" w:fill="auto"/>
            <w:noWrap/>
            <w:vAlign w:val="bottom"/>
            <w:hideMark/>
          </w:tcPr>
          <w:p w14:paraId="1BCE589D" w14:textId="77777777" w:rsidR="002B1954" w:rsidRPr="002B1954" w:rsidRDefault="002B1954">
            <w:pPr>
              <w:jc w:val="right"/>
              <w:rPr>
                <w:sz w:val="12"/>
                <w:szCs w:val="12"/>
              </w:rPr>
            </w:pPr>
            <w:r>
              <w:rPr>
                <w:sz w:val="12"/>
              </w:rPr>
              <w:t>748 666</w:t>
            </w:r>
          </w:p>
        </w:tc>
        <w:tc>
          <w:tcPr>
            <w:tcW w:w="1043" w:type="dxa"/>
            <w:tcBorders>
              <w:top w:val="nil"/>
              <w:left w:val="nil"/>
              <w:bottom w:val="nil"/>
              <w:right w:val="nil"/>
            </w:tcBorders>
            <w:shd w:val="clear" w:color="auto" w:fill="auto"/>
            <w:noWrap/>
            <w:vAlign w:val="center"/>
            <w:hideMark/>
          </w:tcPr>
          <w:p w14:paraId="562A4910" w14:textId="77777777" w:rsidR="002B1954" w:rsidRPr="002B1954" w:rsidRDefault="002B1954">
            <w:pPr>
              <w:jc w:val="right"/>
              <w:rPr>
                <w:rFonts w:ascii="Cambria" w:hAnsi="Cambria" w:cs="Arial"/>
                <w:color w:val="000000"/>
                <w:sz w:val="12"/>
                <w:szCs w:val="12"/>
              </w:rPr>
            </w:pPr>
            <w:r>
              <w:rPr>
                <w:rFonts w:ascii="Cambria" w:hAnsi="Cambria"/>
                <w:color w:val="000000"/>
                <w:sz w:val="12"/>
              </w:rPr>
              <w:t>-3 549 937</w:t>
            </w:r>
          </w:p>
        </w:tc>
        <w:tc>
          <w:tcPr>
            <w:tcW w:w="709" w:type="dxa"/>
            <w:tcBorders>
              <w:top w:val="nil"/>
              <w:left w:val="nil"/>
              <w:bottom w:val="nil"/>
              <w:right w:val="nil"/>
            </w:tcBorders>
            <w:shd w:val="clear" w:color="auto" w:fill="auto"/>
            <w:noWrap/>
            <w:vAlign w:val="center"/>
            <w:hideMark/>
          </w:tcPr>
          <w:p w14:paraId="2F41D656" w14:textId="77777777" w:rsidR="002B1954" w:rsidRPr="002B1954" w:rsidRDefault="002B1954">
            <w:pPr>
              <w:jc w:val="right"/>
              <w:rPr>
                <w:rFonts w:ascii="Cambria" w:hAnsi="Cambria" w:cs="Arial"/>
                <w:color w:val="000000"/>
                <w:sz w:val="12"/>
                <w:szCs w:val="12"/>
              </w:rPr>
            </w:pPr>
            <w:r>
              <w:rPr>
                <w:rFonts w:ascii="Cambria" w:hAnsi="Cambria"/>
                <w:color w:val="000000"/>
                <w:sz w:val="12"/>
              </w:rPr>
              <w:t>0</w:t>
            </w:r>
          </w:p>
        </w:tc>
      </w:tr>
      <w:tr w:rsidR="002B1954" w:rsidRPr="002B1954" w14:paraId="7BAA2B6F" w14:textId="77777777" w:rsidTr="008A28F5">
        <w:trPr>
          <w:trHeight w:val="300"/>
        </w:trPr>
        <w:tc>
          <w:tcPr>
            <w:tcW w:w="2694" w:type="dxa"/>
            <w:tcBorders>
              <w:top w:val="nil"/>
              <w:left w:val="nil"/>
              <w:bottom w:val="nil"/>
              <w:right w:val="nil"/>
            </w:tcBorders>
            <w:shd w:val="clear" w:color="auto" w:fill="auto"/>
            <w:noWrap/>
            <w:vAlign w:val="center"/>
            <w:hideMark/>
          </w:tcPr>
          <w:p w14:paraId="2329DD32" w14:textId="77777777" w:rsidR="002B1954" w:rsidRPr="002B1954" w:rsidRDefault="002B1954">
            <w:pPr>
              <w:rPr>
                <w:rFonts w:ascii="Cambria" w:hAnsi="Cambria" w:cs="Arial"/>
                <w:color w:val="000000"/>
                <w:sz w:val="12"/>
                <w:szCs w:val="12"/>
              </w:rPr>
            </w:pPr>
            <w:r>
              <w:rPr>
                <w:rFonts w:ascii="Cambria" w:hAnsi="Cambria"/>
                <w:color w:val="000000"/>
                <w:sz w:val="12"/>
              </w:rPr>
              <w:t>Paiement de l'augmentation résiduelle du capital social</w:t>
            </w:r>
          </w:p>
        </w:tc>
        <w:tc>
          <w:tcPr>
            <w:tcW w:w="442" w:type="dxa"/>
            <w:tcBorders>
              <w:top w:val="nil"/>
              <w:left w:val="nil"/>
              <w:bottom w:val="nil"/>
              <w:right w:val="nil"/>
            </w:tcBorders>
            <w:shd w:val="clear" w:color="auto" w:fill="auto"/>
            <w:noWrap/>
            <w:vAlign w:val="bottom"/>
            <w:hideMark/>
          </w:tcPr>
          <w:p w14:paraId="18177AB8" w14:textId="77777777" w:rsidR="002B1954" w:rsidRPr="002B1954" w:rsidRDefault="002B1954">
            <w:pPr>
              <w:jc w:val="center"/>
              <w:rPr>
                <w:rFonts w:ascii="Cambria" w:hAnsi="Cambria" w:cs="Arial"/>
                <w:color w:val="000000"/>
                <w:sz w:val="12"/>
                <w:szCs w:val="12"/>
              </w:rPr>
            </w:pPr>
            <w:r>
              <w:rPr>
                <w:rFonts w:ascii="Cambria" w:hAnsi="Cambria"/>
                <w:color w:val="000000"/>
                <w:sz w:val="12"/>
              </w:rPr>
              <w:t>(19)</w:t>
            </w:r>
          </w:p>
        </w:tc>
        <w:tc>
          <w:tcPr>
            <w:tcW w:w="1048" w:type="dxa"/>
            <w:tcBorders>
              <w:top w:val="nil"/>
              <w:left w:val="nil"/>
              <w:bottom w:val="nil"/>
              <w:right w:val="nil"/>
            </w:tcBorders>
            <w:shd w:val="clear" w:color="auto" w:fill="auto"/>
            <w:noWrap/>
            <w:vAlign w:val="center"/>
            <w:hideMark/>
          </w:tcPr>
          <w:p w14:paraId="57CB971F" w14:textId="77777777" w:rsidR="002B1954" w:rsidRPr="002B1954" w:rsidRDefault="002B1954">
            <w:pPr>
              <w:jc w:val="right"/>
              <w:rPr>
                <w:rFonts w:ascii="Cambria" w:hAnsi="Cambria" w:cs="Arial"/>
                <w:color w:val="000000"/>
                <w:sz w:val="12"/>
                <w:szCs w:val="12"/>
              </w:rPr>
            </w:pPr>
            <w:r>
              <w:rPr>
                <w:rFonts w:ascii="Cambria" w:hAnsi="Cambria"/>
                <w:color w:val="000000"/>
                <w:sz w:val="12"/>
              </w:rPr>
              <w:t>590 000</w:t>
            </w:r>
          </w:p>
        </w:tc>
        <w:tc>
          <w:tcPr>
            <w:tcW w:w="1016" w:type="dxa"/>
            <w:tcBorders>
              <w:top w:val="nil"/>
              <w:left w:val="nil"/>
              <w:bottom w:val="nil"/>
              <w:right w:val="nil"/>
            </w:tcBorders>
            <w:shd w:val="clear" w:color="auto" w:fill="auto"/>
            <w:noWrap/>
            <w:vAlign w:val="bottom"/>
            <w:hideMark/>
          </w:tcPr>
          <w:p w14:paraId="38715588" w14:textId="77777777" w:rsidR="002B1954" w:rsidRPr="002B1954" w:rsidRDefault="002B1954">
            <w:pPr>
              <w:jc w:val="right"/>
              <w:rPr>
                <w:rFonts w:ascii="Cambria" w:hAnsi="Cambria" w:cs="Arial"/>
                <w:color w:val="000000"/>
                <w:sz w:val="12"/>
                <w:szCs w:val="12"/>
              </w:rPr>
            </w:pPr>
          </w:p>
        </w:tc>
        <w:tc>
          <w:tcPr>
            <w:tcW w:w="894" w:type="dxa"/>
            <w:tcBorders>
              <w:top w:val="nil"/>
              <w:left w:val="nil"/>
              <w:bottom w:val="nil"/>
              <w:right w:val="nil"/>
            </w:tcBorders>
            <w:shd w:val="clear" w:color="auto" w:fill="auto"/>
            <w:noWrap/>
            <w:vAlign w:val="bottom"/>
            <w:hideMark/>
          </w:tcPr>
          <w:p w14:paraId="6EEB1101" w14:textId="77777777" w:rsidR="002B1954" w:rsidRPr="002B1954" w:rsidRDefault="002B1954">
            <w:pPr>
              <w:rPr>
                <w:sz w:val="12"/>
                <w:szCs w:val="12"/>
              </w:rPr>
            </w:pPr>
          </w:p>
        </w:tc>
        <w:tc>
          <w:tcPr>
            <w:tcW w:w="698" w:type="dxa"/>
            <w:tcBorders>
              <w:top w:val="nil"/>
              <w:left w:val="nil"/>
              <w:bottom w:val="nil"/>
              <w:right w:val="nil"/>
            </w:tcBorders>
            <w:shd w:val="clear" w:color="auto" w:fill="auto"/>
            <w:noWrap/>
            <w:vAlign w:val="bottom"/>
            <w:hideMark/>
          </w:tcPr>
          <w:p w14:paraId="4AF841F5" w14:textId="77777777" w:rsidR="002B1954" w:rsidRPr="002B1954" w:rsidRDefault="002B1954">
            <w:pPr>
              <w:rPr>
                <w:sz w:val="12"/>
                <w:szCs w:val="12"/>
              </w:rPr>
            </w:pPr>
          </w:p>
        </w:tc>
        <w:tc>
          <w:tcPr>
            <w:tcW w:w="1094" w:type="dxa"/>
            <w:tcBorders>
              <w:top w:val="nil"/>
              <w:left w:val="nil"/>
              <w:bottom w:val="nil"/>
              <w:right w:val="nil"/>
            </w:tcBorders>
            <w:shd w:val="clear" w:color="auto" w:fill="auto"/>
            <w:noWrap/>
            <w:vAlign w:val="bottom"/>
            <w:hideMark/>
          </w:tcPr>
          <w:p w14:paraId="310731BE" w14:textId="77777777" w:rsidR="002B1954" w:rsidRPr="002B1954" w:rsidRDefault="002B1954">
            <w:pPr>
              <w:rPr>
                <w:sz w:val="12"/>
                <w:szCs w:val="12"/>
              </w:rPr>
            </w:pPr>
          </w:p>
        </w:tc>
        <w:tc>
          <w:tcPr>
            <w:tcW w:w="1043" w:type="dxa"/>
            <w:tcBorders>
              <w:top w:val="nil"/>
              <w:left w:val="nil"/>
              <w:bottom w:val="nil"/>
              <w:right w:val="nil"/>
            </w:tcBorders>
            <w:shd w:val="clear" w:color="auto" w:fill="auto"/>
            <w:noWrap/>
            <w:vAlign w:val="bottom"/>
            <w:hideMark/>
          </w:tcPr>
          <w:p w14:paraId="7C0C026A" w14:textId="77777777" w:rsidR="002B1954" w:rsidRPr="002B1954" w:rsidRDefault="002B1954">
            <w:pPr>
              <w:rPr>
                <w:sz w:val="12"/>
                <w:szCs w:val="12"/>
              </w:rPr>
            </w:pPr>
          </w:p>
        </w:tc>
        <w:tc>
          <w:tcPr>
            <w:tcW w:w="709" w:type="dxa"/>
            <w:tcBorders>
              <w:top w:val="nil"/>
              <w:left w:val="nil"/>
              <w:bottom w:val="nil"/>
              <w:right w:val="nil"/>
            </w:tcBorders>
            <w:shd w:val="clear" w:color="auto" w:fill="auto"/>
            <w:noWrap/>
            <w:vAlign w:val="center"/>
            <w:hideMark/>
          </w:tcPr>
          <w:p w14:paraId="73C585C7" w14:textId="77777777" w:rsidR="002B1954" w:rsidRPr="002B1954" w:rsidRDefault="002B1954">
            <w:pPr>
              <w:jc w:val="right"/>
              <w:rPr>
                <w:rFonts w:ascii="Cambria" w:hAnsi="Cambria" w:cs="Arial"/>
                <w:color w:val="000000"/>
                <w:sz w:val="12"/>
                <w:szCs w:val="12"/>
              </w:rPr>
            </w:pPr>
            <w:r>
              <w:rPr>
                <w:rFonts w:ascii="Cambria" w:hAnsi="Cambria"/>
                <w:color w:val="000000"/>
                <w:sz w:val="12"/>
              </w:rPr>
              <w:t>590 000</w:t>
            </w:r>
          </w:p>
        </w:tc>
      </w:tr>
      <w:tr w:rsidR="002B1954" w:rsidRPr="002B1954" w14:paraId="6903D3B8" w14:textId="77777777" w:rsidTr="008A28F5">
        <w:trPr>
          <w:trHeight w:val="300"/>
        </w:trPr>
        <w:tc>
          <w:tcPr>
            <w:tcW w:w="2694" w:type="dxa"/>
            <w:tcBorders>
              <w:top w:val="nil"/>
              <w:left w:val="nil"/>
              <w:bottom w:val="nil"/>
              <w:right w:val="nil"/>
            </w:tcBorders>
            <w:shd w:val="clear" w:color="auto" w:fill="auto"/>
            <w:noWrap/>
            <w:vAlign w:val="center"/>
            <w:hideMark/>
          </w:tcPr>
          <w:p w14:paraId="4A51432D" w14:textId="77777777" w:rsidR="002B1954" w:rsidRPr="002B1954" w:rsidRDefault="002B1954">
            <w:pPr>
              <w:rPr>
                <w:rFonts w:ascii="Cambria" w:hAnsi="Cambria" w:cs="Arial"/>
                <w:i/>
                <w:iCs/>
                <w:color w:val="000000"/>
                <w:sz w:val="12"/>
                <w:szCs w:val="12"/>
              </w:rPr>
            </w:pPr>
            <w:r>
              <w:rPr>
                <w:rFonts w:ascii="Cambria" w:hAnsi="Cambria"/>
                <w:i/>
                <w:color w:val="000000"/>
                <w:sz w:val="12"/>
              </w:rPr>
              <w:t>Réserve pour les régimes de prévoyance (OCI) - actualisée</w:t>
            </w:r>
          </w:p>
        </w:tc>
        <w:tc>
          <w:tcPr>
            <w:tcW w:w="442" w:type="dxa"/>
            <w:tcBorders>
              <w:top w:val="nil"/>
              <w:left w:val="nil"/>
              <w:bottom w:val="nil"/>
              <w:right w:val="nil"/>
            </w:tcBorders>
            <w:shd w:val="clear" w:color="auto" w:fill="auto"/>
            <w:noWrap/>
            <w:vAlign w:val="center"/>
            <w:hideMark/>
          </w:tcPr>
          <w:p w14:paraId="2A8AE6F2" w14:textId="77777777" w:rsidR="002B1954" w:rsidRPr="002B1954" w:rsidRDefault="002B1954">
            <w:pPr>
              <w:rPr>
                <w:rFonts w:ascii="Cambria" w:hAnsi="Cambria" w:cs="Arial"/>
                <w:i/>
                <w:iCs/>
                <w:color w:val="000000"/>
                <w:sz w:val="12"/>
                <w:szCs w:val="12"/>
              </w:rPr>
            </w:pPr>
          </w:p>
        </w:tc>
        <w:tc>
          <w:tcPr>
            <w:tcW w:w="1048" w:type="dxa"/>
            <w:tcBorders>
              <w:top w:val="nil"/>
              <w:left w:val="nil"/>
              <w:bottom w:val="nil"/>
              <w:right w:val="nil"/>
            </w:tcBorders>
            <w:shd w:val="clear" w:color="auto" w:fill="auto"/>
            <w:noWrap/>
            <w:vAlign w:val="bottom"/>
            <w:hideMark/>
          </w:tcPr>
          <w:p w14:paraId="2DCAA456" w14:textId="77777777" w:rsidR="002B1954" w:rsidRPr="002B1954" w:rsidRDefault="002B1954">
            <w:pPr>
              <w:jc w:val="center"/>
              <w:rPr>
                <w:sz w:val="12"/>
                <w:szCs w:val="12"/>
              </w:rPr>
            </w:pPr>
          </w:p>
        </w:tc>
        <w:tc>
          <w:tcPr>
            <w:tcW w:w="1016" w:type="dxa"/>
            <w:tcBorders>
              <w:top w:val="nil"/>
              <w:left w:val="nil"/>
              <w:bottom w:val="nil"/>
              <w:right w:val="nil"/>
            </w:tcBorders>
            <w:shd w:val="clear" w:color="auto" w:fill="auto"/>
            <w:noWrap/>
            <w:vAlign w:val="bottom"/>
            <w:hideMark/>
          </w:tcPr>
          <w:p w14:paraId="520F4996" w14:textId="77777777" w:rsidR="002B1954" w:rsidRPr="002B1954" w:rsidRDefault="002B1954">
            <w:pPr>
              <w:rPr>
                <w:sz w:val="12"/>
                <w:szCs w:val="12"/>
              </w:rPr>
            </w:pPr>
          </w:p>
        </w:tc>
        <w:tc>
          <w:tcPr>
            <w:tcW w:w="894" w:type="dxa"/>
            <w:tcBorders>
              <w:top w:val="nil"/>
              <w:left w:val="nil"/>
              <w:bottom w:val="nil"/>
              <w:right w:val="nil"/>
            </w:tcBorders>
            <w:shd w:val="clear" w:color="auto" w:fill="auto"/>
            <w:noWrap/>
            <w:vAlign w:val="bottom"/>
            <w:hideMark/>
          </w:tcPr>
          <w:p w14:paraId="2F86F13C" w14:textId="77777777" w:rsidR="002B1954" w:rsidRPr="002B1954" w:rsidRDefault="002B1954">
            <w:pPr>
              <w:rPr>
                <w:sz w:val="12"/>
                <w:szCs w:val="12"/>
              </w:rPr>
            </w:pPr>
          </w:p>
        </w:tc>
        <w:tc>
          <w:tcPr>
            <w:tcW w:w="698" w:type="dxa"/>
            <w:tcBorders>
              <w:top w:val="nil"/>
              <w:left w:val="nil"/>
              <w:bottom w:val="nil"/>
              <w:right w:val="nil"/>
            </w:tcBorders>
            <w:shd w:val="clear" w:color="auto" w:fill="auto"/>
            <w:noWrap/>
            <w:vAlign w:val="center"/>
            <w:hideMark/>
          </w:tcPr>
          <w:p w14:paraId="66E15A4B" w14:textId="77777777" w:rsidR="002B1954" w:rsidRPr="002B1954" w:rsidRDefault="002B1954">
            <w:pPr>
              <w:rPr>
                <w:sz w:val="12"/>
                <w:szCs w:val="12"/>
              </w:rPr>
            </w:pPr>
          </w:p>
        </w:tc>
        <w:tc>
          <w:tcPr>
            <w:tcW w:w="1094" w:type="dxa"/>
            <w:tcBorders>
              <w:top w:val="nil"/>
              <w:left w:val="nil"/>
              <w:bottom w:val="nil"/>
              <w:right w:val="nil"/>
            </w:tcBorders>
            <w:shd w:val="clear" w:color="auto" w:fill="auto"/>
            <w:noWrap/>
            <w:vAlign w:val="bottom"/>
            <w:hideMark/>
          </w:tcPr>
          <w:p w14:paraId="6E51E4BB" w14:textId="77777777" w:rsidR="002B1954" w:rsidRPr="002B1954" w:rsidRDefault="002B1954">
            <w:pPr>
              <w:jc w:val="right"/>
              <w:rPr>
                <w:sz w:val="12"/>
                <w:szCs w:val="12"/>
              </w:rPr>
            </w:pPr>
          </w:p>
        </w:tc>
        <w:tc>
          <w:tcPr>
            <w:tcW w:w="1043" w:type="dxa"/>
            <w:tcBorders>
              <w:top w:val="nil"/>
              <w:left w:val="nil"/>
              <w:bottom w:val="nil"/>
              <w:right w:val="nil"/>
            </w:tcBorders>
            <w:shd w:val="clear" w:color="auto" w:fill="auto"/>
            <w:noWrap/>
            <w:vAlign w:val="bottom"/>
            <w:hideMark/>
          </w:tcPr>
          <w:p w14:paraId="56C0D2F1" w14:textId="77777777" w:rsidR="002B1954" w:rsidRPr="002B1954" w:rsidRDefault="002B1954">
            <w:pPr>
              <w:rPr>
                <w:sz w:val="12"/>
                <w:szCs w:val="12"/>
              </w:rPr>
            </w:pPr>
          </w:p>
        </w:tc>
        <w:tc>
          <w:tcPr>
            <w:tcW w:w="709" w:type="dxa"/>
            <w:tcBorders>
              <w:top w:val="nil"/>
              <w:left w:val="nil"/>
              <w:bottom w:val="nil"/>
              <w:right w:val="nil"/>
            </w:tcBorders>
            <w:shd w:val="clear" w:color="auto" w:fill="auto"/>
            <w:noWrap/>
            <w:vAlign w:val="center"/>
            <w:hideMark/>
          </w:tcPr>
          <w:p w14:paraId="3E694EE1" w14:textId="77777777" w:rsidR="002B1954" w:rsidRPr="002B1954" w:rsidRDefault="002B1954">
            <w:pPr>
              <w:rPr>
                <w:sz w:val="12"/>
                <w:szCs w:val="12"/>
              </w:rPr>
            </w:pPr>
          </w:p>
        </w:tc>
      </w:tr>
      <w:tr w:rsidR="002B1954" w:rsidRPr="002B1954" w14:paraId="4A10E9C0" w14:textId="77777777" w:rsidTr="008A28F5">
        <w:trPr>
          <w:trHeight w:val="315"/>
        </w:trPr>
        <w:tc>
          <w:tcPr>
            <w:tcW w:w="2694" w:type="dxa"/>
            <w:tcBorders>
              <w:top w:val="nil"/>
              <w:left w:val="nil"/>
              <w:bottom w:val="nil"/>
              <w:right w:val="nil"/>
            </w:tcBorders>
            <w:shd w:val="clear" w:color="auto" w:fill="auto"/>
            <w:noWrap/>
            <w:vAlign w:val="center"/>
            <w:hideMark/>
          </w:tcPr>
          <w:p w14:paraId="52DE2CB5" w14:textId="77777777" w:rsidR="002B1954" w:rsidRPr="002B1954" w:rsidRDefault="002B1954">
            <w:pPr>
              <w:rPr>
                <w:rFonts w:ascii="Cambria" w:hAnsi="Cambria" w:cs="Arial"/>
                <w:color w:val="000000"/>
                <w:sz w:val="12"/>
                <w:szCs w:val="12"/>
              </w:rPr>
            </w:pPr>
            <w:r>
              <w:rPr>
                <w:rFonts w:ascii="Cambria" w:hAnsi="Cambria"/>
                <w:color w:val="000000"/>
                <w:sz w:val="12"/>
              </w:rPr>
              <w:t>Distribution des dividendes</w:t>
            </w:r>
          </w:p>
        </w:tc>
        <w:tc>
          <w:tcPr>
            <w:tcW w:w="442" w:type="dxa"/>
            <w:tcBorders>
              <w:top w:val="nil"/>
              <w:left w:val="nil"/>
              <w:bottom w:val="nil"/>
              <w:right w:val="nil"/>
            </w:tcBorders>
            <w:shd w:val="clear" w:color="auto" w:fill="auto"/>
            <w:noWrap/>
            <w:vAlign w:val="bottom"/>
            <w:hideMark/>
          </w:tcPr>
          <w:p w14:paraId="3066070D" w14:textId="77777777" w:rsidR="002B1954" w:rsidRPr="002B1954" w:rsidRDefault="002B1954">
            <w:pPr>
              <w:jc w:val="center"/>
              <w:rPr>
                <w:rFonts w:ascii="Cambria" w:hAnsi="Cambria" w:cs="Arial"/>
                <w:color w:val="000000"/>
                <w:sz w:val="12"/>
                <w:szCs w:val="12"/>
              </w:rPr>
            </w:pPr>
            <w:r>
              <w:rPr>
                <w:rFonts w:ascii="Cambria" w:hAnsi="Cambria"/>
                <w:color w:val="000000"/>
                <w:sz w:val="12"/>
              </w:rPr>
              <w:t>(19)</w:t>
            </w:r>
          </w:p>
        </w:tc>
        <w:tc>
          <w:tcPr>
            <w:tcW w:w="1048" w:type="dxa"/>
            <w:tcBorders>
              <w:top w:val="nil"/>
              <w:left w:val="nil"/>
              <w:bottom w:val="nil"/>
              <w:right w:val="nil"/>
            </w:tcBorders>
            <w:shd w:val="clear" w:color="auto" w:fill="auto"/>
            <w:noWrap/>
            <w:vAlign w:val="bottom"/>
            <w:hideMark/>
          </w:tcPr>
          <w:p w14:paraId="55295BC2" w14:textId="77777777" w:rsidR="002B1954" w:rsidRPr="002B1954" w:rsidRDefault="002B1954">
            <w:pPr>
              <w:jc w:val="center"/>
              <w:rPr>
                <w:rFonts w:ascii="Cambria" w:hAnsi="Cambria" w:cs="Arial"/>
                <w:color w:val="000000"/>
                <w:sz w:val="12"/>
                <w:szCs w:val="12"/>
              </w:rPr>
            </w:pPr>
          </w:p>
        </w:tc>
        <w:tc>
          <w:tcPr>
            <w:tcW w:w="1016" w:type="dxa"/>
            <w:tcBorders>
              <w:top w:val="nil"/>
              <w:left w:val="nil"/>
              <w:bottom w:val="nil"/>
              <w:right w:val="nil"/>
            </w:tcBorders>
            <w:shd w:val="clear" w:color="auto" w:fill="auto"/>
            <w:noWrap/>
            <w:vAlign w:val="bottom"/>
            <w:hideMark/>
          </w:tcPr>
          <w:p w14:paraId="2EB1F9BE" w14:textId="77777777" w:rsidR="002B1954" w:rsidRPr="002B1954" w:rsidRDefault="002B1954">
            <w:pPr>
              <w:rPr>
                <w:sz w:val="12"/>
                <w:szCs w:val="12"/>
              </w:rPr>
            </w:pPr>
          </w:p>
        </w:tc>
        <w:tc>
          <w:tcPr>
            <w:tcW w:w="894" w:type="dxa"/>
            <w:tcBorders>
              <w:top w:val="nil"/>
              <w:left w:val="nil"/>
              <w:bottom w:val="nil"/>
              <w:right w:val="nil"/>
            </w:tcBorders>
            <w:shd w:val="clear" w:color="auto" w:fill="auto"/>
            <w:noWrap/>
            <w:vAlign w:val="bottom"/>
            <w:hideMark/>
          </w:tcPr>
          <w:p w14:paraId="7CC6C6CF" w14:textId="77777777" w:rsidR="002B1954" w:rsidRPr="002B1954" w:rsidRDefault="002B1954">
            <w:pPr>
              <w:rPr>
                <w:sz w:val="12"/>
                <w:szCs w:val="12"/>
              </w:rPr>
            </w:pPr>
          </w:p>
        </w:tc>
        <w:tc>
          <w:tcPr>
            <w:tcW w:w="698" w:type="dxa"/>
            <w:tcBorders>
              <w:top w:val="nil"/>
              <w:left w:val="nil"/>
              <w:bottom w:val="single" w:sz="8" w:space="0" w:color="auto"/>
              <w:right w:val="nil"/>
            </w:tcBorders>
            <w:shd w:val="clear" w:color="auto" w:fill="auto"/>
            <w:noWrap/>
            <w:vAlign w:val="bottom"/>
            <w:hideMark/>
          </w:tcPr>
          <w:p w14:paraId="70C5FCC4" w14:textId="77777777" w:rsidR="002B1954" w:rsidRPr="002B1954" w:rsidRDefault="002B1954">
            <w:pPr>
              <w:jc w:val="right"/>
              <w:rPr>
                <w:rFonts w:ascii="Cambria" w:hAnsi="Cambria" w:cs="Arial"/>
                <w:color w:val="000000"/>
                <w:sz w:val="12"/>
                <w:szCs w:val="12"/>
              </w:rPr>
            </w:pPr>
            <w:r>
              <w:rPr>
                <w:rFonts w:ascii="Cambria" w:hAnsi="Cambria"/>
                <w:color w:val="000000"/>
                <w:sz w:val="12"/>
              </w:rPr>
              <w:t>(2 000 000)</w:t>
            </w:r>
          </w:p>
        </w:tc>
        <w:tc>
          <w:tcPr>
            <w:tcW w:w="1094" w:type="dxa"/>
            <w:tcBorders>
              <w:top w:val="nil"/>
              <w:left w:val="nil"/>
              <w:bottom w:val="nil"/>
              <w:right w:val="nil"/>
            </w:tcBorders>
            <w:shd w:val="clear" w:color="auto" w:fill="auto"/>
            <w:noWrap/>
            <w:vAlign w:val="bottom"/>
            <w:hideMark/>
          </w:tcPr>
          <w:p w14:paraId="767ED7EC" w14:textId="77777777" w:rsidR="002B1954" w:rsidRPr="002B1954" w:rsidRDefault="002B1954">
            <w:pPr>
              <w:jc w:val="right"/>
              <w:rPr>
                <w:rFonts w:ascii="Cambria" w:hAnsi="Cambria" w:cs="Arial"/>
                <w:color w:val="000000"/>
                <w:sz w:val="12"/>
                <w:szCs w:val="12"/>
              </w:rPr>
            </w:pPr>
          </w:p>
        </w:tc>
        <w:tc>
          <w:tcPr>
            <w:tcW w:w="1043" w:type="dxa"/>
            <w:tcBorders>
              <w:top w:val="nil"/>
              <w:left w:val="nil"/>
              <w:bottom w:val="nil"/>
              <w:right w:val="nil"/>
            </w:tcBorders>
            <w:shd w:val="clear" w:color="auto" w:fill="auto"/>
            <w:noWrap/>
            <w:vAlign w:val="bottom"/>
            <w:hideMark/>
          </w:tcPr>
          <w:p w14:paraId="7B2E6826" w14:textId="77777777" w:rsidR="002B1954" w:rsidRPr="002B1954" w:rsidRDefault="002B1954">
            <w:pPr>
              <w:rPr>
                <w:sz w:val="12"/>
                <w:szCs w:val="12"/>
              </w:rPr>
            </w:pPr>
          </w:p>
        </w:tc>
        <w:tc>
          <w:tcPr>
            <w:tcW w:w="709" w:type="dxa"/>
            <w:tcBorders>
              <w:top w:val="nil"/>
              <w:left w:val="nil"/>
              <w:bottom w:val="single" w:sz="8" w:space="0" w:color="auto"/>
              <w:right w:val="nil"/>
            </w:tcBorders>
            <w:shd w:val="clear" w:color="auto" w:fill="auto"/>
            <w:noWrap/>
            <w:vAlign w:val="bottom"/>
            <w:hideMark/>
          </w:tcPr>
          <w:p w14:paraId="3E5E7DE7" w14:textId="77777777" w:rsidR="002B1954" w:rsidRPr="002B1954" w:rsidRDefault="002B1954">
            <w:pPr>
              <w:jc w:val="right"/>
              <w:rPr>
                <w:rFonts w:ascii="Cambria" w:hAnsi="Cambria" w:cs="Arial"/>
                <w:color w:val="000000"/>
                <w:sz w:val="12"/>
                <w:szCs w:val="12"/>
              </w:rPr>
            </w:pPr>
            <w:r>
              <w:rPr>
                <w:rFonts w:ascii="Cambria" w:hAnsi="Cambria"/>
                <w:color w:val="000000"/>
                <w:sz w:val="12"/>
              </w:rPr>
              <w:t>(2 000 000)</w:t>
            </w:r>
          </w:p>
        </w:tc>
      </w:tr>
      <w:tr w:rsidR="002B1954" w:rsidRPr="002B1954" w14:paraId="44295925" w14:textId="77777777" w:rsidTr="008A28F5">
        <w:trPr>
          <w:trHeight w:val="315"/>
        </w:trPr>
        <w:tc>
          <w:tcPr>
            <w:tcW w:w="2694" w:type="dxa"/>
            <w:tcBorders>
              <w:top w:val="nil"/>
              <w:left w:val="nil"/>
              <w:bottom w:val="nil"/>
              <w:right w:val="nil"/>
            </w:tcBorders>
            <w:shd w:val="clear" w:color="auto" w:fill="auto"/>
            <w:noWrap/>
            <w:vAlign w:val="center"/>
            <w:hideMark/>
          </w:tcPr>
          <w:p w14:paraId="05E434A2" w14:textId="77777777" w:rsidR="002B1954" w:rsidRPr="002B1954" w:rsidRDefault="002B1954">
            <w:pPr>
              <w:rPr>
                <w:rFonts w:ascii="Cambria" w:hAnsi="Cambria" w:cs="Arial"/>
                <w:b/>
                <w:bCs/>
                <w:color w:val="000000"/>
                <w:sz w:val="12"/>
                <w:szCs w:val="12"/>
              </w:rPr>
            </w:pPr>
            <w:r>
              <w:rPr>
                <w:rFonts w:ascii="Cambria" w:hAnsi="Cambria"/>
                <w:b/>
                <w:color w:val="000000"/>
                <w:sz w:val="12"/>
              </w:rPr>
              <w:t>Bilan au 30 juin 2020</w:t>
            </w:r>
          </w:p>
        </w:tc>
        <w:tc>
          <w:tcPr>
            <w:tcW w:w="442" w:type="dxa"/>
            <w:tcBorders>
              <w:top w:val="nil"/>
              <w:left w:val="nil"/>
              <w:bottom w:val="nil"/>
              <w:right w:val="nil"/>
            </w:tcBorders>
            <w:shd w:val="clear" w:color="auto" w:fill="auto"/>
            <w:noWrap/>
            <w:vAlign w:val="bottom"/>
            <w:hideMark/>
          </w:tcPr>
          <w:p w14:paraId="1EC3E213" w14:textId="77777777" w:rsidR="002B1954" w:rsidRPr="002B1954" w:rsidRDefault="002B1954">
            <w:pPr>
              <w:rPr>
                <w:rFonts w:ascii="Cambria" w:hAnsi="Cambria" w:cs="Arial"/>
                <w:b/>
                <w:bCs/>
                <w:color w:val="000000"/>
                <w:sz w:val="12"/>
                <w:szCs w:val="12"/>
              </w:rPr>
            </w:pPr>
          </w:p>
        </w:tc>
        <w:tc>
          <w:tcPr>
            <w:tcW w:w="1048" w:type="dxa"/>
            <w:tcBorders>
              <w:top w:val="single" w:sz="8" w:space="0" w:color="auto"/>
              <w:left w:val="nil"/>
              <w:bottom w:val="single" w:sz="8" w:space="0" w:color="auto"/>
              <w:right w:val="nil"/>
            </w:tcBorders>
            <w:shd w:val="clear" w:color="auto" w:fill="auto"/>
            <w:noWrap/>
            <w:vAlign w:val="center"/>
            <w:hideMark/>
          </w:tcPr>
          <w:p w14:paraId="5BC4C7B8" w14:textId="77777777" w:rsidR="002B1954" w:rsidRPr="002B1954" w:rsidRDefault="002B1954">
            <w:pPr>
              <w:jc w:val="right"/>
              <w:rPr>
                <w:rFonts w:ascii="Cambria" w:hAnsi="Cambria" w:cs="Arial"/>
                <w:b/>
                <w:bCs/>
                <w:color w:val="000000"/>
                <w:sz w:val="12"/>
                <w:szCs w:val="12"/>
              </w:rPr>
            </w:pPr>
            <w:r>
              <w:rPr>
                <w:rFonts w:ascii="Cambria" w:hAnsi="Cambria"/>
                <w:b/>
                <w:color w:val="000000"/>
                <w:sz w:val="12"/>
              </w:rPr>
              <w:t>1 186 667</w:t>
            </w:r>
          </w:p>
        </w:tc>
        <w:tc>
          <w:tcPr>
            <w:tcW w:w="1016" w:type="dxa"/>
            <w:tcBorders>
              <w:top w:val="single" w:sz="8" w:space="0" w:color="auto"/>
              <w:left w:val="nil"/>
              <w:bottom w:val="single" w:sz="8" w:space="0" w:color="auto"/>
              <w:right w:val="nil"/>
            </w:tcBorders>
            <w:shd w:val="clear" w:color="auto" w:fill="auto"/>
            <w:noWrap/>
            <w:vAlign w:val="center"/>
            <w:hideMark/>
          </w:tcPr>
          <w:p w14:paraId="272ECF5D" w14:textId="2460EFAB" w:rsidR="002B1954" w:rsidRPr="002B1954" w:rsidRDefault="002B1954" w:rsidP="002B1954">
            <w:pPr>
              <w:jc w:val="right"/>
              <w:rPr>
                <w:rFonts w:ascii="Cambria" w:hAnsi="Cambria" w:cs="Arial"/>
                <w:b/>
                <w:bCs/>
                <w:color w:val="000000"/>
                <w:sz w:val="12"/>
                <w:szCs w:val="12"/>
              </w:rPr>
            </w:pPr>
            <w:r>
              <w:rPr>
                <w:rFonts w:ascii="Cambria" w:hAnsi="Cambria"/>
                <w:b/>
                <w:color w:val="000000"/>
                <w:sz w:val="12"/>
              </w:rPr>
              <w:t>191 399</w:t>
            </w:r>
          </w:p>
        </w:tc>
        <w:tc>
          <w:tcPr>
            <w:tcW w:w="894" w:type="dxa"/>
            <w:tcBorders>
              <w:top w:val="single" w:sz="8" w:space="0" w:color="auto"/>
              <w:left w:val="nil"/>
              <w:bottom w:val="single" w:sz="8" w:space="0" w:color="auto"/>
              <w:right w:val="nil"/>
            </w:tcBorders>
            <w:shd w:val="clear" w:color="auto" w:fill="auto"/>
            <w:noWrap/>
            <w:vAlign w:val="center"/>
            <w:hideMark/>
          </w:tcPr>
          <w:p w14:paraId="49D5DD61"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2 440 366</w:t>
            </w:r>
          </w:p>
        </w:tc>
        <w:tc>
          <w:tcPr>
            <w:tcW w:w="698" w:type="dxa"/>
            <w:tcBorders>
              <w:top w:val="nil"/>
              <w:left w:val="nil"/>
              <w:bottom w:val="single" w:sz="8" w:space="0" w:color="auto"/>
              <w:right w:val="nil"/>
            </w:tcBorders>
            <w:shd w:val="clear" w:color="auto" w:fill="auto"/>
            <w:noWrap/>
            <w:vAlign w:val="center"/>
            <w:hideMark/>
          </w:tcPr>
          <w:p w14:paraId="2C9AADBA" w14:textId="77777777" w:rsidR="002B1954" w:rsidRPr="002B1954" w:rsidRDefault="002B1954">
            <w:pPr>
              <w:jc w:val="right"/>
              <w:rPr>
                <w:rFonts w:ascii="Cambria" w:hAnsi="Cambria" w:cs="Arial"/>
                <w:b/>
                <w:bCs/>
                <w:color w:val="000000"/>
                <w:sz w:val="12"/>
                <w:szCs w:val="12"/>
              </w:rPr>
            </w:pPr>
            <w:r>
              <w:rPr>
                <w:rFonts w:ascii="Cambria" w:hAnsi="Cambria"/>
                <w:b/>
                <w:color w:val="000000"/>
                <w:sz w:val="12"/>
              </w:rPr>
              <w:t>6 851 318</w:t>
            </w:r>
          </w:p>
        </w:tc>
        <w:tc>
          <w:tcPr>
            <w:tcW w:w="1094" w:type="dxa"/>
            <w:tcBorders>
              <w:top w:val="single" w:sz="8" w:space="0" w:color="auto"/>
              <w:left w:val="nil"/>
              <w:bottom w:val="single" w:sz="8" w:space="0" w:color="auto"/>
              <w:right w:val="nil"/>
            </w:tcBorders>
            <w:shd w:val="clear" w:color="auto" w:fill="auto"/>
            <w:noWrap/>
            <w:vAlign w:val="center"/>
            <w:hideMark/>
          </w:tcPr>
          <w:p w14:paraId="45078A18" w14:textId="77777777" w:rsidR="002B1954" w:rsidRPr="002B1954" w:rsidRDefault="002B1954">
            <w:pPr>
              <w:jc w:val="right"/>
              <w:rPr>
                <w:rFonts w:ascii="Cambria" w:hAnsi="Cambria" w:cs="Arial"/>
                <w:b/>
                <w:bCs/>
                <w:color w:val="000000"/>
                <w:sz w:val="12"/>
                <w:szCs w:val="12"/>
              </w:rPr>
            </w:pPr>
            <w:r>
              <w:rPr>
                <w:rFonts w:ascii="Cambria" w:hAnsi="Cambria"/>
                <w:b/>
                <w:color w:val="000000"/>
                <w:sz w:val="12"/>
              </w:rPr>
              <w:t>733 560</w:t>
            </w:r>
          </w:p>
        </w:tc>
        <w:tc>
          <w:tcPr>
            <w:tcW w:w="1043" w:type="dxa"/>
            <w:tcBorders>
              <w:top w:val="single" w:sz="8" w:space="0" w:color="auto"/>
              <w:left w:val="nil"/>
              <w:bottom w:val="single" w:sz="8" w:space="0" w:color="auto"/>
              <w:right w:val="nil"/>
            </w:tcBorders>
            <w:shd w:val="clear" w:color="auto" w:fill="auto"/>
            <w:noWrap/>
            <w:vAlign w:val="center"/>
            <w:hideMark/>
          </w:tcPr>
          <w:p w14:paraId="4D49862C" w14:textId="77777777" w:rsidR="002B1954" w:rsidRPr="002B1954" w:rsidRDefault="002B1954">
            <w:pPr>
              <w:jc w:val="right"/>
              <w:rPr>
                <w:rFonts w:ascii="Cambria" w:hAnsi="Cambria" w:cs="Arial"/>
                <w:b/>
                <w:bCs/>
                <w:color w:val="000000"/>
                <w:sz w:val="12"/>
                <w:szCs w:val="12"/>
              </w:rPr>
            </w:pPr>
            <w:r>
              <w:rPr>
                <w:rFonts w:ascii="Cambria" w:hAnsi="Cambria"/>
                <w:b/>
                <w:color w:val="000000"/>
                <w:sz w:val="12"/>
              </w:rPr>
              <w:t>615 687</w:t>
            </w:r>
          </w:p>
        </w:tc>
        <w:tc>
          <w:tcPr>
            <w:tcW w:w="709" w:type="dxa"/>
            <w:tcBorders>
              <w:top w:val="nil"/>
              <w:left w:val="nil"/>
              <w:bottom w:val="single" w:sz="8" w:space="0" w:color="auto"/>
              <w:right w:val="nil"/>
            </w:tcBorders>
            <w:shd w:val="clear" w:color="auto" w:fill="auto"/>
            <w:noWrap/>
            <w:vAlign w:val="center"/>
            <w:hideMark/>
          </w:tcPr>
          <w:p w14:paraId="18AD1C74" w14:textId="77777777" w:rsidR="002B1954" w:rsidRPr="002B1954" w:rsidRDefault="002B1954">
            <w:pPr>
              <w:jc w:val="right"/>
              <w:rPr>
                <w:rFonts w:ascii="Cambria" w:hAnsi="Cambria" w:cs="Arial"/>
                <w:b/>
                <w:bCs/>
                <w:color w:val="000000"/>
                <w:sz w:val="12"/>
                <w:szCs w:val="12"/>
              </w:rPr>
            </w:pPr>
            <w:r>
              <w:rPr>
                <w:rFonts w:ascii="Cambria" w:hAnsi="Cambria"/>
                <w:b/>
                <w:color w:val="000000"/>
                <w:sz w:val="12"/>
              </w:rPr>
              <w:t>12 018 998</w:t>
            </w:r>
          </w:p>
        </w:tc>
      </w:tr>
      <w:tr w:rsidR="002B1954" w:rsidRPr="002B1954" w14:paraId="1F746088" w14:textId="77777777" w:rsidTr="008A28F5">
        <w:trPr>
          <w:trHeight w:val="300"/>
        </w:trPr>
        <w:tc>
          <w:tcPr>
            <w:tcW w:w="2694" w:type="dxa"/>
            <w:tcBorders>
              <w:top w:val="nil"/>
              <w:left w:val="nil"/>
              <w:bottom w:val="nil"/>
              <w:right w:val="nil"/>
            </w:tcBorders>
            <w:shd w:val="clear" w:color="auto" w:fill="auto"/>
            <w:noWrap/>
            <w:vAlign w:val="center"/>
            <w:hideMark/>
          </w:tcPr>
          <w:p w14:paraId="014DB377" w14:textId="77777777" w:rsidR="002B1954" w:rsidRPr="002B1954" w:rsidRDefault="002B1954">
            <w:pPr>
              <w:jc w:val="right"/>
              <w:rPr>
                <w:rFonts w:ascii="Cambria" w:hAnsi="Cambria" w:cs="Arial"/>
                <w:b/>
                <w:bCs/>
                <w:color w:val="000000"/>
                <w:sz w:val="12"/>
                <w:szCs w:val="12"/>
              </w:rPr>
            </w:pPr>
          </w:p>
        </w:tc>
        <w:tc>
          <w:tcPr>
            <w:tcW w:w="442" w:type="dxa"/>
            <w:tcBorders>
              <w:top w:val="nil"/>
              <w:left w:val="nil"/>
              <w:bottom w:val="nil"/>
              <w:right w:val="nil"/>
            </w:tcBorders>
            <w:shd w:val="clear" w:color="auto" w:fill="auto"/>
            <w:noWrap/>
            <w:vAlign w:val="bottom"/>
            <w:hideMark/>
          </w:tcPr>
          <w:p w14:paraId="1CEA9999" w14:textId="77777777" w:rsidR="002B1954" w:rsidRPr="002B1954" w:rsidRDefault="002B1954">
            <w:pPr>
              <w:rPr>
                <w:sz w:val="12"/>
                <w:szCs w:val="12"/>
              </w:rPr>
            </w:pPr>
          </w:p>
        </w:tc>
        <w:tc>
          <w:tcPr>
            <w:tcW w:w="1048" w:type="dxa"/>
            <w:tcBorders>
              <w:top w:val="nil"/>
              <w:left w:val="nil"/>
              <w:bottom w:val="nil"/>
              <w:right w:val="nil"/>
            </w:tcBorders>
            <w:shd w:val="clear" w:color="auto" w:fill="auto"/>
            <w:noWrap/>
            <w:vAlign w:val="bottom"/>
            <w:hideMark/>
          </w:tcPr>
          <w:p w14:paraId="6F13535A" w14:textId="77777777" w:rsidR="002B1954" w:rsidRPr="002B1954" w:rsidRDefault="002B1954">
            <w:pPr>
              <w:rPr>
                <w:sz w:val="12"/>
                <w:szCs w:val="12"/>
              </w:rPr>
            </w:pPr>
          </w:p>
        </w:tc>
        <w:tc>
          <w:tcPr>
            <w:tcW w:w="1016" w:type="dxa"/>
            <w:tcBorders>
              <w:top w:val="nil"/>
              <w:left w:val="nil"/>
              <w:bottom w:val="nil"/>
              <w:right w:val="nil"/>
            </w:tcBorders>
            <w:shd w:val="clear" w:color="auto" w:fill="auto"/>
            <w:noWrap/>
            <w:vAlign w:val="bottom"/>
            <w:hideMark/>
          </w:tcPr>
          <w:p w14:paraId="5371A80E" w14:textId="77777777" w:rsidR="002B1954" w:rsidRPr="002B1954" w:rsidRDefault="002B1954">
            <w:pPr>
              <w:rPr>
                <w:sz w:val="12"/>
                <w:szCs w:val="12"/>
              </w:rPr>
            </w:pPr>
          </w:p>
        </w:tc>
        <w:tc>
          <w:tcPr>
            <w:tcW w:w="894" w:type="dxa"/>
            <w:tcBorders>
              <w:top w:val="nil"/>
              <w:left w:val="nil"/>
              <w:bottom w:val="nil"/>
              <w:right w:val="nil"/>
            </w:tcBorders>
            <w:shd w:val="clear" w:color="auto" w:fill="auto"/>
            <w:noWrap/>
            <w:vAlign w:val="bottom"/>
            <w:hideMark/>
          </w:tcPr>
          <w:p w14:paraId="4A490929" w14:textId="77777777" w:rsidR="002B1954" w:rsidRPr="002B1954" w:rsidRDefault="002B1954">
            <w:pPr>
              <w:rPr>
                <w:sz w:val="12"/>
                <w:szCs w:val="12"/>
              </w:rPr>
            </w:pPr>
          </w:p>
        </w:tc>
        <w:tc>
          <w:tcPr>
            <w:tcW w:w="698" w:type="dxa"/>
            <w:tcBorders>
              <w:top w:val="nil"/>
              <w:left w:val="nil"/>
              <w:bottom w:val="nil"/>
              <w:right w:val="nil"/>
            </w:tcBorders>
            <w:shd w:val="clear" w:color="auto" w:fill="auto"/>
            <w:noWrap/>
            <w:vAlign w:val="bottom"/>
            <w:hideMark/>
          </w:tcPr>
          <w:p w14:paraId="6EF14F32" w14:textId="77777777" w:rsidR="002B1954" w:rsidRPr="002B1954" w:rsidRDefault="002B1954">
            <w:pPr>
              <w:rPr>
                <w:sz w:val="12"/>
                <w:szCs w:val="12"/>
              </w:rPr>
            </w:pPr>
          </w:p>
        </w:tc>
        <w:tc>
          <w:tcPr>
            <w:tcW w:w="1094" w:type="dxa"/>
            <w:tcBorders>
              <w:top w:val="nil"/>
              <w:left w:val="nil"/>
              <w:bottom w:val="nil"/>
              <w:right w:val="nil"/>
            </w:tcBorders>
            <w:shd w:val="clear" w:color="auto" w:fill="auto"/>
            <w:noWrap/>
            <w:vAlign w:val="bottom"/>
            <w:hideMark/>
          </w:tcPr>
          <w:p w14:paraId="3A78212F" w14:textId="77777777" w:rsidR="002B1954" w:rsidRPr="002B1954" w:rsidRDefault="002B1954">
            <w:pPr>
              <w:rPr>
                <w:sz w:val="12"/>
                <w:szCs w:val="12"/>
              </w:rPr>
            </w:pPr>
          </w:p>
        </w:tc>
        <w:tc>
          <w:tcPr>
            <w:tcW w:w="1043" w:type="dxa"/>
            <w:tcBorders>
              <w:top w:val="nil"/>
              <w:left w:val="nil"/>
              <w:bottom w:val="nil"/>
              <w:right w:val="nil"/>
            </w:tcBorders>
            <w:shd w:val="clear" w:color="auto" w:fill="auto"/>
            <w:noWrap/>
            <w:vAlign w:val="bottom"/>
            <w:hideMark/>
          </w:tcPr>
          <w:p w14:paraId="2D9DD0D5" w14:textId="77777777" w:rsidR="002B1954" w:rsidRPr="002B1954" w:rsidRDefault="002B1954">
            <w:pPr>
              <w:rPr>
                <w:sz w:val="12"/>
                <w:szCs w:val="12"/>
              </w:rPr>
            </w:pPr>
          </w:p>
        </w:tc>
        <w:tc>
          <w:tcPr>
            <w:tcW w:w="709" w:type="dxa"/>
            <w:tcBorders>
              <w:top w:val="nil"/>
              <w:left w:val="nil"/>
              <w:bottom w:val="nil"/>
              <w:right w:val="nil"/>
            </w:tcBorders>
            <w:shd w:val="clear" w:color="auto" w:fill="auto"/>
            <w:noWrap/>
            <w:vAlign w:val="bottom"/>
            <w:hideMark/>
          </w:tcPr>
          <w:p w14:paraId="1A613D2B" w14:textId="77777777" w:rsidR="002B1954" w:rsidRPr="002B1954" w:rsidRDefault="002B1954">
            <w:pPr>
              <w:rPr>
                <w:sz w:val="12"/>
                <w:szCs w:val="12"/>
              </w:rPr>
            </w:pPr>
          </w:p>
        </w:tc>
      </w:tr>
      <w:tr w:rsidR="002B1954" w:rsidRPr="002B1954" w14:paraId="161AD46E" w14:textId="77777777" w:rsidTr="008A28F5">
        <w:trPr>
          <w:trHeight w:val="300"/>
        </w:trPr>
        <w:tc>
          <w:tcPr>
            <w:tcW w:w="2694" w:type="dxa"/>
            <w:tcBorders>
              <w:top w:val="nil"/>
              <w:left w:val="nil"/>
              <w:bottom w:val="nil"/>
              <w:right w:val="nil"/>
            </w:tcBorders>
            <w:shd w:val="clear" w:color="auto" w:fill="auto"/>
            <w:noWrap/>
            <w:vAlign w:val="center"/>
            <w:hideMark/>
          </w:tcPr>
          <w:p w14:paraId="4EA806F0" w14:textId="77777777" w:rsidR="002B1954" w:rsidRPr="002B1954" w:rsidRDefault="002B1954">
            <w:pPr>
              <w:rPr>
                <w:sz w:val="12"/>
                <w:szCs w:val="12"/>
              </w:rPr>
            </w:pPr>
          </w:p>
        </w:tc>
        <w:tc>
          <w:tcPr>
            <w:tcW w:w="442" w:type="dxa"/>
            <w:tcBorders>
              <w:top w:val="nil"/>
              <w:left w:val="nil"/>
              <w:bottom w:val="nil"/>
              <w:right w:val="nil"/>
            </w:tcBorders>
            <w:shd w:val="clear" w:color="auto" w:fill="auto"/>
            <w:noWrap/>
            <w:vAlign w:val="bottom"/>
            <w:hideMark/>
          </w:tcPr>
          <w:p w14:paraId="1F1F149C" w14:textId="77777777" w:rsidR="002B1954" w:rsidRPr="002B1954" w:rsidRDefault="002B1954">
            <w:pPr>
              <w:rPr>
                <w:sz w:val="12"/>
                <w:szCs w:val="12"/>
              </w:rPr>
            </w:pPr>
          </w:p>
        </w:tc>
        <w:tc>
          <w:tcPr>
            <w:tcW w:w="1048" w:type="dxa"/>
            <w:tcBorders>
              <w:top w:val="nil"/>
              <w:left w:val="nil"/>
              <w:bottom w:val="nil"/>
              <w:right w:val="nil"/>
            </w:tcBorders>
            <w:shd w:val="clear" w:color="auto" w:fill="auto"/>
            <w:noWrap/>
            <w:vAlign w:val="bottom"/>
            <w:hideMark/>
          </w:tcPr>
          <w:p w14:paraId="06665BF9" w14:textId="77777777" w:rsidR="002B1954" w:rsidRPr="002B1954" w:rsidRDefault="002B1954">
            <w:pPr>
              <w:rPr>
                <w:sz w:val="12"/>
                <w:szCs w:val="12"/>
              </w:rPr>
            </w:pPr>
          </w:p>
        </w:tc>
        <w:tc>
          <w:tcPr>
            <w:tcW w:w="1016" w:type="dxa"/>
            <w:tcBorders>
              <w:top w:val="nil"/>
              <w:left w:val="nil"/>
              <w:bottom w:val="nil"/>
              <w:right w:val="nil"/>
            </w:tcBorders>
            <w:shd w:val="clear" w:color="auto" w:fill="auto"/>
            <w:noWrap/>
            <w:vAlign w:val="bottom"/>
            <w:hideMark/>
          </w:tcPr>
          <w:p w14:paraId="1FE314E2" w14:textId="77777777" w:rsidR="002B1954" w:rsidRPr="002B1954" w:rsidRDefault="002B1954">
            <w:pPr>
              <w:rPr>
                <w:sz w:val="12"/>
                <w:szCs w:val="12"/>
              </w:rPr>
            </w:pPr>
          </w:p>
        </w:tc>
        <w:tc>
          <w:tcPr>
            <w:tcW w:w="894" w:type="dxa"/>
            <w:tcBorders>
              <w:top w:val="nil"/>
              <w:left w:val="nil"/>
              <w:bottom w:val="nil"/>
              <w:right w:val="nil"/>
            </w:tcBorders>
            <w:shd w:val="clear" w:color="auto" w:fill="auto"/>
            <w:noWrap/>
            <w:vAlign w:val="bottom"/>
            <w:hideMark/>
          </w:tcPr>
          <w:p w14:paraId="65A4E922" w14:textId="77777777" w:rsidR="002B1954" w:rsidRPr="002B1954" w:rsidRDefault="002B1954">
            <w:pPr>
              <w:rPr>
                <w:sz w:val="12"/>
                <w:szCs w:val="12"/>
              </w:rPr>
            </w:pPr>
          </w:p>
        </w:tc>
        <w:tc>
          <w:tcPr>
            <w:tcW w:w="698" w:type="dxa"/>
            <w:tcBorders>
              <w:top w:val="nil"/>
              <w:left w:val="nil"/>
              <w:bottom w:val="nil"/>
              <w:right w:val="nil"/>
            </w:tcBorders>
            <w:shd w:val="clear" w:color="auto" w:fill="auto"/>
            <w:noWrap/>
            <w:vAlign w:val="bottom"/>
            <w:hideMark/>
          </w:tcPr>
          <w:p w14:paraId="02909EB0" w14:textId="77777777" w:rsidR="002B1954" w:rsidRPr="002B1954" w:rsidRDefault="002B1954">
            <w:pPr>
              <w:rPr>
                <w:sz w:val="12"/>
                <w:szCs w:val="12"/>
              </w:rPr>
            </w:pPr>
          </w:p>
        </w:tc>
        <w:tc>
          <w:tcPr>
            <w:tcW w:w="1094" w:type="dxa"/>
            <w:tcBorders>
              <w:top w:val="nil"/>
              <w:left w:val="nil"/>
              <w:bottom w:val="nil"/>
              <w:right w:val="nil"/>
            </w:tcBorders>
            <w:shd w:val="clear" w:color="auto" w:fill="auto"/>
            <w:noWrap/>
            <w:vAlign w:val="bottom"/>
            <w:hideMark/>
          </w:tcPr>
          <w:p w14:paraId="0124778B" w14:textId="77777777" w:rsidR="002B1954" w:rsidRPr="002B1954" w:rsidRDefault="002B1954">
            <w:pPr>
              <w:rPr>
                <w:sz w:val="12"/>
                <w:szCs w:val="12"/>
              </w:rPr>
            </w:pPr>
          </w:p>
        </w:tc>
        <w:tc>
          <w:tcPr>
            <w:tcW w:w="1043" w:type="dxa"/>
            <w:tcBorders>
              <w:top w:val="nil"/>
              <w:left w:val="nil"/>
              <w:bottom w:val="nil"/>
              <w:right w:val="nil"/>
            </w:tcBorders>
            <w:shd w:val="clear" w:color="auto" w:fill="auto"/>
            <w:noWrap/>
            <w:vAlign w:val="bottom"/>
            <w:hideMark/>
          </w:tcPr>
          <w:p w14:paraId="6F0ACC6A" w14:textId="77777777" w:rsidR="002B1954" w:rsidRPr="002B1954" w:rsidRDefault="002B1954">
            <w:pPr>
              <w:rPr>
                <w:sz w:val="12"/>
                <w:szCs w:val="12"/>
              </w:rPr>
            </w:pPr>
          </w:p>
        </w:tc>
        <w:tc>
          <w:tcPr>
            <w:tcW w:w="709" w:type="dxa"/>
            <w:tcBorders>
              <w:top w:val="nil"/>
              <w:left w:val="nil"/>
              <w:bottom w:val="nil"/>
              <w:right w:val="nil"/>
            </w:tcBorders>
            <w:shd w:val="clear" w:color="auto" w:fill="auto"/>
            <w:noWrap/>
            <w:vAlign w:val="bottom"/>
            <w:hideMark/>
          </w:tcPr>
          <w:p w14:paraId="0C50E2D6" w14:textId="77777777" w:rsidR="002B1954" w:rsidRPr="002B1954" w:rsidRDefault="002B1954">
            <w:pPr>
              <w:rPr>
                <w:sz w:val="12"/>
                <w:szCs w:val="12"/>
              </w:rPr>
            </w:pPr>
          </w:p>
        </w:tc>
      </w:tr>
      <w:tr w:rsidR="002B1954" w:rsidRPr="002B1954" w14:paraId="14BA7D35" w14:textId="77777777" w:rsidTr="008A28F5">
        <w:trPr>
          <w:trHeight w:val="315"/>
        </w:trPr>
        <w:tc>
          <w:tcPr>
            <w:tcW w:w="2694" w:type="dxa"/>
            <w:tcBorders>
              <w:top w:val="nil"/>
              <w:left w:val="nil"/>
              <w:bottom w:val="nil"/>
              <w:right w:val="nil"/>
            </w:tcBorders>
            <w:shd w:val="clear" w:color="auto" w:fill="auto"/>
            <w:noWrap/>
            <w:vAlign w:val="center"/>
            <w:hideMark/>
          </w:tcPr>
          <w:p w14:paraId="1E544BA4" w14:textId="77777777" w:rsidR="002B1954" w:rsidRPr="002B1954" w:rsidRDefault="002B1954">
            <w:pPr>
              <w:rPr>
                <w:sz w:val="12"/>
                <w:szCs w:val="12"/>
              </w:rPr>
            </w:pPr>
          </w:p>
        </w:tc>
        <w:tc>
          <w:tcPr>
            <w:tcW w:w="442" w:type="dxa"/>
            <w:tcBorders>
              <w:top w:val="nil"/>
              <w:left w:val="nil"/>
              <w:bottom w:val="nil"/>
              <w:right w:val="nil"/>
            </w:tcBorders>
            <w:shd w:val="clear" w:color="auto" w:fill="auto"/>
            <w:noWrap/>
            <w:vAlign w:val="bottom"/>
            <w:hideMark/>
          </w:tcPr>
          <w:p w14:paraId="22E69797" w14:textId="77777777" w:rsidR="002B1954" w:rsidRPr="002B1954" w:rsidRDefault="002B1954">
            <w:pPr>
              <w:rPr>
                <w:sz w:val="12"/>
                <w:szCs w:val="12"/>
              </w:rPr>
            </w:pPr>
          </w:p>
        </w:tc>
        <w:tc>
          <w:tcPr>
            <w:tcW w:w="1048" w:type="dxa"/>
            <w:tcBorders>
              <w:top w:val="nil"/>
              <w:left w:val="nil"/>
              <w:bottom w:val="nil"/>
              <w:right w:val="nil"/>
            </w:tcBorders>
            <w:shd w:val="clear" w:color="auto" w:fill="auto"/>
            <w:noWrap/>
            <w:vAlign w:val="bottom"/>
            <w:hideMark/>
          </w:tcPr>
          <w:p w14:paraId="03523A80" w14:textId="77777777" w:rsidR="002B1954" w:rsidRPr="002B1954" w:rsidRDefault="002B1954">
            <w:pPr>
              <w:rPr>
                <w:sz w:val="12"/>
                <w:szCs w:val="12"/>
              </w:rPr>
            </w:pPr>
          </w:p>
        </w:tc>
        <w:tc>
          <w:tcPr>
            <w:tcW w:w="1016" w:type="dxa"/>
            <w:tcBorders>
              <w:top w:val="nil"/>
              <w:left w:val="nil"/>
              <w:bottom w:val="nil"/>
              <w:right w:val="nil"/>
            </w:tcBorders>
            <w:shd w:val="clear" w:color="auto" w:fill="auto"/>
            <w:noWrap/>
            <w:vAlign w:val="bottom"/>
            <w:hideMark/>
          </w:tcPr>
          <w:p w14:paraId="049AEE49" w14:textId="77777777" w:rsidR="002B1954" w:rsidRPr="002B1954" w:rsidRDefault="002B1954">
            <w:pPr>
              <w:rPr>
                <w:sz w:val="12"/>
                <w:szCs w:val="12"/>
              </w:rPr>
            </w:pPr>
          </w:p>
        </w:tc>
        <w:tc>
          <w:tcPr>
            <w:tcW w:w="894" w:type="dxa"/>
            <w:tcBorders>
              <w:top w:val="nil"/>
              <w:left w:val="nil"/>
              <w:bottom w:val="nil"/>
              <w:right w:val="nil"/>
            </w:tcBorders>
            <w:shd w:val="clear" w:color="auto" w:fill="auto"/>
            <w:noWrap/>
            <w:vAlign w:val="bottom"/>
            <w:hideMark/>
          </w:tcPr>
          <w:p w14:paraId="46B41953" w14:textId="77777777" w:rsidR="002B1954" w:rsidRPr="002B1954" w:rsidRDefault="002B1954">
            <w:pPr>
              <w:rPr>
                <w:sz w:val="12"/>
                <w:szCs w:val="12"/>
              </w:rPr>
            </w:pPr>
          </w:p>
        </w:tc>
        <w:tc>
          <w:tcPr>
            <w:tcW w:w="698" w:type="dxa"/>
            <w:tcBorders>
              <w:top w:val="nil"/>
              <w:left w:val="nil"/>
              <w:bottom w:val="nil"/>
              <w:right w:val="nil"/>
            </w:tcBorders>
            <w:shd w:val="clear" w:color="auto" w:fill="auto"/>
            <w:noWrap/>
            <w:vAlign w:val="bottom"/>
            <w:hideMark/>
          </w:tcPr>
          <w:p w14:paraId="063C5578" w14:textId="77777777" w:rsidR="002B1954" w:rsidRPr="002B1954" w:rsidRDefault="002B1954">
            <w:pPr>
              <w:rPr>
                <w:sz w:val="12"/>
                <w:szCs w:val="12"/>
              </w:rPr>
            </w:pPr>
          </w:p>
        </w:tc>
        <w:tc>
          <w:tcPr>
            <w:tcW w:w="1094" w:type="dxa"/>
            <w:tcBorders>
              <w:top w:val="nil"/>
              <w:left w:val="nil"/>
              <w:bottom w:val="nil"/>
              <w:right w:val="nil"/>
            </w:tcBorders>
            <w:shd w:val="clear" w:color="auto" w:fill="auto"/>
            <w:noWrap/>
            <w:vAlign w:val="bottom"/>
            <w:hideMark/>
          </w:tcPr>
          <w:p w14:paraId="53A79C5B" w14:textId="77777777" w:rsidR="002B1954" w:rsidRPr="002B1954" w:rsidRDefault="002B1954">
            <w:pPr>
              <w:rPr>
                <w:sz w:val="12"/>
                <w:szCs w:val="12"/>
              </w:rPr>
            </w:pPr>
          </w:p>
        </w:tc>
        <w:tc>
          <w:tcPr>
            <w:tcW w:w="1043" w:type="dxa"/>
            <w:tcBorders>
              <w:top w:val="nil"/>
              <w:left w:val="nil"/>
              <w:bottom w:val="nil"/>
              <w:right w:val="nil"/>
            </w:tcBorders>
            <w:shd w:val="clear" w:color="auto" w:fill="auto"/>
            <w:noWrap/>
            <w:vAlign w:val="bottom"/>
            <w:hideMark/>
          </w:tcPr>
          <w:p w14:paraId="60263F00" w14:textId="77777777" w:rsidR="002B1954" w:rsidRPr="002B1954" w:rsidRDefault="002B1954">
            <w:pPr>
              <w:rPr>
                <w:sz w:val="12"/>
                <w:szCs w:val="12"/>
              </w:rPr>
            </w:pPr>
          </w:p>
        </w:tc>
        <w:tc>
          <w:tcPr>
            <w:tcW w:w="709" w:type="dxa"/>
            <w:tcBorders>
              <w:top w:val="nil"/>
              <w:left w:val="nil"/>
              <w:bottom w:val="nil"/>
              <w:right w:val="nil"/>
            </w:tcBorders>
            <w:shd w:val="clear" w:color="auto" w:fill="auto"/>
            <w:noWrap/>
            <w:vAlign w:val="bottom"/>
            <w:hideMark/>
          </w:tcPr>
          <w:p w14:paraId="364BCB14" w14:textId="77777777" w:rsidR="002B1954" w:rsidRPr="002B1954" w:rsidRDefault="002B1954">
            <w:pPr>
              <w:rPr>
                <w:sz w:val="12"/>
                <w:szCs w:val="12"/>
              </w:rPr>
            </w:pPr>
          </w:p>
        </w:tc>
      </w:tr>
      <w:tr w:rsidR="002B1954" w:rsidRPr="002B1954" w14:paraId="26345514" w14:textId="77777777" w:rsidTr="008A28F5">
        <w:trPr>
          <w:trHeight w:val="2010"/>
        </w:trPr>
        <w:tc>
          <w:tcPr>
            <w:tcW w:w="2694" w:type="dxa"/>
            <w:tcBorders>
              <w:top w:val="single" w:sz="8" w:space="0" w:color="0070C0"/>
              <w:left w:val="nil"/>
              <w:bottom w:val="single" w:sz="8" w:space="0" w:color="0070C0"/>
              <w:right w:val="nil"/>
            </w:tcBorders>
            <w:shd w:val="clear" w:color="auto" w:fill="auto"/>
            <w:noWrap/>
            <w:vAlign w:val="center"/>
            <w:hideMark/>
          </w:tcPr>
          <w:p w14:paraId="516223E8" w14:textId="77777777" w:rsidR="002B1954" w:rsidRPr="002B1954" w:rsidRDefault="002B1954">
            <w:pPr>
              <w:rPr>
                <w:rFonts w:ascii="Cambria" w:hAnsi="Cambria" w:cs="Arial"/>
                <w:color w:val="000000"/>
                <w:sz w:val="12"/>
                <w:szCs w:val="12"/>
              </w:rPr>
            </w:pPr>
            <w:r>
              <w:rPr>
                <w:rFonts w:ascii="Cambria" w:hAnsi="Cambria"/>
                <w:color w:val="000000"/>
                <w:sz w:val="12"/>
              </w:rPr>
              <w:t>(</w:t>
            </w:r>
            <w:proofErr w:type="gramStart"/>
            <w:r>
              <w:rPr>
                <w:rFonts w:ascii="Cambria" w:hAnsi="Cambria"/>
                <w:color w:val="000000"/>
                <w:sz w:val="12"/>
              </w:rPr>
              <w:t>en</w:t>
            </w:r>
            <w:proofErr w:type="gramEnd"/>
            <w:r>
              <w:rPr>
                <w:rFonts w:ascii="Cambria" w:hAnsi="Cambria"/>
                <w:color w:val="000000"/>
                <w:sz w:val="12"/>
              </w:rPr>
              <w:t xml:space="preserve"> euros)</w:t>
            </w:r>
          </w:p>
        </w:tc>
        <w:tc>
          <w:tcPr>
            <w:tcW w:w="442" w:type="dxa"/>
            <w:tcBorders>
              <w:top w:val="single" w:sz="8" w:space="0" w:color="0070C0"/>
              <w:left w:val="nil"/>
              <w:bottom w:val="single" w:sz="8" w:space="0" w:color="0070C0"/>
              <w:right w:val="nil"/>
            </w:tcBorders>
            <w:shd w:val="clear" w:color="auto" w:fill="auto"/>
            <w:vAlign w:val="center"/>
            <w:hideMark/>
          </w:tcPr>
          <w:p w14:paraId="3D086A53"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Note</w:t>
            </w:r>
          </w:p>
        </w:tc>
        <w:tc>
          <w:tcPr>
            <w:tcW w:w="1048" w:type="dxa"/>
            <w:tcBorders>
              <w:top w:val="single" w:sz="8" w:space="0" w:color="0070C0"/>
              <w:left w:val="nil"/>
              <w:bottom w:val="single" w:sz="8" w:space="0" w:color="0070C0"/>
              <w:right w:val="nil"/>
            </w:tcBorders>
            <w:shd w:val="clear" w:color="auto" w:fill="auto"/>
            <w:vAlign w:val="center"/>
            <w:hideMark/>
          </w:tcPr>
          <w:p w14:paraId="06E3D357"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Capital social</w:t>
            </w:r>
          </w:p>
        </w:tc>
        <w:tc>
          <w:tcPr>
            <w:tcW w:w="1016" w:type="dxa"/>
            <w:tcBorders>
              <w:top w:val="single" w:sz="8" w:space="0" w:color="0070C0"/>
              <w:left w:val="nil"/>
              <w:bottom w:val="single" w:sz="8" w:space="0" w:color="0070C0"/>
              <w:right w:val="nil"/>
            </w:tcBorders>
            <w:shd w:val="clear" w:color="auto" w:fill="auto"/>
            <w:vAlign w:val="center"/>
            <w:hideMark/>
          </w:tcPr>
          <w:p w14:paraId="6D2F5445"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Réserve légale</w:t>
            </w:r>
          </w:p>
        </w:tc>
        <w:tc>
          <w:tcPr>
            <w:tcW w:w="894" w:type="dxa"/>
            <w:tcBorders>
              <w:top w:val="single" w:sz="8" w:space="0" w:color="0070C0"/>
              <w:left w:val="nil"/>
              <w:bottom w:val="single" w:sz="8" w:space="0" w:color="0070C0"/>
              <w:right w:val="nil"/>
            </w:tcBorders>
            <w:shd w:val="clear" w:color="auto" w:fill="auto"/>
            <w:vAlign w:val="center"/>
            <w:hideMark/>
          </w:tcPr>
          <w:p w14:paraId="4BC0C697"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Réserve de conversion aux normes IAS/IFRS</w:t>
            </w:r>
          </w:p>
        </w:tc>
        <w:tc>
          <w:tcPr>
            <w:tcW w:w="698" w:type="dxa"/>
            <w:tcBorders>
              <w:top w:val="single" w:sz="8" w:space="0" w:color="0070C0"/>
              <w:left w:val="nil"/>
              <w:bottom w:val="single" w:sz="8" w:space="0" w:color="0070C0"/>
              <w:right w:val="nil"/>
            </w:tcBorders>
            <w:shd w:val="clear" w:color="auto" w:fill="auto"/>
            <w:vAlign w:val="center"/>
            <w:hideMark/>
          </w:tcPr>
          <w:p w14:paraId="3D8F5B82"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Autres réserves</w:t>
            </w:r>
          </w:p>
        </w:tc>
        <w:tc>
          <w:tcPr>
            <w:tcW w:w="1094" w:type="dxa"/>
            <w:tcBorders>
              <w:top w:val="single" w:sz="8" w:space="0" w:color="0070C0"/>
              <w:left w:val="nil"/>
              <w:bottom w:val="single" w:sz="8" w:space="0" w:color="0070C0"/>
              <w:right w:val="nil"/>
            </w:tcBorders>
            <w:shd w:val="clear" w:color="auto" w:fill="auto"/>
            <w:vAlign w:val="center"/>
            <w:hideMark/>
          </w:tcPr>
          <w:p w14:paraId="3FB65D19"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Bénéfices/(pertes) des périodes précédentes</w:t>
            </w:r>
          </w:p>
        </w:tc>
        <w:tc>
          <w:tcPr>
            <w:tcW w:w="1043" w:type="dxa"/>
            <w:tcBorders>
              <w:top w:val="single" w:sz="8" w:space="0" w:color="0070C0"/>
              <w:left w:val="nil"/>
              <w:bottom w:val="single" w:sz="8" w:space="0" w:color="0070C0"/>
              <w:right w:val="nil"/>
            </w:tcBorders>
            <w:shd w:val="clear" w:color="auto" w:fill="auto"/>
            <w:vAlign w:val="center"/>
            <w:hideMark/>
          </w:tcPr>
          <w:p w14:paraId="521E5DE0"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Bénéfice/(pertes) de la période</w:t>
            </w:r>
          </w:p>
        </w:tc>
        <w:tc>
          <w:tcPr>
            <w:tcW w:w="709" w:type="dxa"/>
            <w:tcBorders>
              <w:top w:val="single" w:sz="8" w:space="0" w:color="0070C0"/>
              <w:left w:val="nil"/>
              <w:bottom w:val="single" w:sz="8" w:space="0" w:color="0070C0"/>
              <w:right w:val="nil"/>
            </w:tcBorders>
            <w:shd w:val="clear" w:color="auto" w:fill="auto"/>
            <w:vAlign w:val="center"/>
            <w:hideMark/>
          </w:tcPr>
          <w:p w14:paraId="72043363"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Total</w:t>
            </w:r>
          </w:p>
        </w:tc>
      </w:tr>
      <w:tr w:rsidR="002B1954" w:rsidRPr="002B1954" w14:paraId="5390DC0C" w14:textId="77777777" w:rsidTr="008A28F5">
        <w:trPr>
          <w:trHeight w:val="315"/>
        </w:trPr>
        <w:tc>
          <w:tcPr>
            <w:tcW w:w="2694" w:type="dxa"/>
            <w:tcBorders>
              <w:top w:val="nil"/>
              <w:left w:val="nil"/>
              <w:bottom w:val="nil"/>
              <w:right w:val="nil"/>
            </w:tcBorders>
            <w:shd w:val="clear" w:color="auto" w:fill="auto"/>
            <w:noWrap/>
            <w:vAlign w:val="center"/>
            <w:hideMark/>
          </w:tcPr>
          <w:p w14:paraId="40B09A56" w14:textId="77777777" w:rsidR="002B1954" w:rsidRPr="002B1954" w:rsidRDefault="002B1954">
            <w:pPr>
              <w:rPr>
                <w:rFonts w:ascii="Cambria" w:hAnsi="Cambria" w:cs="Arial"/>
                <w:b/>
                <w:bCs/>
                <w:color w:val="000000"/>
                <w:sz w:val="12"/>
                <w:szCs w:val="12"/>
              </w:rPr>
            </w:pPr>
            <w:r>
              <w:rPr>
                <w:rFonts w:ascii="Cambria" w:hAnsi="Cambria"/>
                <w:b/>
                <w:color w:val="000000"/>
                <w:sz w:val="12"/>
              </w:rPr>
              <w:t>Bilan au 31 décembre 2020</w:t>
            </w:r>
          </w:p>
        </w:tc>
        <w:tc>
          <w:tcPr>
            <w:tcW w:w="442" w:type="dxa"/>
            <w:tcBorders>
              <w:top w:val="nil"/>
              <w:left w:val="nil"/>
              <w:bottom w:val="nil"/>
              <w:right w:val="nil"/>
            </w:tcBorders>
            <w:shd w:val="clear" w:color="auto" w:fill="auto"/>
            <w:noWrap/>
            <w:vAlign w:val="bottom"/>
            <w:hideMark/>
          </w:tcPr>
          <w:p w14:paraId="521DA650" w14:textId="77777777" w:rsidR="002B1954" w:rsidRPr="002B1954" w:rsidRDefault="002B1954">
            <w:pPr>
              <w:rPr>
                <w:rFonts w:ascii="Cambria" w:hAnsi="Cambria" w:cs="Arial"/>
                <w:b/>
                <w:bCs/>
                <w:color w:val="000000"/>
                <w:sz w:val="12"/>
                <w:szCs w:val="12"/>
              </w:rPr>
            </w:pPr>
          </w:p>
        </w:tc>
        <w:tc>
          <w:tcPr>
            <w:tcW w:w="1048" w:type="dxa"/>
            <w:tcBorders>
              <w:top w:val="nil"/>
              <w:left w:val="nil"/>
              <w:bottom w:val="single" w:sz="8" w:space="0" w:color="auto"/>
              <w:right w:val="nil"/>
            </w:tcBorders>
            <w:shd w:val="clear" w:color="auto" w:fill="auto"/>
            <w:noWrap/>
            <w:vAlign w:val="center"/>
            <w:hideMark/>
          </w:tcPr>
          <w:p w14:paraId="5682396E" w14:textId="77777777" w:rsidR="002B1954" w:rsidRPr="002B1954" w:rsidRDefault="002B1954">
            <w:pPr>
              <w:jc w:val="right"/>
              <w:rPr>
                <w:rFonts w:ascii="Cambria" w:hAnsi="Cambria" w:cs="Arial"/>
                <w:b/>
                <w:bCs/>
                <w:color w:val="000000"/>
                <w:sz w:val="12"/>
                <w:szCs w:val="12"/>
              </w:rPr>
            </w:pPr>
            <w:r>
              <w:rPr>
                <w:rFonts w:ascii="Cambria" w:hAnsi="Cambria"/>
                <w:b/>
                <w:color w:val="000000"/>
                <w:sz w:val="12"/>
              </w:rPr>
              <w:t>1 186 667</w:t>
            </w:r>
          </w:p>
        </w:tc>
        <w:tc>
          <w:tcPr>
            <w:tcW w:w="1016" w:type="dxa"/>
            <w:tcBorders>
              <w:top w:val="nil"/>
              <w:left w:val="nil"/>
              <w:bottom w:val="single" w:sz="8" w:space="0" w:color="auto"/>
              <w:right w:val="nil"/>
            </w:tcBorders>
            <w:shd w:val="clear" w:color="auto" w:fill="auto"/>
            <w:noWrap/>
            <w:vAlign w:val="center"/>
            <w:hideMark/>
          </w:tcPr>
          <w:p w14:paraId="5CE22027" w14:textId="6D72C658" w:rsidR="002B1954" w:rsidRPr="002B1954" w:rsidRDefault="002B1954">
            <w:pPr>
              <w:jc w:val="right"/>
              <w:rPr>
                <w:rFonts w:ascii="Cambria" w:hAnsi="Cambria" w:cs="Arial"/>
                <w:b/>
                <w:bCs/>
                <w:color w:val="000000"/>
                <w:sz w:val="12"/>
                <w:szCs w:val="12"/>
              </w:rPr>
            </w:pPr>
            <w:r>
              <w:rPr>
                <w:rFonts w:ascii="Cambria" w:hAnsi="Cambria"/>
                <w:b/>
                <w:color w:val="000000"/>
                <w:sz w:val="12"/>
              </w:rPr>
              <w:t>191 399</w:t>
            </w:r>
          </w:p>
        </w:tc>
        <w:tc>
          <w:tcPr>
            <w:tcW w:w="894" w:type="dxa"/>
            <w:tcBorders>
              <w:top w:val="nil"/>
              <w:left w:val="nil"/>
              <w:bottom w:val="single" w:sz="8" w:space="0" w:color="auto"/>
              <w:right w:val="nil"/>
            </w:tcBorders>
            <w:shd w:val="clear" w:color="auto" w:fill="auto"/>
            <w:noWrap/>
            <w:vAlign w:val="center"/>
            <w:hideMark/>
          </w:tcPr>
          <w:p w14:paraId="69F86749"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2 440 366</w:t>
            </w:r>
          </w:p>
        </w:tc>
        <w:tc>
          <w:tcPr>
            <w:tcW w:w="698" w:type="dxa"/>
            <w:tcBorders>
              <w:top w:val="nil"/>
              <w:left w:val="nil"/>
              <w:bottom w:val="single" w:sz="8" w:space="0" w:color="auto"/>
              <w:right w:val="nil"/>
            </w:tcBorders>
            <w:shd w:val="clear" w:color="auto" w:fill="auto"/>
            <w:noWrap/>
            <w:vAlign w:val="center"/>
            <w:hideMark/>
          </w:tcPr>
          <w:p w14:paraId="799F43AB" w14:textId="77777777" w:rsidR="002B1954" w:rsidRPr="002B1954" w:rsidRDefault="002B1954">
            <w:pPr>
              <w:jc w:val="right"/>
              <w:rPr>
                <w:rFonts w:ascii="Cambria" w:hAnsi="Cambria" w:cs="Arial"/>
                <w:b/>
                <w:bCs/>
                <w:color w:val="000000"/>
                <w:sz w:val="12"/>
                <w:szCs w:val="12"/>
              </w:rPr>
            </w:pPr>
            <w:r>
              <w:rPr>
                <w:rFonts w:ascii="Cambria" w:hAnsi="Cambria"/>
                <w:b/>
                <w:color w:val="000000"/>
                <w:sz w:val="12"/>
              </w:rPr>
              <w:t>3 470 718</w:t>
            </w:r>
          </w:p>
        </w:tc>
        <w:tc>
          <w:tcPr>
            <w:tcW w:w="1094" w:type="dxa"/>
            <w:tcBorders>
              <w:top w:val="nil"/>
              <w:left w:val="nil"/>
              <w:bottom w:val="single" w:sz="8" w:space="0" w:color="auto"/>
              <w:right w:val="nil"/>
            </w:tcBorders>
            <w:shd w:val="clear" w:color="auto" w:fill="auto"/>
            <w:noWrap/>
            <w:vAlign w:val="center"/>
            <w:hideMark/>
          </w:tcPr>
          <w:p w14:paraId="6DF3E364" w14:textId="77777777" w:rsidR="002B1954" w:rsidRPr="002B1954" w:rsidRDefault="002B1954">
            <w:pPr>
              <w:jc w:val="right"/>
              <w:rPr>
                <w:rFonts w:ascii="Cambria" w:hAnsi="Cambria" w:cs="Arial"/>
                <w:b/>
                <w:bCs/>
                <w:i/>
                <w:iCs/>
                <w:color w:val="000000"/>
                <w:sz w:val="12"/>
                <w:szCs w:val="12"/>
              </w:rPr>
            </w:pPr>
            <w:r>
              <w:rPr>
                <w:rFonts w:ascii="Cambria" w:hAnsi="Cambria"/>
                <w:b/>
                <w:i/>
                <w:color w:val="000000"/>
                <w:sz w:val="12"/>
              </w:rPr>
              <w:t>733 560</w:t>
            </w:r>
          </w:p>
        </w:tc>
        <w:tc>
          <w:tcPr>
            <w:tcW w:w="1043" w:type="dxa"/>
            <w:tcBorders>
              <w:top w:val="nil"/>
              <w:left w:val="nil"/>
              <w:bottom w:val="single" w:sz="8" w:space="0" w:color="auto"/>
              <w:right w:val="nil"/>
            </w:tcBorders>
            <w:shd w:val="clear" w:color="auto" w:fill="auto"/>
            <w:noWrap/>
            <w:vAlign w:val="center"/>
            <w:hideMark/>
          </w:tcPr>
          <w:p w14:paraId="40675F4D" w14:textId="77777777" w:rsidR="002B1954" w:rsidRPr="002B1954" w:rsidRDefault="002B1954">
            <w:pPr>
              <w:jc w:val="right"/>
              <w:rPr>
                <w:rFonts w:ascii="Cambria" w:hAnsi="Cambria" w:cs="Arial"/>
                <w:b/>
                <w:bCs/>
                <w:i/>
                <w:iCs/>
                <w:color w:val="000000"/>
                <w:sz w:val="12"/>
                <w:szCs w:val="12"/>
              </w:rPr>
            </w:pPr>
            <w:r>
              <w:rPr>
                <w:rFonts w:ascii="Cambria" w:hAnsi="Cambria"/>
                <w:b/>
                <w:i/>
                <w:color w:val="000000"/>
                <w:sz w:val="12"/>
              </w:rPr>
              <w:t>3 815 524</w:t>
            </w:r>
          </w:p>
        </w:tc>
        <w:tc>
          <w:tcPr>
            <w:tcW w:w="709" w:type="dxa"/>
            <w:tcBorders>
              <w:top w:val="nil"/>
              <w:left w:val="nil"/>
              <w:bottom w:val="single" w:sz="8" w:space="0" w:color="auto"/>
              <w:right w:val="nil"/>
            </w:tcBorders>
            <w:shd w:val="clear" w:color="auto" w:fill="auto"/>
            <w:noWrap/>
            <w:vAlign w:val="center"/>
            <w:hideMark/>
          </w:tcPr>
          <w:p w14:paraId="58BFDD12" w14:textId="77777777" w:rsidR="002B1954" w:rsidRPr="002B1954" w:rsidRDefault="002B1954">
            <w:pPr>
              <w:jc w:val="right"/>
              <w:rPr>
                <w:rFonts w:ascii="Cambria" w:hAnsi="Cambria" w:cs="Arial"/>
                <w:b/>
                <w:bCs/>
                <w:color w:val="000000"/>
                <w:sz w:val="12"/>
                <w:szCs w:val="12"/>
              </w:rPr>
            </w:pPr>
            <w:r>
              <w:rPr>
                <w:rFonts w:ascii="Cambria" w:hAnsi="Cambria"/>
                <w:b/>
                <w:color w:val="000000"/>
                <w:sz w:val="12"/>
              </w:rPr>
              <w:t>11 838 234</w:t>
            </w:r>
          </w:p>
        </w:tc>
      </w:tr>
      <w:tr w:rsidR="002B1954" w:rsidRPr="002B1954" w14:paraId="4B6D97E8" w14:textId="77777777" w:rsidTr="008A28F5">
        <w:trPr>
          <w:trHeight w:val="300"/>
        </w:trPr>
        <w:tc>
          <w:tcPr>
            <w:tcW w:w="2694" w:type="dxa"/>
            <w:tcBorders>
              <w:top w:val="nil"/>
              <w:left w:val="nil"/>
              <w:bottom w:val="nil"/>
              <w:right w:val="nil"/>
            </w:tcBorders>
            <w:shd w:val="clear" w:color="auto" w:fill="auto"/>
            <w:noWrap/>
            <w:vAlign w:val="bottom"/>
            <w:hideMark/>
          </w:tcPr>
          <w:p w14:paraId="77569066" w14:textId="77777777" w:rsidR="002B1954" w:rsidRPr="002B1954" w:rsidRDefault="002B1954">
            <w:pPr>
              <w:jc w:val="right"/>
              <w:rPr>
                <w:rFonts w:ascii="Cambria" w:hAnsi="Cambria" w:cs="Arial"/>
                <w:b/>
                <w:bCs/>
                <w:color w:val="000000"/>
                <w:sz w:val="12"/>
                <w:szCs w:val="12"/>
              </w:rPr>
            </w:pPr>
          </w:p>
        </w:tc>
        <w:tc>
          <w:tcPr>
            <w:tcW w:w="442" w:type="dxa"/>
            <w:tcBorders>
              <w:top w:val="nil"/>
              <w:left w:val="nil"/>
              <w:bottom w:val="nil"/>
              <w:right w:val="nil"/>
            </w:tcBorders>
            <w:shd w:val="clear" w:color="auto" w:fill="auto"/>
            <w:noWrap/>
            <w:vAlign w:val="bottom"/>
            <w:hideMark/>
          </w:tcPr>
          <w:p w14:paraId="4EEE834D" w14:textId="77777777" w:rsidR="002B1954" w:rsidRPr="002B1954" w:rsidRDefault="002B1954">
            <w:pPr>
              <w:rPr>
                <w:sz w:val="12"/>
                <w:szCs w:val="12"/>
              </w:rPr>
            </w:pPr>
          </w:p>
        </w:tc>
        <w:tc>
          <w:tcPr>
            <w:tcW w:w="1048" w:type="dxa"/>
            <w:tcBorders>
              <w:top w:val="nil"/>
              <w:left w:val="nil"/>
              <w:bottom w:val="nil"/>
              <w:right w:val="nil"/>
            </w:tcBorders>
            <w:shd w:val="clear" w:color="auto" w:fill="auto"/>
            <w:noWrap/>
            <w:vAlign w:val="bottom"/>
            <w:hideMark/>
          </w:tcPr>
          <w:p w14:paraId="2F3010B1" w14:textId="77777777" w:rsidR="002B1954" w:rsidRPr="002B1954" w:rsidRDefault="002B1954">
            <w:pPr>
              <w:rPr>
                <w:sz w:val="12"/>
                <w:szCs w:val="12"/>
              </w:rPr>
            </w:pPr>
          </w:p>
        </w:tc>
        <w:tc>
          <w:tcPr>
            <w:tcW w:w="1016" w:type="dxa"/>
            <w:tcBorders>
              <w:top w:val="nil"/>
              <w:left w:val="nil"/>
              <w:bottom w:val="nil"/>
              <w:right w:val="nil"/>
            </w:tcBorders>
            <w:shd w:val="clear" w:color="auto" w:fill="auto"/>
            <w:noWrap/>
            <w:vAlign w:val="bottom"/>
            <w:hideMark/>
          </w:tcPr>
          <w:p w14:paraId="61FD2978" w14:textId="77777777" w:rsidR="002B1954" w:rsidRPr="002B1954" w:rsidRDefault="002B1954">
            <w:pPr>
              <w:rPr>
                <w:sz w:val="12"/>
                <w:szCs w:val="12"/>
              </w:rPr>
            </w:pPr>
          </w:p>
        </w:tc>
        <w:tc>
          <w:tcPr>
            <w:tcW w:w="894" w:type="dxa"/>
            <w:tcBorders>
              <w:top w:val="nil"/>
              <w:left w:val="nil"/>
              <w:bottom w:val="nil"/>
              <w:right w:val="nil"/>
            </w:tcBorders>
            <w:shd w:val="clear" w:color="auto" w:fill="auto"/>
            <w:noWrap/>
            <w:vAlign w:val="bottom"/>
            <w:hideMark/>
          </w:tcPr>
          <w:p w14:paraId="482CD243" w14:textId="77777777" w:rsidR="002B1954" w:rsidRPr="002B1954" w:rsidRDefault="002B1954">
            <w:pPr>
              <w:rPr>
                <w:sz w:val="12"/>
                <w:szCs w:val="12"/>
              </w:rPr>
            </w:pPr>
          </w:p>
        </w:tc>
        <w:tc>
          <w:tcPr>
            <w:tcW w:w="698" w:type="dxa"/>
            <w:tcBorders>
              <w:top w:val="nil"/>
              <w:left w:val="nil"/>
              <w:bottom w:val="nil"/>
              <w:right w:val="nil"/>
            </w:tcBorders>
            <w:shd w:val="clear" w:color="auto" w:fill="auto"/>
            <w:noWrap/>
            <w:vAlign w:val="bottom"/>
            <w:hideMark/>
          </w:tcPr>
          <w:p w14:paraId="7A8B1CDE" w14:textId="77777777" w:rsidR="002B1954" w:rsidRPr="002B1954" w:rsidRDefault="002B1954">
            <w:pPr>
              <w:rPr>
                <w:sz w:val="12"/>
                <w:szCs w:val="12"/>
              </w:rPr>
            </w:pPr>
          </w:p>
        </w:tc>
        <w:tc>
          <w:tcPr>
            <w:tcW w:w="1094" w:type="dxa"/>
            <w:tcBorders>
              <w:top w:val="nil"/>
              <w:left w:val="nil"/>
              <w:bottom w:val="nil"/>
              <w:right w:val="nil"/>
            </w:tcBorders>
            <w:shd w:val="clear" w:color="auto" w:fill="auto"/>
            <w:noWrap/>
            <w:vAlign w:val="bottom"/>
            <w:hideMark/>
          </w:tcPr>
          <w:p w14:paraId="45DF6A42" w14:textId="77777777" w:rsidR="002B1954" w:rsidRPr="002B1954" w:rsidRDefault="002B1954">
            <w:pPr>
              <w:rPr>
                <w:sz w:val="12"/>
                <w:szCs w:val="12"/>
              </w:rPr>
            </w:pPr>
          </w:p>
        </w:tc>
        <w:tc>
          <w:tcPr>
            <w:tcW w:w="1043" w:type="dxa"/>
            <w:tcBorders>
              <w:top w:val="nil"/>
              <w:left w:val="nil"/>
              <w:bottom w:val="nil"/>
              <w:right w:val="nil"/>
            </w:tcBorders>
            <w:shd w:val="clear" w:color="auto" w:fill="auto"/>
            <w:noWrap/>
            <w:vAlign w:val="bottom"/>
            <w:hideMark/>
          </w:tcPr>
          <w:p w14:paraId="26FC3853" w14:textId="77777777" w:rsidR="002B1954" w:rsidRPr="002B1954" w:rsidRDefault="002B1954">
            <w:pPr>
              <w:rPr>
                <w:sz w:val="12"/>
                <w:szCs w:val="12"/>
              </w:rPr>
            </w:pPr>
          </w:p>
        </w:tc>
        <w:tc>
          <w:tcPr>
            <w:tcW w:w="709" w:type="dxa"/>
            <w:tcBorders>
              <w:top w:val="nil"/>
              <w:left w:val="nil"/>
              <w:bottom w:val="nil"/>
              <w:right w:val="nil"/>
            </w:tcBorders>
            <w:shd w:val="clear" w:color="auto" w:fill="auto"/>
            <w:noWrap/>
            <w:vAlign w:val="bottom"/>
            <w:hideMark/>
          </w:tcPr>
          <w:p w14:paraId="35099388" w14:textId="77777777" w:rsidR="002B1954" w:rsidRPr="002B1954" w:rsidRDefault="002B1954">
            <w:pPr>
              <w:rPr>
                <w:sz w:val="12"/>
                <w:szCs w:val="12"/>
              </w:rPr>
            </w:pPr>
          </w:p>
        </w:tc>
      </w:tr>
      <w:tr w:rsidR="002B1954" w:rsidRPr="002B1954" w14:paraId="1DA2F909" w14:textId="77777777" w:rsidTr="008A28F5">
        <w:trPr>
          <w:trHeight w:val="300"/>
        </w:trPr>
        <w:tc>
          <w:tcPr>
            <w:tcW w:w="2694" w:type="dxa"/>
            <w:tcBorders>
              <w:top w:val="nil"/>
              <w:left w:val="nil"/>
              <w:bottom w:val="nil"/>
              <w:right w:val="nil"/>
            </w:tcBorders>
            <w:shd w:val="clear" w:color="auto" w:fill="auto"/>
            <w:noWrap/>
            <w:vAlign w:val="center"/>
            <w:hideMark/>
          </w:tcPr>
          <w:p w14:paraId="46696E68" w14:textId="77777777" w:rsidR="002B1954" w:rsidRPr="002B1954" w:rsidRDefault="002B1954">
            <w:pPr>
              <w:rPr>
                <w:rFonts w:ascii="Cambria" w:hAnsi="Cambria" w:cs="Arial"/>
                <w:i/>
                <w:iCs/>
                <w:color w:val="000000"/>
                <w:sz w:val="12"/>
                <w:szCs w:val="12"/>
              </w:rPr>
            </w:pPr>
            <w:r>
              <w:rPr>
                <w:rFonts w:ascii="Cambria" w:hAnsi="Cambria"/>
                <w:i/>
                <w:color w:val="000000"/>
                <w:sz w:val="12"/>
              </w:rPr>
              <w:t>Résultat pour la période</w:t>
            </w:r>
          </w:p>
        </w:tc>
        <w:tc>
          <w:tcPr>
            <w:tcW w:w="442" w:type="dxa"/>
            <w:tcBorders>
              <w:top w:val="nil"/>
              <w:left w:val="nil"/>
              <w:bottom w:val="nil"/>
              <w:right w:val="nil"/>
            </w:tcBorders>
            <w:shd w:val="clear" w:color="auto" w:fill="auto"/>
            <w:noWrap/>
            <w:vAlign w:val="bottom"/>
            <w:hideMark/>
          </w:tcPr>
          <w:p w14:paraId="55BD5E6D" w14:textId="77777777" w:rsidR="002B1954" w:rsidRPr="002B1954" w:rsidRDefault="002B1954">
            <w:pPr>
              <w:rPr>
                <w:rFonts w:ascii="Cambria" w:hAnsi="Cambria" w:cs="Arial"/>
                <w:i/>
                <w:iCs/>
                <w:color w:val="000000"/>
                <w:sz w:val="12"/>
                <w:szCs w:val="12"/>
              </w:rPr>
            </w:pPr>
          </w:p>
        </w:tc>
        <w:tc>
          <w:tcPr>
            <w:tcW w:w="1048" w:type="dxa"/>
            <w:tcBorders>
              <w:top w:val="nil"/>
              <w:left w:val="nil"/>
              <w:bottom w:val="nil"/>
              <w:right w:val="nil"/>
            </w:tcBorders>
            <w:shd w:val="clear" w:color="auto" w:fill="auto"/>
            <w:noWrap/>
            <w:vAlign w:val="bottom"/>
            <w:hideMark/>
          </w:tcPr>
          <w:p w14:paraId="5CDC62D9" w14:textId="77777777" w:rsidR="002B1954" w:rsidRPr="002B1954" w:rsidRDefault="002B1954">
            <w:pPr>
              <w:rPr>
                <w:sz w:val="12"/>
                <w:szCs w:val="12"/>
              </w:rPr>
            </w:pPr>
          </w:p>
        </w:tc>
        <w:tc>
          <w:tcPr>
            <w:tcW w:w="1016" w:type="dxa"/>
            <w:tcBorders>
              <w:top w:val="nil"/>
              <w:left w:val="nil"/>
              <w:bottom w:val="nil"/>
              <w:right w:val="nil"/>
            </w:tcBorders>
            <w:shd w:val="clear" w:color="auto" w:fill="auto"/>
            <w:noWrap/>
            <w:vAlign w:val="bottom"/>
            <w:hideMark/>
          </w:tcPr>
          <w:p w14:paraId="0DC90437" w14:textId="77777777" w:rsidR="002B1954" w:rsidRPr="002B1954" w:rsidRDefault="002B1954">
            <w:pPr>
              <w:rPr>
                <w:sz w:val="12"/>
                <w:szCs w:val="12"/>
              </w:rPr>
            </w:pPr>
          </w:p>
        </w:tc>
        <w:tc>
          <w:tcPr>
            <w:tcW w:w="894" w:type="dxa"/>
            <w:tcBorders>
              <w:top w:val="nil"/>
              <w:left w:val="nil"/>
              <w:bottom w:val="nil"/>
              <w:right w:val="nil"/>
            </w:tcBorders>
            <w:shd w:val="clear" w:color="auto" w:fill="auto"/>
            <w:noWrap/>
            <w:vAlign w:val="bottom"/>
            <w:hideMark/>
          </w:tcPr>
          <w:p w14:paraId="73B35C3D" w14:textId="77777777" w:rsidR="002B1954" w:rsidRPr="002B1954" w:rsidRDefault="002B1954">
            <w:pPr>
              <w:rPr>
                <w:sz w:val="12"/>
                <w:szCs w:val="12"/>
              </w:rPr>
            </w:pPr>
          </w:p>
        </w:tc>
        <w:tc>
          <w:tcPr>
            <w:tcW w:w="698" w:type="dxa"/>
            <w:tcBorders>
              <w:top w:val="nil"/>
              <w:left w:val="nil"/>
              <w:bottom w:val="nil"/>
              <w:right w:val="nil"/>
            </w:tcBorders>
            <w:shd w:val="clear" w:color="auto" w:fill="auto"/>
            <w:noWrap/>
            <w:vAlign w:val="bottom"/>
            <w:hideMark/>
          </w:tcPr>
          <w:p w14:paraId="42E67B15" w14:textId="77777777" w:rsidR="002B1954" w:rsidRPr="002B1954" w:rsidRDefault="002B1954">
            <w:pPr>
              <w:rPr>
                <w:sz w:val="12"/>
                <w:szCs w:val="12"/>
              </w:rPr>
            </w:pPr>
          </w:p>
        </w:tc>
        <w:tc>
          <w:tcPr>
            <w:tcW w:w="1094" w:type="dxa"/>
            <w:tcBorders>
              <w:top w:val="nil"/>
              <w:left w:val="nil"/>
              <w:bottom w:val="nil"/>
              <w:right w:val="nil"/>
            </w:tcBorders>
            <w:shd w:val="clear" w:color="auto" w:fill="auto"/>
            <w:noWrap/>
            <w:vAlign w:val="bottom"/>
            <w:hideMark/>
          </w:tcPr>
          <w:p w14:paraId="1F0CB643" w14:textId="77777777" w:rsidR="002B1954" w:rsidRPr="002B1954" w:rsidRDefault="002B1954">
            <w:pPr>
              <w:rPr>
                <w:sz w:val="12"/>
                <w:szCs w:val="12"/>
              </w:rPr>
            </w:pPr>
          </w:p>
        </w:tc>
        <w:tc>
          <w:tcPr>
            <w:tcW w:w="1043" w:type="dxa"/>
            <w:tcBorders>
              <w:top w:val="nil"/>
              <w:left w:val="nil"/>
              <w:bottom w:val="nil"/>
              <w:right w:val="nil"/>
            </w:tcBorders>
            <w:shd w:val="clear" w:color="auto" w:fill="auto"/>
            <w:noWrap/>
            <w:vAlign w:val="center"/>
            <w:hideMark/>
          </w:tcPr>
          <w:p w14:paraId="45B8F5D1" w14:textId="77777777" w:rsidR="002B1954" w:rsidRPr="002B1954" w:rsidRDefault="002B1954">
            <w:pPr>
              <w:jc w:val="right"/>
              <w:rPr>
                <w:rFonts w:ascii="Cambria" w:hAnsi="Cambria" w:cs="Arial"/>
                <w:i/>
                <w:iCs/>
                <w:color w:val="000000"/>
                <w:sz w:val="12"/>
                <w:szCs w:val="12"/>
              </w:rPr>
            </w:pPr>
            <w:r>
              <w:rPr>
                <w:rFonts w:ascii="Cambria" w:hAnsi="Cambria"/>
                <w:i/>
                <w:color w:val="000000"/>
                <w:sz w:val="12"/>
              </w:rPr>
              <w:t>2 128 669</w:t>
            </w:r>
          </w:p>
        </w:tc>
        <w:tc>
          <w:tcPr>
            <w:tcW w:w="709" w:type="dxa"/>
            <w:tcBorders>
              <w:top w:val="nil"/>
              <w:left w:val="nil"/>
              <w:bottom w:val="nil"/>
              <w:right w:val="nil"/>
            </w:tcBorders>
            <w:shd w:val="clear" w:color="auto" w:fill="auto"/>
            <w:noWrap/>
            <w:vAlign w:val="center"/>
            <w:hideMark/>
          </w:tcPr>
          <w:p w14:paraId="63BB25B8" w14:textId="77777777" w:rsidR="002B1954" w:rsidRPr="002B1954" w:rsidRDefault="002B1954">
            <w:pPr>
              <w:jc w:val="right"/>
              <w:rPr>
                <w:rFonts w:ascii="Cambria" w:hAnsi="Cambria" w:cs="Arial"/>
                <w:i/>
                <w:iCs/>
                <w:color w:val="000000"/>
                <w:sz w:val="12"/>
                <w:szCs w:val="12"/>
              </w:rPr>
            </w:pPr>
            <w:r>
              <w:rPr>
                <w:rFonts w:ascii="Cambria" w:hAnsi="Cambria"/>
                <w:i/>
                <w:color w:val="000000"/>
                <w:sz w:val="12"/>
              </w:rPr>
              <w:t>2 128 669</w:t>
            </w:r>
          </w:p>
        </w:tc>
      </w:tr>
      <w:tr w:rsidR="002B1954" w:rsidRPr="002B1954" w14:paraId="3BB5E804" w14:textId="77777777" w:rsidTr="008A28F5">
        <w:trPr>
          <w:trHeight w:val="315"/>
        </w:trPr>
        <w:tc>
          <w:tcPr>
            <w:tcW w:w="2694" w:type="dxa"/>
            <w:tcBorders>
              <w:top w:val="nil"/>
              <w:left w:val="nil"/>
              <w:bottom w:val="nil"/>
              <w:right w:val="nil"/>
            </w:tcBorders>
            <w:shd w:val="clear" w:color="auto" w:fill="auto"/>
            <w:noWrap/>
            <w:vAlign w:val="center"/>
            <w:hideMark/>
          </w:tcPr>
          <w:p w14:paraId="1038850C" w14:textId="77777777" w:rsidR="002B1954" w:rsidRPr="002B1954" w:rsidRDefault="002B1954">
            <w:pPr>
              <w:rPr>
                <w:rFonts w:ascii="Cambria" w:hAnsi="Cambria" w:cs="Arial"/>
                <w:i/>
                <w:iCs/>
                <w:color w:val="000000"/>
                <w:sz w:val="12"/>
                <w:szCs w:val="12"/>
              </w:rPr>
            </w:pPr>
            <w:r>
              <w:rPr>
                <w:rFonts w:ascii="Cambria" w:hAnsi="Cambria"/>
                <w:i/>
                <w:color w:val="000000"/>
                <w:sz w:val="12"/>
              </w:rPr>
              <w:t>Autres postes du compte de résultat global</w:t>
            </w:r>
          </w:p>
        </w:tc>
        <w:tc>
          <w:tcPr>
            <w:tcW w:w="442" w:type="dxa"/>
            <w:tcBorders>
              <w:top w:val="nil"/>
              <w:left w:val="nil"/>
              <w:bottom w:val="nil"/>
              <w:right w:val="nil"/>
            </w:tcBorders>
            <w:shd w:val="clear" w:color="auto" w:fill="auto"/>
            <w:noWrap/>
            <w:vAlign w:val="bottom"/>
            <w:hideMark/>
          </w:tcPr>
          <w:p w14:paraId="6354C85E" w14:textId="77777777" w:rsidR="002B1954" w:rsidRPr="002B1954" w:rsidRDefault="002B1954">
            <w:pPr>
              <w:rPr>
                <w:rFonts w:ascii="Cambria" w:hAnsi="Cambria" w:cs="Arial"/>
                <w:i/>
                <w:iCs/>
                <w:color w:val="000000"/>
                <w:sz w:val="12"/>
                <w:szCs w:val="12"/>
              </w:rPr>
            </w:pPr>
          </w:p>
        </w:tc>
        <w:tc>
          <w:tcPr>
            <w:tcW w:w="1048" w:type="dxa"/>
            <w:tcBorders>
              <w:top w:val="nil"/>
              <w:left w:val="nil"/>
              <w:bottom w:val="single" w:sz="8" w:space="0" w:color="auto"/>
              <w:right w:val="nil"/>
            </w:tcBorders>
            <w:shd w:val="clear" w:color="auto" w:fill="auto"/>
            <w:noWrap/>
            <w:vAlign w:val="center"/>
            <w:hideMark/>
          </w:tcPr>
          <w:p w14:paraId="4697A207" w14:textId="77777777" w:rsidR="002B1954" w:rsidRPr="002B1954" w:rsidRDefault="002B1954">
            <w:pPr>
              <w:rPr>
                <w:rFonts w:ascii="Cambria" w:hAnsi="Cambria" w:cs="Arial"/>
                <w:i/>
                <w:iCs/>
                <w:color w:val="000000"/>
                <w:sz w:val="12"/>
                <w:szCs w:val="12"/>
              </w:rPr>
            </w:pPr>
            <w:r>
              <w:rPr>
                <w:rFonts w:ascii="Cambria" w:hAnsi="Cambria"/>
                <w:i/>
                <w:color w:val="000000"/>
                <w:sz w:val="12"/>
              </w:rPr>
              <w:t> </w:t>
            </w:r>
          </w:p>
        </w:tc>
        <w:tc>
          <w:tcPr>
            <w:tcW w:w="1016" w:type="dxa"/>
            <w:tcBorders>
              <w:top w:val="nil"/>
              <w:left w:val="nil"/>
              <w:bottom w:val="single" w:sz="8" w:space="0" w:color="auto"/>
              <w:right w:val="nil"/>
            </w:tcBorders>
            <w:shd w:val="clear" w:color="auto" w:fill="auto"/>
            <w:noWrap/>
            <w:vAlign w:val="center"/>
            <w:hideMark/>
          </w:tcPr>
          <w:p w14:paraId="422FC541" w14:textId="77777777" w:rsidR="002B1954" w:rsidRPr="002B1954" w:rsidRDefault="002B1954">
            <w:pPr>
              <w:rPr>
                <w:rFonts w:ascii="Cambria" w:hAnsi="Cambria" w:cs="Arial"/>
                <w:i/>
                <w:iCs/>
                <w:color w:val="000000"/>
                <w:sz w:val="12"/>
                <w:szCs w:val="12"/>
              </w:rPr>
            </w:pPr>
            <w:r>
              <w:rPr>
                <w:rFonts w:ascii="Cambria" w:hAnsi="Cambria"/>
                <w:i/>
                <w:color w:val="000000"/>
                <w:sz w:val="12"/>
              </w:rPr>
              <w:t> </w:t>
            </w:r>
          </w:p>
        </w:tc>
        <w:tc>
          <w:tcPr>
            <w:tcW w:w="894" w:type="dxa"/>
            <w:tcBorders>
              <w:top w:val="nil"/>
              <w:left w:val="nil"/>
              <w:bottom w:val="single" w:sz="8" w:space="0" w:color="auto"/>
              <w:right w:val="nil"/>
            </w:tcBorders>
            <w:shd w:val="clear" w:color="auto" w:fill="auto"/>
            <w:noWrap/>
            <w:vAlign w:val="center"/>
            <w:hideMark/>
          </w:tcPr>
          <w:p w14:paraId="3DAF18DE" w14:textId="77777777" w:rsidR="002B1954" w:rsidRPr="002B1954" w:rsidRDefault="002B1954">
            <w:pPr>
              <w:rPr>
                <w:rFonts w:ascii="Cambria" w:hAnsi="Cambria" w:cs="Arial"/>
                <w:i/>
                <w:iCs/>
                <w:color w:val="000000"/>
                <w:sz w:val="12"/>
                <w:szCs w:val="12"/>
              </w:rPr>
            </w:pPr>
            <w:r>
              <w:rPr>
                <w:rFonts w:ascii="Cambria" w:hAnsi="Cambria"/>
                <w:i/>
                <w:color w:val="000000"/>
                <w:sz w:val="12"/>
              </w:rPr>
              <w:t> </w:t>
            </w:r>
          </w:p>
        </w:tc>
        <w:tc>
          <w:tcPr>
            <w:tcW w:w="698" w:type="dxa"/>
            <w:tcBorders>
              <w:top w:val="nil"/>
              <w:left w:val="nil"/>
              <w:bottom w:val="single" w:sz="8" w:space="0" w:color="auto"/>
              <w:right w:val="nil"/>
            </w:tcBorders>
            <w:shd w:val="clear" w:color="auto" w:fill="auto"/>
            <w:noWrap/>
            <w:vAlign w:val="center"/>
            <w:hideMark/>
          </w:tcPr>
          <w:p w14:paraId="0159D6B7" w14:textId="77777777" w:rsidR="002B1954" w:rsidRPr="002B1954" w:rsidRDefault="002B1954">
            <w:pPr>
              <w:jc w:val="right"/>
              <w:rPr>
                <w:rFonts w:ascii="Cambria" w:hAnsi="Cambria" w:cs="Arial"/>
                <w:i/>
                <w:iCs/>
                <w:color w:val="000000"/>
                <w:sz w:val="12"/>
                <w:szCs w:val="12"/>
              </w:rPr>
            </w:pPr>
            <w:r>
              <w:rPr>
                <w:rFonts w:ascii="Cambria" w:hAnsi="Cambria"/>
                <w:i/>
                <w:color w:val="000000"/>
                <w:sz w:val="12"/>
              </w:rPr>
              <w:t>3 078</w:t>
            </w:r>
          </w:p>
        </w:tc>
        <w:tc>
          <w:tcPr>
            <w:tcW w:w="1094" w:type="dxa"/>
            <w:tcBorders>
              <w:top w:val="nil"/>
              <w:left w:val="nil"/>
              <w:bottom w:val="single" w:sz="8" w:space="0" w:color="auto"/>
              <w:right w:val="nil"/>
            </w:tcBorders>
            <w:shd w:val="clear" w:color="auto" w:fill="auto"/>
            <w:noWrap/>
            <w:vAlign w:val="center"/>
            <w:hideMark/>
          </w:tcPr>
          <w:p w14:paraId="6E8EEAB1" w14:textId="77777777" w:rsidR="002B1954" w:rsidRPr="002B1954" w:rsidRDefault="002B1954">
            <w:pPr>
              <w:rPr>
                <w:rFonts w:ascii="Cambria" w:hAnsi="Cambria" w:cs="Arial"/>
                <w:i/>
                <w:iCs/>
                <w:color w:val="000000"/>
                <w:sz w:val="12"/>
                <w:szCs w:val="12"/>
              </w:rPr>
            </w:pPr>
            <w:r>
              <w:rPr>
                <w:rFonts w:ascii="Cambria" w:hAnsi="Cambria"/>
                <w:i/>
                <w:color w:val="000000"/>
                <w:sz w:val="12"/>
              </w:rPr>
              <w:t> </w:t>
            </w:r>
          </w:p>
        </w:tc>
        <w:tc>
          <w:tcPr>
            <w:tcW w:w="1043" w:type="dxa"/>
            <w:tcBorders>
              <w:top w:val="nil"/>
              <w:left w:val="nil"/>
              <w:bottom w:val="single" w:sz="8" w:space="0" w:color="auto"/>
              <w:right w:val="nil"/>
            </w:tcBorders>
            <w:shd w:val="clear" w:color="auto" w:fill="auto"/>
            <w:noWrap/>
            <w:vAlign w:val="center"/>
            <w:hideMark/>
          </w:tcPr>
          <w:p w14:paraId="7BCE7BB0" w14:textId="77777777" w:rsidR="002B1954" w:rsidRPr="002B1954" w:rsidRDefault="002B1954">
            <w:pPr>
              <w:rPr>
                <w:rFonts w:ascii="Cambria" w:hAnsi="Cambria" w:cs="Arial"/>
                <w:i/>
                <w:iCs/>
                <w:color w:val="000000"/>
                <w:sz w:val="12"/>
                <w:szCs w:val="12"/>
              </w:rPr>
            </w:pPr>
            <w:r>
              <w:rPr>
                <w:rFonts w:ascii="Cambria" w:hAnsi="Cambria"/>
                <w:i/>
                <w:color w:val="000000"/>
                <w:sz w:val="12"/>
              </w:rPr>
              <w:t> </w:t>
            </w:r>
          </w:p>
        </w:tc>
        <w:tc>
          <w:tcPr>
            <w:tcW w:w="709" w:type="dxa"/>
            <w:tcBorders>
              <w:top w:val="nil"/>
              <w:left w:val="nil"/>
              <w:bottom w:val="single" w:sz="8" w:space="0" w:color="auto"/>
              <w:right w:val="nil"/>
            </w:tcBorders>
            <w:shd w:val="clear" w:color="auto" w:fill="auto"/>
            <w:noWrap/>
            <w:vAlign w:val="center"/>
            <w:hideMark/>
          </w:tcPr>
          <w:p w14:paraId="3B6C1030" w14:textId="77777777" w:rsidR="002B1954" w:rsidRPr="002B1954" w:rsidRDefault="002B1954">
            <w:pPr>
              <w:jc w:val="right"/>
              <w:rPr>
                <w:rFonts w:ascii="Cambria" w:hAnsi="Cambria" w:cs="Arial"/>
                <w:i/>
                <w:iCs/>
                <w:color w:val="000000"/>
                <w:sz w:val="12"/>
                <w:szCs w:val="12"/>
              </w:rPr>
            </w:pPr>
            <w:r>
              <w:rPr>
                <w:rFonts w:ascii="Cambria" w:hAnsi="Cambria"/>
                <w:i/>
                <w:color w:val="000000"/>
                <w:sz w:val="12"/>
              </w:rPr>
              <w:t>3 078</w:t>
            </w:r>
          </w:p>
        </w:tc>
      </w:tr>
      <w:tr w:rsidR="002B1954" w:rsidRPr="002B1954" w14:paraId="512C8EEF" w14:textId="77777777" w:rsidTr="008A28F5">
        <w:trPr>
          <w:trHeight w:val="300"/>
        </w:trPr>
        <w:tc>
          <w:tcPr>
            <w:tcW w:w="2694" w:type="dxa"/>
            <w:tcBorders>
              <w:top w:val="nil"/>
              <w:left w:val="nil"/>
              <w:bottom w:val="nil"/>
              <w:right w:val="nil"/>
            </w:tcBorders>
            <w:shd w:val="clear" w:color="auto" w:fill="auto"/>
            <w:noWrap/>
            <w:vAlign w:val="center"/>
            <w:hideMark/>
          </w:tcPr>
          <w:p w14:paraId="4C92AE7B" w14:textId="77777777" w:rsidR="002B1954" w:rsidRPr="002B1954" w:rsidRDefault="002B1954">
            <w:pPr>
              <w:rPr>
                <w:rFonts w:ascii="Cambria" w:hAnsi="Cambria" w:cs="Arial"/>
                <w:color w:val="000000"/>
                <w:sz w:val="12"/>
                <w:szCs w:val="12"/>
              </w:rPr>
            </w:pPr>
            <w:r>
              <w:rPr>
                <w:rFonts w:ascii="Cambria" w:hAnsi="Cambria"/>
                <w:color w:val="000000"/>
                <w:sz w:val="12"/>
              </w:rPr>
              <w:t>Bénéfice ou perte global(e) pour la période</w:t>
            </w:r>
          </w:p>
        </w:tc>
        <w:tc>
          <w:tcPr>
            <w:tcW w:w="442" w:type="dxa"/>
            <w:tcBorders>
              <w:top w:val="nil"/>
              <w:left w:val="nil"/>
              <w:bottom w:val="nil"/>
              <w:right w:val="nil"/>
            </w:tcBorders>
            <w:shd w:val="clear" w:color="auto" w:fill="auto"/>
            <w:noWrap/>
            <w:vAlign w:val="bottom"/>
            <w:hideMark/>
          </w:tcPr>
          <w:p w14:paraId="323C7409" w14:textId="77777777" w:rsidR="002B1954" w:rsidRPr="002B1954" w:rsidRDefault="002B1954">
            <w:pPr>
              <w:rPr>
                <w:rFonts w:ascii="Cambria" w:hAnsi="Cambria" w:cs="Arial"/>
                <w:color w:val="000000"/>
                <w:sz w:val="12"/>
                <w:szCs w:val="12"/>
              </w:rPr>
            </w:pPr>
          </w:p>
        </w:tc>
        <w:tc>
          <w:tcPr>
            <w:tcW w:w="1048" w:type="dxa"/>
            <w:tcBorders>
              <w:top w:val="nil"/>
              <w:left w:val="nil"/>
              <w:bottom w:val="nil"/>
              <w:right w:val="nil"/>
            </w:tcBorders>
            <w:shd w:val="clear" w:color="auto" w:fill="auto"/>
            <w:noWrap/>
            <w:vAlign w:val="center"/>
            <w:hideMark/>
          </w:tcPr>
          <w:p w14:paraId="543C3E75" w14:textId="77777777" w:rsidR="002B1954" w:rsidRPr="002B1954" w:rsidRDefault="002B1954">
            <w:pPr>
              <w:rPr>
                <w:rFonts w:ascii="Cambria" w:hAnsi="Cambria" w:cs="Arial"/>
                <w:color w:val="000000"/>
                <w:sz w:val="12"/>
                <w:szCs w:val="12"/>
              </w:rPr>
            </w:pPr>
            <w:r>
              <w:rPr>
                <w:rFonts w:ascii="Cambria" w:hAnsi="Cambria"/>
                <w:color w:val="000000"/>
                <w:sz w:val="12"/>
              </w:rPr>
              <w:t xml:space="preserve">                           - </w:t>
            </w:r>
          </w:p>
        </w:tc>
        <w:tc>
          <w:tcPr>
            <w:tcW w:w="1016" w:type="dxa"/>
            <w:tcBorders>
              <w:top w:val="nil"/>
              <w:left w:val="nil"/>
              <w:bottom w:val="nil"/>
              <w:right w:val="nil"/>
            </w:tcBorders>
            <w:shd w:val="clear" w:color="auto" w:fill="auto"/>
            <w:noWrap/>
            <w:vAlign w:val="center"/>
            <w:hideMark/>
          </w:tcPr>
          <w:p w14:paraId="2634E965" w14:textId="77777777" w:rsidR="002B1954" w:rsidRPr="002B1954" w:rsidRDefault="002B1954">
            <w:pPr>
              <w:rPr>
                <w:rFonts w:ascii="Cambria" w:hAnsi="Cambria" w:cs="Arial"/>
                <w:color w:val="000000"/>
                <w:sz w:val="12"/>
                <w:szCs w:val="12"/>
              </w:rPr>
            </w:pPr>
            <w:r>
              <w:rPr>
                <w:rFonts w:ascii="Cambria" w:hAnsi="Cambria"/>
                <w:color w:val="000000"/>
                <w:sz w:val="12"/>
              </w:rPr>
              <w:t xml:space="preserve">                        - </w:t>
            </w:r>
          </w:p>
        </w:tc>
        <w:tc>
          <w:tcPr>
            <w:tcW w:w="894" w:type="dxa"/>
            <w:tcBorders>
              <w:top w:val="nil"/>
              <w:left w:val="nil"/>
              <w:bottom w:val="nil"/>
              <w:right w:val="nil"/>
            </w:tcBorders>
            <w:shd w:val="clear" w:color="auto" w:fill="auto"/>
            <w:noWrap/>
            <w:vAlign w:val="center"/>
            <w:hideMark/>
          </w:tcPr>
          <w:p w14:paraId="56EA87D4" w14:textId="77777777" w:rsidR="002B1954" w:rsidRPr="002B1954" w:rsidRDefault="002B1954">
            <w:pPr>
              <w:rPr>
                <w:rFonts w:ascii="Cambria" w:hAnsi="Cambria" w:cs="Arial"/>
                <w:color w:val="000000"/>
                <w:sz w:val="12"/>
                <w:szCs w:val="12"/>
              </w:rPr>
            </w:pPr>
            <w:r>
              <w:rPr>
                <w:rFonts w:ascii="Cambria" w:hAnsi="Cambria"/>
                <w:color w:val="000000"/>
                <w:sz w:val="12"/>
              </w:rPr>
              <w:t xml:space="preserve">                      - </w:t>
            </w:r>
          </w:p>
        </w:tc>
        <w:tc>
          <w:tcPr>
            <w:tcW w:w="698" w:type="dxa"/>
            <w:tcBorders>
              <w:top w:val="nil"/>
              <w:left w:val="nil"/>
              <w:bottom w:val="nil"/>
              <w:right w:val="nil"/>
            </w:tcBorders>
            <w:shd w:val="clear" w:color="auto" w:fill="auto"/>
            <w:noWrap/>
            <w:vAlign w:val="center"/>
            <w:hideMark/>
          </w:tcPr>
          <w:p w14:paraId="7E69BC6F" w14:textId="77777777" w:rsidR="002B1954" w:rsidRPr="002B1954" w:rsidRDefault="002B1954">
            <w:pPr>
              <w:jc w:val="right"/>
              <w:rPr>
                <w:rFonts w:ascii="Cambria" w:hAnsi="Cambria" w:cs="Arial"/>
                <w:color w:val="000000"/>
                <w:sz w:val="12"/>
                <w:szCs w:val="12"/>
              </w:rPr>
            </w:pPr>
            <w:r>
              <w:rPr>
                <w:rFonts w:ascii="Cambria" w:hAnsi="Cambria"/>
                <w:color w:val="000000"/>
                <w:sz w:val="12"/>
              </w:rPr>
              <w:t>3 078</w:t>
            </w:r>
          </w:p>
        </w:tc>
        <w:tc>
          <w:tcPr>
            <w:tcW w:w="1094" w:type="dxa"/>
            <w:tcBorders>
              <w:top w:val="nil"/>
              <w:left w:val="nil"/>
              <w:bottom w:val="nil"/>
              <w:right w:val="nil"/>
            </w:tcBorders>
            <w:shd w:val="clear" w:color="auto" w:fill="auto"/>
            <w:noWrap/>
            <w:vAlign w:val="bottom"/>
            <w:hideMark/>
          </w:tcPr>
          <w:p w14:paraId="396EE829" w14:textId="77777777" w:rsidR="002B1954" w:rsidRPr="002B1954" w:rsidRDefault="002B1954">
            <w:pPr>
              <w:jc w:val="right"/>
              <w:rPr>
                <w:rFonts w:ascii="Cambria" w:hAnsi="Cambria" w:cs="Arial"/>
                <w:color w:val="000000"/>
                <w:sz w:val="12"/>
                <w:szCs w:val="12"/>
              </w:rPr>
            </w:pPr>
          </w:p>
        </w:tc>
        <w:tc>
          <w:tcPr>
            <w:tcW w:w="1043" w:type="dxa"/>
            <w:tcBorders>
              <w:top w:val="nil"/>
              <w:left w:val="nil"/>
              <w:bottom w:val="nil"/>
              <w:right w:val="nil"/>
            </w:tcBorders>
            <w:shd w:val="clear" w:color="auto" w:fill="auto"/>
            <w:noWrap/>
            <w:vAlign w:val="center"/>
            <w:hideMark/>
          </w:tcPr>
          <w:p w14:paraId="6ECD2DDB" w14:textId="77777777" w:rsidR="002B1954" w:rsidRPr="002B1954" w:rsidRDefault="002B1954">
            <w:pPr>
              <w:jc w:val="right"/>
              <w:rPr>
                <w:rFonts w:ascii="Cambria" w:hAnsi="Cambria" w:cs="Arial"/>
                <w:color w:val="000000"/>
                <w:sz w:val="12"/>
                <w:szCs w:val="12"/>
              </w:rPr>
            </w:pPr>
            <w:r>
              <w:rPr>
                <w:rFonts w:ascii="Cambria" w:hAnsi="Cambria"/>
                <w:color w:val="000000"/>
                <w:sz w:val="12"/>
              </w:rPr>
              <w:t>2 128 669</w:t>
            </w:r>
          </w:p>
        </w:tc>
        <w:tc>
          <w:tcPr>
            <w:tcW w:w="709" w:type="dxa"/>
            <w:tcBorders>
              <w:top w:val="nil"/>
              <w:left w:val="nil"/>
              <w:bottom w:val="nil"/>
              <w:right w:val="nil"/>
            </w:tcBorders>
            <w:shd w:val="clear" w:color="auto" w:fill="auto"/>
            <w:noWrap/>
            <w:vAlign w:val="center"/>
            <w:hideMark/>
          </w:tcPr>
          <w:p w14:paraId="506516E7" w14:textId="77777777" w:rsidR="002B1954" w:rsidRPr="002B1954" w:rsidRDefault="002B1954">
            <w:pPr>
              <w:jc w:val="right"/>
              <w:rPr>
                <w:rFonts w:ascii="Cambria" w:hAnsi="Cambria" w:cs="Arial"/>
                <w:color w:val="000000"/>
                <w:sz w:val="12"/>
                <w:szCs w:val="12"/>
              </w:rPr>
            </w:pPr>
            <w:r>
              <w:rPr>
                <w:rFonts w:ascii="Cambria" w:hAnsi="Cambria"/>
                <w:color w:val="000000"/>
                <w:sz w:val="12"/>
              </w:rPr>
              <w:t>2 131 748</w:t>
            </w:r>
          </w:p>
        </w:tc>
      </w:tr>
      <w:tr w:rsidR="002B1954" w:rsidRPr="002B1954" w14:paraId="6B87DFAC" w14:textId="77777777" w:rsidTr="008A28F5">
        <w:trPr>
          <w:trHeight w:val="300"/>
        </w:trPr>
        <w:tc>
          <w:tcPr>
            <w:tcW w:w="2694" w:type="dxa"/>
            <w:tcBorders>
              <w:top w:val="nil"/>
              <w:left w:val="nil"/>
              <w:bottom w:val="nil"/>
              <w:right w:val="nil"/>
            </w:tcBorders>
            <w:shd w:val="clear" w:color="auto" w:fill="auto"/>
            <w:noWrap/>
            <w:vAlign w:val="bottom"/>
            <w:hideMark/>
          </w:tcPr>
          <w:p w14:paraId="357439B2" w14:textId="77777777" w:rsidR="002B1954" w:rsidRPr="002B1954" w:rsidRDefault="002B1954">
            <w:pPr>
              <w:jc w:val="right"/>
              <w:rPr>
                <w:rFonts w:ascii="Cambria" w:hAnsi="Cambria" w:cs="Arial"/>
                <w:color w:val="000000"/>
                <w:sz w:val="12"/>
                <w:szCs w:val="12"/>
              </w:rPr>
            </w:pPr>
          </w:p>
        </w:tc>
        <w:tc>
          <w:tcPr>
            <w:tcW w:w="442" w:type="dxa"/>
            <w:tcBorders>
              <w:top w:val="nil"/>
              <w:left w:val="nil"/>
              <w:bottom w:val="nil"/>
              <w:right w:val="nil"/>
            </w:tcBorders>
            <w:shd w:val="clear" w:color="auto" w:fill="auto"/>
            <w:noWrap/>
            <w:vAlign w:val="bottom"/>
            <w:hideMark/>
          </w:tcPr>
          <w:p w14:paraId="46D63775" w14:textId="77777777" w:rsidR="002B1954" w:rsidRPr="002B1954" w:rsidRDefault="002B1954">
            <w:pPr>
              <w:rPr>
                <w:sz w:val="12"/>
                <w:szCs w:val="12"/>
              </w:rPr>
            </w:pPr>
          </w:p>
        </w:tc>
        <w:tc>
          <w:tcPr>
            <w:tcW w:w="1048" w:type="dxa"/>
            <w:tcBorders>
              <w:top w:val="nil"/>
              <w:left w:val="nil"/>
              <w:bottom w:val="nil"/>
              <w:right w:val="nil"/>
            </w:tcBorders>
            <w:shd w:val="clear" w:color="auto" w:fill="auto"/>
            <w:noWrap/>
            <w:vAlign w:val="bottom"/>
            <w:hideMark/>
          </w:tcPr>
          <w:p w14:paraId="231A5C85" w14:textId="77777777" w:rsidR="002B1954" w:rsidRPr="002B1954" w:rsidRDefault="002B1954">
            <w:pPr>
              <w:rPr>
                <w:sz w:val="12"/>
                <w:szCs w:val="12"/>
              </w:rPr>
            </w:pPr>
          </w:p>
        </w:tc>
        <w:tc>
          <w:tcPr>
            <w:tcW w:w="1016" w:type="dxa"/>
            <w:tcBorders>
              <w:top w:val="nil"/>
              <w:left w:val="nil"/>
              <w:bottom w:val="nil"/>
              <w:right w:val="nil"/>
            </w:tcBorders>
            <w:shd w:val="clear" w:color="auto" w:fill="auto"/>
            <w:noWrap/>
            <w:vAlign w:val="bottom"/>
            <w:hideMark/>
          </w:tcPr>
          <w:p w14:paraId="455C2C10" w14:textId="77777777" w:rsidR="002B1954" w:rsidRPr="002B1954" w:rsidRDefault="002B1954">
            <w:pPr>
              <w:rPr>
                <w:sz w:val="12"/>
                <w:szCs w:val="12"/>
              </w:rPr>
            </w:pPr>
          </w:p>
        </w:tc>
        <w:tc>
          <w:tcPr>
            <w:tcW w:w="894" w:type="dxa"/>
            <w:tcBorders>
              <w:top w:val="nil"/>
              <w:left w:val="nil"/>
              <w:bottom w:val="nil"/>
              <w:right w:val="nil"/>
            </w:tcBorders>
            <w:shd w:val="clear" w:color="auto" w:fill="auto"/>
            <w:noWrap/>
            <w:vAlign w:val="bottom"/>
            <w:hideMark/>
          </w:tcPr>
          <w:p w14:paraId="7C13422B" w14:textId="77777777" w:rsidR="002B1954" w:rsidRPr="002B1954" w:rsidRDefault="002B1954">
            <w:pPr>
              <w:rPr>
                <w:sz w:val="12"/>
                <w:szCs w:val="12"/>
              </w:rPr>
            </w:pPr>
          </w:p>
        </w:tc>
        <w:tc>
          <w:tcPr>
            <w:tcW w:w="698" w:type="dxa"/>
            <w:tcBorders>
              <w:top w:val="nil"/>
              <w:left w:val="nil"/>
              <w:bottom w:val="nil"/>
              <w:right w:val="nil"/>
            </w:tcBorders>
            <w:shd w:val="clear" w:color="auto" w:fill="auto"/>
            <w:noWrap/>
            <w:vAlign w:val="bottom"/>
            <w:hideMark/>
          </w:tcPr>
          <w:p w14:paraId="09DE5C18" w14:textId="77777777" w:rsidR="002B1954" w:rsidRPr="002B1954" w:rsidRDefault="002B1954">
            <w:pPr>
              <w:rPr>
                <w:sz w:val="12"/>
                <w:szCs w:val="12"/>
              </w:rPr>
            </w:pPr>
          </w:p>
        </w:tc>
        <w:tc>
          <w:tcPr>
            <w:tcW w:w="1094" w:type="dxa"/>
            <w:tcBorders>
              <w:top w:val="nil"/>
              <w:left w:val="nil"/>
              <w:bottom w:val="nil"/>
              <w:right w:val="nil"/>
            </w:tcBorders>
            <w:shd w:val="clear" w:color="auto" w:fill="auto"/>
            <w:noWrap/>
            <w:vAlign w:val="bottom"/>
            <w:hideMark/>
          </w:tcPr>
          <w:p w14:paraId="327FAA8F" w14:textId="77777777" w:rsidR="002B1954" w:rsidRPr="002B1954" w:rsidRDefault="002B1954">
            <w:pPr>
              <w:rPr>
                <w:sz w:val="12"/>
                <w:szCs w:val="12"/>
              </w:rPr>
            </w:pPr>
          </w:p>
        </w:tc>
        <w:tc>
          <w:tcPr>
            <w:tcW w:w="1043" w:type="dxa"/>
            <w:tcBorders>
              <w:top w:val="nil"/>
              <w:left w:val="nil"/>
              <w:bottom w:val="nil"/>
              <w:right w:val="nil"/>
            </w:tcBorders>
            <w:shd w:val="clear" w:color="auto" w:fill="auto"/>
            <w:noWrap/>
            <w:vAlign w:val="bottom"/>
            <w:hideMark/>
          </w:tcPr>
          <w:p w14:paraId="66BEFF5F" w14:textId="77777777" w:rsidR="002B1954" w:rsidRPr="002B1954" w:rsidRDefault="002B1954">
            <w:pPr>
              <w:rPr>
                <w:sz w:val="12"/>
                <w:szCs w:val="12"/>
              </w:rPr>
            </w:pPr>
          </w:p>
        </w:tc>
        <w:tc>
          <w:tcPr>
            <w:tcW w:w="709" w:type="dxa"/>
            <w:tcBorders>
              <w:top w:val="nil"/>
              <w:left w:val="nil"/>
              <w:bottom w:val="nil"/>
              <w:right w:val="nil"/>
            </w:tcBorders>
            <w:shd w:val="clear" w:color="auto" w:fill="auto"/>
            <w:noWrap/>
            <w:vAlign w:val="bottom"/>
            <w:hideMark/>
          </w:tcPr>
          <w:p w14:paraId="4857CE08" w14:textId="77777777" w:rsidR="002B1954" w:rsidRPr="002B1954" w:rsidRDefault="002B1954">
            <w:pPr>
              <w:rPr>
                <w:sz w:val="12"/>
                <w:szCs w:val="12"/>
              </w:rPr>
            </w:pPr>
          </w:p>
        </w:tc>
      </w:tr>
      <w:tr w:rsidR="002B1954" w:rsidRPr="002B1954" w14:paraId="6F263CB8" w14:textId="77777777" w:rsidTr="008A28F5">
        <w:trPr>
          <w:trHeight w:val="300"/>
        </w:trPr>
        <w:tc>
          <w:tcPr>
            <w:tcW w:w="2694" w:type="dxa"/>
            <w:tcBorders>
              <w:top w:val="nil"/>
              <w:left w:val="nil"/>
              <w:bottom w:val="nil"/>
              <w:right w:val="nil"/>
            </w:tcBorders>
            <w:shd w:val="clear" w:color="auto" w:fill="auto"/>
            <w:noWrap/>
            <w:vAlign w:val="center"/>
            <w:hideMark/>
          </w:tcPr>
          <w:p w14:paraId="569CB05C" w14:textId="77777777" w:rsidR="002B1954" w:rsidRPr="002B1954" w:rsidRDefault="002B1954">
            <w:pPr>
              <w:rPr>
                <w:rFonts w:ascii="Cambria" w:hAnsi="Cambria" w:cs="Arial"/>
                <w:color w:val="000000"/>
                <w:sz w:val="12"/>
                <w:szCs w:val="12"/>
              </w:rPr>
            </w:pPr>
            <w:r>
              <w:rPr>
                <w:rFonts w:ascii="Cambria" w:hAnsi="Cambria"/>
                <w:color w:val="000000"/>
                <w:sz w:val="12"/>
              </w:rPr>
              <w:t>Affectation du résultat de l'exercice précédent</w:t>
            </w:r>
          </w:p>
        </w:tc>
        <w:tc>
          <w:tcPr>
            <w:tcW w:w="442" w:type="dxa"/>
            <w:tcBorders>
              <w:top w:val="nil"/>
              <w:left w:val="nil"/>
              <w:bottom w:val="nil"/>
              <w:right w:val="nil"/>
            </w:tcBorders>
            <w:shd w:val="clear" w:color="auto" w:fill="auto"/>
            <w:noWrap/>
            <w:vAlign w:val="bottom"/>
            <w:hideMark/>
          </w:tcPr>
          <w:p w14:paraId="5426A265" w14:textId="77777777" w:rsidR="002B1954" w:rsidRPr="002B1954" w:rsidRDefault="002B1954">
            <w:pPr>
              <w:rPr>
                <w:rFonts w:ascii="Cambria" w:hAnsi="Cambria" w:cs="Arial"/>
                <w:color w:val="000000"/>
                <w:sz w:val="12"/>
                <w:szCs w:val="12"/>
              </w:rPr>
            </w:pPr>
          </w:p>
        </w:tc>
        <w:tc>
          <w:tcPr>
            <w:tcW w:w="1048" w:type="dxa"/>
            <w:tcBorders>
              <w:top w:val="nil"/>
              <w:left w:val="nil"/>
              <w:bottom w:val="nil"/>
              <w:right w:val="nil"/>
            </w:tcBorders>
            <w:shd w:val="clear" w:color="auto" w:fill="auto"/>
            <w:noWrap/>
            <w:vAlign w:val="bottom"/>
            <w:hideMark/>
          </w:tcPr>
          <w:p w14:paraId="6930E8E3" w14:textId="77777777" w:rsidR="002B1954" w:rsidRPr="002B1954" w:rsidRDefault="002B1954">
            <w:pPr>
              <w:rPr>
                <w:sz w:val="12"/>
                <w:szCs w:val="12"/>
              </w:rPr>
            </w:pPr>
          </w:p>
        </w:tc>
        <w:tc>
          <w:tcPr>
            <w:tcW w:w="1016" w:type="dxa"/>
            <w:tcBorders>
              <w:top w:val="nil"/>
              <w:left w:val="nil"/>
              <w:bottom w:val="nil"/>
              <w:right w:val="nil"/>
            </w:tcBorders>
            <w:shd w:val="clear" w:color="auto" w:fill="auto"/>
            <w:noWrap/>
            <w:vAlign w:val="center"/>
            <w:hideMark/>
          </w:tcPr>
          <w:p w14:paraId="14633165" w14:textId="77777777" w:rsidR="002B1954" w:rsidRPr="002B1954" w:rsidRDefault="002B1954">
            <w:pPr>
              <w:jc w:val="right"/>
              <w:rPr>
                <w:rFonts w:ascii="Cambria" w:hAnsi="Cambria" w:cs="Arial"/>
                <w:color w:val="000000"/>
                <w:sz w:val="12"/>
                <w:szCs w:val="12"/>
              </w:rPr>
            </w:pPr>
            <w:r>
              <w:rPr>
                <w:rFonts w:ascii="Cambria" w:hAnsi="Cambria"/>
                <w:color w:val="000000"/>
                <w:sz w:val="12"/>
              </w:rPr>
              <w:t>45 934</w:t>
            </w:r>
          </w:p>
        </w:tc>
        <w:tc>
          <w:tcPr>
            <w:tcW w:w="894" w:type="dxa"/>
            <w:tcBorders>
              <w:top w:val="nil"/>
              <w:left w:val="nil"/>
              <w:bottom w:val="nil"/>
              <w:right w:val="nil"/>
            </w:tcBorders>
            <w:shd w:val="clear" w:color="auto" w:fill="auto"/>
            <w:noWrap/>
            <w:vAlign w:val="bottom"/>
            <w:hideMark/>
          </w:tcPr>
          <w:p w14:paraId="3C6ABCDE" w14:textId="77777777" w:rsidR="002B1954" w:rsidRPr="002B1954" w:rsidRDefault="002B1954">
            <w:pPr>
              <w:jc w:val="right"/>
              <w:rPr>
                <w:rFonts w:ascii="Cambria" w:hAnsi="Cambria" w:cs="Arial"/>
                <w:color w:val="000000"/>
                <w:sz w:val="12"/>
                <w:szCs w:val="12"/>
              </w:rPr>
            </w:pPr>
          </w:p>
        </w:tc>
        <w:tc>
          <w:tcPr>
            <w:tcW w:w="698" w:type="dxa"/>
            <w:tcBorders>
              <w:top w:val="nil"/>
              <w:left w:val="nil"/>
              <w:bottom w:val="nil"/>
              <w:right w:val="nil"/>
            </w:tcBorders>
            <w:shd w:val="clear" w:color="auto" w:fill="auto"/>
            <w:noWrap/>
            <w:vAlign w:val="center"/>
            <w:hideMark/>
          </w:tcPr>
          <w:p w14:paraId="65DC6DEF" w14:textId="77777777" w:rsidR="002B1954" w:rsidRPr="002B1954" w:rsidRDefault="002B1954">
            <w:pPr>
              <w:jc w:val="right"/>
              <w:rPr>
                <w:rFonts w:ascii="Cambria" w:hAnsi="Cambria" w:cs="Arial"/>
                <w:color w:val="000000"/>
                <w:sz w:val="12"/>
                <w:szCs w:val="12"/>
              </w:rPr>
            </w:pPr>
            <w:r>
              <w:rPr>
                <w:rFonts w:ascii="Cambria" w:hAnsi="Cambria"/>
                <w:color w:val="000000"/>
                <w:sz w:val="12"/>
              </w:rPr>
              <w:t>4 503 150</w:t>
            </w:r>
          </w:p>
        </w:tc>
        <w:tc>
          <w:tcPr>
            <w:tcW w:w="1094" w:type="dxa"/>
            <w:tcBorders>
              <w:top w:val="nil"/>
              <w:left w:val="nil"/>
              <w:bottom w:val="nil"/>
              <w:right w:val="nil"/>
            </w:tcBorders>
            <w:shd w:val="clear" w:color="auto" w:fill="auto"/>
            <w:noWrap/>
            <w:vAlign w:val="bottom"/>
            <w:hideMark/>
          </w:tcPr>
          <w:p w14:paraId="54724922" w14:textId="77777777" w:rsidR="002B1954" w:rsidRPr="002B1954" w:rsidRDefault="002B1954">
            <w:pPr>
              <w:jc w:val="right"/>
              <w:rPr>
                <w:rFonts w:ascii="Cambria" w:hAnsi="Cambria" w:cs="Arial"/>
                <w:color w:val="000000"/>
                <w:sz w:val="12"/>
                <w:szCs w:val="12"/>
              </w:rPr>
            </w:pPr>
            <w:r>
              <w:rPr>
                <w:rFonts w:ascii="Cambria" w:hAnsi="Cambria"/>
                <w:color w:val="000000"/>
                <w:sz w:val="12"/>
              </w:rPr>
              <w:t>(733 560)</w:t>
            </w:r>
          </w:p>
        </w:tc>
        <w:tc>
          <w:tcPr>
            <w:tcW w:w="1043" w:type="dxa"/>
            <w:tcBorders>
              <w:top w:val="nil"/>
              <w:left w:val="nil"/>
              <w:bottom w:val="nil"/>
              <w:right w:val="nil"/>
            </w:tcBorders>
            <w:shd w:val="clear" w:color="auto" w:fill="auto"/>
            <w:noWrap/>
            <w:vAlign w:val="bottom"/>
            <w:hideMark/>
          </w:tcPr>
          <w:p w14:paraId="3F6C78FD" w14:textId="77777777" w:rsidR="002B1954" w:rsidRPr="002B1954" w:rsidRDefault="002B1954">
            <w:pPr>
              <w:jc w:val="right"/>
              <w:rPr>
                <w:rFonts w:ascii="Cambria" w:hAnsi="Cambria" w:cs="Arial"/>
                <w:color w:val="000000"/>
                <w:sz w:val="12"/>
                <w:szCs w:val="12"/>
              </w:rPr>
            </w:pPr>
            <w:r>
              <w:rPr>
                <w:rFonts w:ascii="Cambria" w:hAnsi="Cambria"/>
                <w:color w:val="000000"/>
                <w:sz w:val="12"/>
              </w:rPr>
              <w:t>(3 815 524)</w:t>
            </w:r>
          </w:p>
        </w:tc>
        <w:tc>
          <w:tcPr>
            <w:tcW w:w="709" w:type="dxa"/>
            <w:tcBorders>
              <w:top w:val="nil"/>
              <w:left w:val="nil"/>
              <w:bottom w:val="nil"/>
              <w:right w:val="nil"/>
            </w:tcBorders>
            <w:shd w:val="clear" w:color="auto" w:fill="auto"/>
            <w:noWrap/>
            <w:vAlign w:val="center"/>
            <w:hideMark/>
          </w:tcPr>
          <w:p w14:paraId="3F6A615F" w14:textId="77777777" w:rsidR="002B1954" w:rsidRPr="002B1954" w:rsidRDefault="002B1954">
            <w:pPr>
              <w:jc w:val="right"/>
              <w:rPr>
                <w:rFonts w:ascii="Cambria" w:hAnsi="Cambria" w:cs="Arial"/>
                <w:color w:val="000000"/>
                <w:sz w:val="12"/>
                <w:szCs w:val="12"/>
              </w:rPr>
            </w:pPr>
            <w:r>
              <w:rPr>
                <w:rFonts w:ascii="Cambria" w:hAnsi="Cambria"/>
                <w:color w:val="000000"/>
                <w:sz w:val="12"/>
              </w:rPr>
              <w:t>0</w:t>
            </w:r>
          </w:p>
        </w:tc>
      </w:tr>
      <w:tr w:rsidR="002B1954" w:rsidRPr="002B1954" w14:paraId="64B17B70" w14:textId="77777777" w:rsidTr="008A28F5">
        <w:trPr>
          <w:trHeight w:val="300"/>
        </w:trPr>
        <w:tc>
          <w:tcPr>
            <w:tcW w:w="2694" w:type="dxa"/>
            <w:tcBorders>
              <w:top w:val="nil"/>
              <w:left w:val="nil"/>
              <w:bottom w:val="nil"/>
              <w:right w:val="nil"/>
            </w:tcBorders>
            <w:shd w:val="clear" w:color="auto" w:fill="auto"/>
            <w:noWrap/>
            <w:vAlign w:val="center"/>
            <w:hideMark/>
          </w:tcPr>
          <w:p w14:paraId="28F45C6D" w14:textId="77777777" w:rsidR="002B1954" w:rsidRPr="002B1954" w:rsidRDefault="002B1954">
            <w:pPr>
              <w:rPr>
                <w:rFonts w:ascii="Cambria" w:hAnsi="Cambria" w:cs="Arial"/>
                <w:color w:val="000000"/>
                <w:sz w:val="12"/>
                <w:szCs w:val="12"/>
              </w:rPr>
            </w:pPr>
            <w:r>
              <w:rPr>
                <w:rFonts w:ascii="Cambria" w:hAnsi="Cambria"/>
                <w:color w:val="000000"/>
                <w:sz w:val="12"/>
              </w:rPr>
              <w:t>Augmentation de capital social</w:t>
            </w:r>
          </w:p>
        </w:tc>
        <w:tc>
          <w:tcPr>
            <w:tcW w:w="442" w:type="dxa"/>
            <w:tcBorders>
              <w:top w:val="nil"/>
              <w:left w:val="nil"/>
              <w:bottom w:val="nil"/>
              <w:right w:val="nil"/>
            </w:tcBorders>
            <w:shd w:val="clear" w:color="auto" w:fill="auto"/>
            <w:noWrap/>
            <w:vAlign w:val="bottom"/>
            <w:hideMark/>
          </w:tcPr>
          <w:p w14:paraId="418A858F" w14:textId="77777777" w:rsidR="002B1954" w:rsidRPr="002B1954" w:rsidRDefault="002B1954">
            <w:pPr>
              <w:jc w:val="center"/>
              <w:rPr>
                <w:rFonts w:ascii="Cambria" w:hAnsi="Cambria" w:cs="Arial"/>
                <w:color w:val="000000"/>
                <w:sz w:val="12"/>
                <w:szCs w:val="12"/>
              </w:rPr>
            </w:pPr>
            <w:r>
              <w:rPr>
                <w:rFonts w:ascii="Cambria" w:hAnsi="Cambria"/>
                <w:color w:val="000000"/>
                <w:sz w:val="12"/>
              </w:rPr>
              <w:t>(19)</w:t>
            </w:r>
          </w:p>
        </w:tc>
        <w:tc>
          <w:tcPr>
            <w:tcW w:w="1048" w:type="dxa"/>
            <w:tcBorders>
              <w:top w:val="nil"/>
              <w:left w:val="nil"/>
              <w:bottom w:val="nil"/>
              <w:right w:val="nil"/>
            </w:tcBorders>
            <w:shd w:val="clear" w:color="auto" w:fill="auto"/>
            <w:noWrap/>
            <w:vAlign w:val="center"/>
            <w:hideMark/>
          </w:tcPr>
          <w:p w14:paraId="7A328F1F" w14:textId="77777777" w:rsidR="002B1954" w:rsidRPr="002B1954" w:rsidRDefault="002B1954">
            <w:pPr>
              <w:jc w:val="right"/>
              <w:rPr>
                <w:rFonts w:ascii="Cambria" w:hAnsi="Cambria" w:cs="Arial"/>
                <w:color w:val="000000"/>
                <w:sz w:val="12"/>
                <w:szCs w:val="12"/>
              </w:rPr>
            </w:pPr>
            <w:r>
              <w:rPr>
                <w:rFonts w:ascii="Cambria" w:hAnsi="Cambria"/>
                <w:color w:val="000000"/>
                <w:sz w:val="12"/>
              </w:rPr>
              <w:t>813 333</w:t>
            </w:r>
          </w:p>
        </w:tc>
        <w:tc>
          <w:tcPr>
            <w:tcW w:w="1016" w:type="dxa"/>
            <w:tcBorders>
              <w:top w:val="nil"/>
              <w:left w:val="nil"/>
              <w:bottom w:val="nil"/>
              <w:right w:val="nil"/>
            </w:tcBorders>
            <w:shd w:val="clear" w:color="auto" w:fill="auto"/>
            <w:noWrap/>
            <w:vAlign w:val="bottom"/>
            <w:hideMark/>
          </w:tcPr>
          <w:p w14:paraId="00A97FBE" w14:textId="77777777" w:rsidR="002B1954" w:rsidRPr="002B1954" w:rsidRDefault="002B1954">
            <w:pPr>
              <w:jc w:val="right"/>
              <w:rPr>
                <w:rFonts w:ascii="Cambria" w:hAnsi="Cambria" w:cs="Arial"/>
                <w:color w:val="000000"/>
                <w:sz w:val="12"/>
                <w:szCs w:val="12"/>
              </w:rPr>
            </w:pPr>
          </w:p>
        </w:tc>
        <w:tc>
          <w:tcPr>
            <w:tcW w:w="894" w:type="dxa"/>
            <w:tcBorders>
              <w:top w:val="nil"/>
              <w:left w:val="nil"/>
              <w:bottom w:val="nil"/>
              <w:right w:val="nil"/>
            </w:tcBorders>
            <w:shd w:val="clear" w:color="auto" w:fill="auto"/>
            <w:noWrap/>
            <w:vAlign w:val="bottom"/>
            <w:hideMark/>
          </w:tcPr>
          <w:p w14:paraId="019649A9" w14:textId="77777777" w:rsidR="002B1954" w:rsidRPr="002B1954" w:rsidRDefault="002B1954">
            <w:pPr>
              <w:rPr>
                <w:sz w:val="12"/>
                <w:szCs w:val="12"/>
              </w:rPr>
            </w:pPr>
          </w:p>
        </w:tc>
        <w:tc>
          <w:tcPr>
            <w:tcW w:w="698" w:type="dxa"/>
            <w:tcBorders>
              <w:top w:val="nil"/>
              <w:left w:val="nil"/>
              <w:bottom w:val="nil"/>
              <w:right w:val="nil"/>
            </w:tcBorders>
            <w:shd w:val="clear" w:color="auto" w:fill="auto"/>
            <w:noWrap/>
            <w:vAlign w:val="bottom"/>
            <w:hideMark/>
          </w:tcPr>
          <w:p w14:paraId="7D947D42" w14:textId="77777777" w:rsidR="002B1954" w:rsidRPr="002B1954" w:rsidRDefault="002B1954">
            <w:pPr>
              <w:jc w:val="right"/>
              <w:rPr>
                <w:rFonts w:ascii="Cambria" w:hAnsi="Cambria" w:cs="Arial"/>
                <w:color w:val="000000"/>
                <w:sz w:val="12"/>
                <w:szCs w:val="12"/>
              </w:rPr>
            </w:pPr>
            <w:r>
              <w:rPr>
                <w:rFonts w:ascii="Cambria" w:hAnsi="Cambria"/>
                <w:color w:val="000000"/>
                <w:sz w:val="12"/>
              </w:rPr>
              <w:t>(813 333)</w:t>
            </w:r>
          </w:p>
        </w:tc>
        <w:tc>
          <w:tcPr>
            <w:tcW w:w="1094" w:type="dxa"/>
            <w:tcBorders>
              <w:top w:val="nil"/>
              <w:left w:val="nil"/>
              <w:bottom w:val="nil"/>
              <w:right w:val="nil"/>
            </w:tcBorders>
            <w:shd w:val="clear" w:color="auto" w:fill="auto"/>
            <w:noWrap/>
            <w:vAlign w:val="bottom"/>
            <w:hideMark/>
          </w:tcPr>
          <w:p w14:paraId="44964067" w14:textId="77777777" w:rsidR="002B1954" w:rsidRPr="002B1954" w:rsidRDefault="002B1954">
            <w:pPr>
              <w:jc w:val="right"/>
              <w:rPr>
                <w:rFonts w:ascii="Cambria" w:hAnsi="Cambria" w:cs="Arial"/>
                <w:color w:val="000000"/>
                <w:sz w:val="12"/>
                <w:szCs w:val="12"/>
              </w:rPr>
            </w:pPr>
          </w:p>
        </w:tc>
        <w:tc>
          <w:tcPr>
            <w:tcW w:w="1043" w:type="dxa"/>
            <w:tcBorders>
              <w:top w:val="nil"/>
              <w:left w:val="nil"/>
              <w:bottom w:val="nil"/>
              <w:right w:val="nil"/>
            </w:tcBorders>
            <w:shd w:val="clear" w:color="auto" w:fill="auto"/>
            <w:noWrap/>
            <w:vAlign w:val="bottom"/>
            <w:hideMark/>
          </w:tcPr>
          <w:p w14:paraId="53317E77" w14:textId="77777777" w:rsidR="002B1954" w:rsidRPr="002B1954" w:rsidRDefault="002B1954">
            <w:pPr>
              <w:rPr>
                <w:sz w:val="12"/>
                <w:szCs w:val="12"/>
              </w:rPr>
            </w:pPr>
          </w:p>
        </w:tc>
        <w:tc>
          <w:tcPr>
            <w:tcW w:w="709" w:type="dxa"/>
            <w:tcBorders>
              <w:top w:val="nil"/>
              <w:left w:val="nil"/>
              <w:bottom w:val="nil"/>
              <w:right w:val="nil"/>
            </w:tcBorders>
            <w:shd w:val="clear" w:color="auto" w:fill="auto"/>
            <w:noWrap/>
            <w:vAlign w:val="center"/>
            <w:hideMark/>
          </w:tcPr>
          <w:p w14:paraId="2CCD8D46" w14:textId="77777777" w:rsidR="002B1954" w:rsidRPr="002B1954" w:rsidRDefault="002B1954">
            <w:pPr>
              <w:rPr>
                <w:sz w:val="12"/>
                <w:szCs w:val="12"/>
              </w:rPr>
            </w:pPr>
          </w:p>
        </w:tc>
      </w:tr>
      <w:tr w:rsidR="002B1954" w:rsidRPr="002B1954" w14:paraId="22EA9EA3" w14:textId="77777777" w:rsidTr="008A28F5">
        <w:trPr>
          <w:trHeight w:val="300"/>
        </w:trPr>
        <w:tc>
          <w:tcPr>
            <w:tcW w:w="2694" w:type="dxa"/>
            <w:tcBorders>
              <w:top w:val="nil"/>
              <w:left w:val="nil"/>
              <w:bottom w:val="nil"/>
              <w:right w:val="nil"/>
            </w:tcBorders>
            <w:shd w:val="clear" w:color="auto" w:fill="auto"/>
            <w:noWrap/>
            <w:vAlign w:val="center"/>
            <w:hideMark/>
          </w:tcPr>
          <w:p w14:paraId="07D95CB2" w14:textId="77777777" w:rsidR="002B1954" w:rsidRPr="002B1954" w:rsidRDefault="002B1954">
            <w:pPr>
              <w:rPr>
                <w:rFonts w:ascii="Cambria" w:hAnsi="Cambria" w:cs="Arial"/>
                <w:color w:val="000000"/>
                <w:sz w:val="12"/>
                <w:szCs w:val="12"/>
              </w:rPr>
            </w:pPr>
            <w:r>
              <w:rPr>
                <w:rFonts w:ascii="Cambria" w:hAnsi="Cambria"/>
                <w:color w:val="000000"/>
                <w:sz w:val="12"/>
              </w:rPr>
              <w:t>Distribution des dividendes</w:t>
            </w:r>
          </w:p>
        </w:tc>
        <w:tc>
          <w:tcPr>
            <w:tcW w:w="442" w:type="dxa"/>
            <w:tcBorders>
              <w:top w:val="nil"/>
              <w:left w:val="nil"/>
              <w:bottom w:val="nil"/>
              <w:right w:val="nil"/>
            </w:tcBorders>
            <w:shd w:val="clear" w:color="auto" w:fill="auto"/>
            <w:noWrap/>
            <w:vAlign w:val="bottom"/>
            <w:hideMark/>
          </w:tcPr>
          <w:p w14:paraId="38C5C672" w14:textId="77777777" w:rsidR="002B1954" w:rsidRPr="002B1954" w:rsidRDefault="002B1954">
            <w:pPr>
              <w:jc w:val="center"/>
              <w:rPr>
                <w:rFonts w:ascii="Cambria" w:hAnsi="Cambria" w:cs="Arial"/>
                <w:color w:val="000000"/>
                <w:sz w:val="12"/>
                <w:szCs w:val="12"/>
              </w:rPr>
            </w:pPr>
            <w:r>
              <w:rPr>
                <w:rFonts w:ascii="Cambria" w:hAnsi="Cambria"/>
                <w:color w:val="000000"/>
                <w:sz w:val="12"/>
              </w:rPr>
              <w:t>(19)</w:t>
            </w:r>
          </w:p>
        </w:tc>
        <w:tc>
          <w:tcPr>
            <w:tcW w:w="1048" w:type="dxa"/>
            <w:tcBorders>
              <w:top w:val="nil"/>
              <w:left w:val="nil"/>
              <w:bottom w:val="nil"/>
              <w:right w:val="nil"/>
            </w:tcBorders>
            <w:shd w:val="clear" w:color="auto" w:fill="auto"/>
            <w:noWrap/>
            <w:vAlign w:val="bottom"/>
            <w:hideMark/>
          </w:tcPr>
          <w:p w14:paraId="165ADC95" w14:textId="77777777" w:rsidR="002B1954" w:rsidRPr="002B1954" w:rsidRDefault="002B1954">
            <w:pPr>
              <w:jc w:val="center"/>
              <w:rPr>
                <w:rFonts w:ascii="Cambria" w:hAnsi="Cambria" w:cs="Arial"/>
                <w:color w:val="000000"/>
                <w:sz w:val="12"/>
                <w:szCs w:val="12"/>
              </w:rPr>
            </w:pPr>
          </w:p>
        </w:tc>
        <w:tc>
          <w:tcPr>
            <w:tcW w:w="1016" w:type="dxa"/>
            <w:tcBorders>
              <w:top w:val="nil"/>
              <w:left w:val="nil"/>
              <w:bottom w:val="nil"/>
              <w:right w:val="nil"/>
            </w:tcBorders>
            <w:shd w:val="clear" w:color="auto" w:fill="auto"/>
            <w:noWrap/>
            <w:vAlign w:val="bottom"/>
            <w:hideMark/>
          </w:tcPr>
          <w:p w14:paraId="36CCF973" w14:textId="77777777" w:rsidR="002B1954" w:rsidRPr="002B1954" w:rsidRDefault="002B1954">
            <w:pPr>
              <w:rPr>
                <w:sz w:val="12"/>
                <w:szCs w:val="12"/>
              </w:rPr>
            </w:pPr>
          </w:p>
        </w:tc>
        <w:tc>
          <w:tcPr>
            <w:tcW w:w="894" w:type="dxa"/>
            <w:tcBorders>
              <w:top w:val="nil"/>
              <w:left w:val="nil"/>
              <w:bottom w:val="nil"/>
              <w:right w:val="nil"/>
            </w:tcBorders>
            <w:shd w:val="clear" w:color="auto" w:fill="auto"/>
            <w:noWrap/>
            <w:vAlign w:val="bottom"/>
            <w:hideMark/>
          </w:tcPr>
          <w:p w14:paraId="708A88E4" w14:textId="77777777" w:rsidR="002B1954" w:rsidRPr="002B1954" w:rsidRDefault="002B1954">
            <w:pPr>
              <w:rPr>
                <w:sz w:val="12"/>
                <w:szCs w:val="12"/>
              </w:rPr>
            </w:pPr>
          </w:p>
        </w:tc>
        <w:tc>
          <w:tcPr>
            <w:tcW w:w="698" w:type="dxa"/>
            <w:tcBorders>
              <w:top w:val="nil"/>
              <w:left w:val="nil"/>
              <w:bottom w:val="nil"/>
              <w:right w:val="nil"/>
            </w:tcBorders>
            <w:shd w:val="clear" w:color="auto" w:fill="auto"/>
            <w:noWrap/>
            <w:vAlign w:val="center"/>
            <w:hideMark/>
          </w:tcPr>
          <w:p w14:paraId="0DB2840C" w14:textId="77777777" w:rsidR="002B1954" w:rsidRPr="002B1954" w:rsidRDefault="002B1954">
            <w:pPr>
              <w:jc w:val="right"/>
              <w:rPr>
                <w:rFonts w:ascii="Cambria" w:hAnsi="Cambria" w:cs="Arial"/>
                <w:color w:val="000000"/>
                <w:sz w:val="12"/>
                <w:szCs w:val="12"/>
              </w:rPr>
            </w:pPr>
            <w:r>
              <w:rPr>
                <w:rFonts w:ascii="Cambria" w:hAnsi="Cambria"/>
                <w:color w:val="000000"/>
                <w:sz w:val="12"/>
              </w:rPr>
              <w:t>4 500</w:t>
            </w:r>
          </w:p>
        </w:tc>
        <w:tc>
          <w:tcPr>
            <w:tcW w:w="1094" w:type="dxa"/>
            <w:tcBorders>
              <w:top w:val="nil"/>
              <w:left w:val="nil"/>
              <w:bottom w:val="nil"/>
              <w:right w:val="nil"/>
            </w:tcBorders>
            <w:shd w:val="clear" w:color="auto" w:fill="auto"/>
            <w:noWrap/>
            <w:vAlign w:val="bottom"/>
            <w:hideMark/>
          </w:tcPr>
          <w:p w14:paraId="14808585" w14:textId="77777777" w:rsidR="002B1954" w:rsidRPr="002B1954" w:rsidRDefault="002B1954">
            <w:pPr>
              <w:jc w:val="right"/>
              <w:rPr>
                <w:rFonts w:ascii="Cambria" w:hAnsi="Cambria" w:cs="Arial"/>
                <w:color w:val="000000"/>
                <w:sz w:val="12"/>
                <w:szCs w:val="12"/>
              </w:rPr>
            </w:pPr>
          </w:p>
        </w:tc>
        <w:tc>
          <w:tcPr>
            <w:tcW w:w="1043" w:type="dxa"/>
            <w:tcBorders>
              <w:top w:val="nil"/>
              <w:left w:val="nil"/>
              <w:bottom w:val="nil"/>
              <w:right w:val="nil"/>
            </w:tcBorders>
            <w:shd w:val="clear" w:color="auto" w:fill="auto"/>
            <w:noWrap/>
            <w:vAlign w:val="bottom"/>
            <w:hideMark/>
          </w:tcPr>
          <w:p w14:paraId="218F0BE5" w14:textId="77777777" w:rsidR="002B1954" w:rsidRPr="002B1954" w:rsidRDefault="002B1954">
            <w:pPr>
              <w:rPr>
                <w:sz w:val="12"/>
                <w:szCs w:val="12"/>
              </w:rPr>
            </w:pPr>
          </w:p>
        </w:tc>
        <w:tc>
          <w:tcPr>
            <w:tcW w:w="709" w:type="dxa"/>
            <w:tcBorders>
              <w:top w:val="nil"/>
              <w:left w:val="nil"/>
              <w:bottom w:val="nil"/>
              <w:right w:val="nil"/>
            </w:tcBorders>
            <w:shd w:val="clear" w:color="auto" w:fill="auto"/>
            <w:noWrap/>
            <w:vAlign w:val="bottom"/>
            <w:hideMark/>
          </w:tcPr>
          <w:p w14:paraId="07C81C19" w14:textId="77777777" w:rsidR="002B1954" w:rsidRPr="002B1954" w:rsidRDefault="002B1954">
            <w:pPr>
              <w:jc w:val="right"/>
              <w:rPr>
                <w:rFonts w:ascii="Cambria" w:hAnsi="Cambria" w:cs="Arial"/>
                <w:color w:val="000000"/>
                <w:sz w:val="12"/>
                <w:szCs w:val="12"/>
              </w:rPr>
            </w:pPr>
            <w:r>
              <w:rPr>
                <w:rFonts w:ascii="Cambria" w:hAnsi="Cambria"/>
                <w:color w:val="000000"/>
                <w:sz w:val="12"/>
              </w:rPr>
              <w:t>(4 500 000)</w:t>
            </w:r>
          </w:p>
        </w:tc>
      </w:tr>
      <w:tr w:rsidR="002B1954" w:rsidRPr="002B1954" w14:paraId="401CFD6E" w14:textId="77777777" w:rsidTr="008A28F5">
        <w:trPr>
          <w:trHeight w:val="315"/>
        </w:trPr>
        <w:tc>
          <w:tcPr>
            <w:tcW w:w="2694" w:type="dxa"/>
            <w:tcBorders>
              <w:top w:val="nil"/>
              <w:left w:val="nil"/>
              <w:bottom w:val="nil"/>
              <w:right w:val="nil"/>
            </w:tcBorders>
            <w:shd w:val="clear" w:color="auto" w:fill="auto"/>
            <w:noWrap/>
            <w:vAlign w:val="center"/>
            <w:hideMark/>
          </w:tcPr>
          <w:p w14:paraId="1DD4857F" w14:textId="77777777" w:rsidR="002B1954" w:rsidRPr="002B1954" w:rsidRDefault="002B1954">
            <w:pPr>
              <w:rPr>
                <w:rFonts w:ascii="Cambria" w:hAnsi="Cambria" w:cs="Arial"/>
                <w:color w:val="000000"/>
                <w:sz w:val="12"/>
                <w:szCs w:val="12"/>
              </w:rPr>
            </w:pPr>
            <w:r>
              <w:rPr>
                <w:rFonts w:ascii="Cambria" w:hAnsi="Cambria"/>
                <w:color w:val="000000"/>
                <w:sz w:val="12"/>
              </w:rPr>
              <w:t>Transactions "sous contrôle commun »</w:t>
            </w:r>
          </w:p>
        </w:tc>
        <w:tc>
          <w:tcPr>
            <w:tcW w:w="442" w:type="dxa"/>
            <w:tcBorders>
              <w:top w:val="nil"/>
              <w:left w:val="nil"/>
              <w:bottom w:val="nil"/>
              <w:right w:val="nil"/>
            </w:tcBorders>
            <w:shd w:val="clear" w:color="auto" w:fill="auto"/>
            <w:noWrap/>
            <w:vAlign w:val="bottom"/>
            <w:hideMark/>
          </w:tcPr>
          <w:p w14:paraId="7D12080A" w14:textId="77777777" w:rsidR="002B1954" w:rsidRPr="002B1954" w:rsidRDefault="002B1954">
            <w:pPr>
              <w:jc w:val="center"/>
              <w:rPr>
                <w:rFonts w:ascii="Cambria" w:hAnsi="Cambria" w:cs="Arial"/>
                <w:color w:val="000000"/>
                <w:sz w:val="12"/>
                <w:szCs w:val="12"/>
              </w:rPr>
            </w:pPr>
            <w:r>
              <w:rPr>
                <w:rFonts w:ascii="Cambria" w:hAnsi="Cambria"/>
                <w:color w:val="000000"/>
                <w:sz w:val="12"/>
              </w:rPr>
              <w:t>(6)</w:t>
            </w:r>
          </w:p>
        </w:tc>
        <w:tc>
          <w:tcPr>
            <w:tcW w:w="1048" w:type="dxa"/>
            <w:tcBorders>
              <w:top w:val="nil"/>
              <w:left w:val="nil"/>
              <w:bottom w:val="nil"/>
              <w:right w:val="nil"/>
            </w:tcBorders>
            <w:shd w:val="clear" w:color="auto" w:fill="auto"/>
            <w:noWrap/>
            <w:vAlign w:val="bottom"/>
            <w:hideMark/>
          </w:tcPr>
          <w:p w14:paraId="37CB5C99" w14:textId="77777777" w:rsidR="002B1954" w:rsidRPr="002B1954" w:rsidRDefault="002B1954">
            <w:pPr>
              <w:jc w:val="center"/>
              <w:rPr>
                <w:rFonts w:ascii="Cambria" w:hAnsi="Cambria" w:cs="Arial"/>
                <w:color w:val="000000"/>
                <w:sz w:val="12"/>
                <w:szCs w:val="12"/>
              </w:rPr>
            </w:pPr>
          </w:p>
        </w:tc>
        <w:tc>
          <w:tcPr>
            <w:tcW w:w="1016" w:type="dxa"/>
            <w:tcBorders>
              <w:top w:val="nil"/>
              <w:left w:val="nil"/>
              <w:bottom w:val="nil"/>
              <w:right w:val="nil"/>
            </w:tcBorders>
            <w:shd w:val="clear" w:color="auto" w:fill="auto"/>
            <w:noWrap/>
            <w:vAlign w:val="bottom"/>
            <w:hideMark/>
          </w:tcPr>
          <w:p w14:paraId="0FAC21E4" w14:textId="77777777" w:rsidR="002B1954" w:rsidRPr="002B1954" w:rsidRDefault="002B1954">
            <w:pPr>
              <w:rPr>
                <w:sz w:val="12"/>
                <w:szCs w:val="12"/>
              </w:rPr>
            </w:pPr>
          </w:p>
        </w:tc>
        <w:tc>
          <w:tcPr>
            <w:tcW w:w="894" w:type="dxa"/>
            <w:tcBorders>
              <w:top w:val="nil"/>
              <w:left w:val="nil"/>
              <w:bottom w:val="nil"/>
              <w:right w:val="nil"/>
            </w:tcBorders>
            <w:shd w:val="clear" w:color="auto" w:fill="auto"/>
            <w:noWrap/>
            <w:vAlign w:val="bottom"/>
            <w:hideMark/>
          </w:tcPr>
          <w:p w14:paraId="599CE62B" w14:textId="77777777" w:rsidR="002B1954" w:rsidRPr="002B1954" w:rsidRDefault="002B1954">
            <w:pPr>
              <w:rPr>
                <w:sz w:val="12"/>
                <w:szCs w:val="12"/>
              </w:rPr>
            </w:pPr>
          </w:p>
        </w:tc>
        <w:tc>
          <w:tcPr>
            <w:tcW w:w="698" w:type="dxa"/>
            <w:tcBorders>
              <w:top w:val="nil"/>
              <w:left w:val="nil"/>
              <w:bottom w:val="nil"/>
              <w:right w:val="nil"/>
            </w:tcBorders>
            <w:shd w:val="clear" w:color="auto" w:fill="auto"/>
            <w:noWrap/>
            <w:vAlign w:val="center"/>
            <w:hideMark/>
          </w:tcPr>
          <w:p w14:paraId="7336DE41" w14:textId="77777777" w:rsidR="002B1954" w:rsidRPr="002B1954" w:rsidRDefault="002B1954">
            <w:pPr>
              <w:rPr>
                <w:sz w:val="12"/>
                <w:szCs w:val="12"/>
              </w:rPr>
            </w:pPr>
          </w:p>
        </w:tc>
        <w:tc>
          <w:tcPr>
            <w:tcW w:w="1094" w:type="dxa"/>
            <w:tcBorders>
              <w:top w:val="nil"/>
              <w:left w:val="nil"/>
              <w:bottom w:val="nil"/>
              <w:right w:val="nil"/>
            </w:tcBorders>
            <w:shd w:val="clear" w:color="auto" w:fill="auto"/>
            <w:noWrap/>
            <w:vAlign w:val="bottom"/>
            <w:hideMark/>
          </w:tcPr>
          <w:p w14:paraId="1AF94D44" w14:textId="77777777" w:rsidR="002B1954" w:rsidRPr="002B1954" w:rsidRDefault="002B1954">
            <w:pPr>
              <w:jc w:val="right"/>
              <w:rPr>
                <w:sz w:val="12"/>
                <w:szCs w:val="12"/>
              </w:rPr>
            </w:pPr>
          </w:p>
        </w:tc>
        <w:tc>
          <w:tcPr>
            <w:tcW w:w="1043" w:type="dxa"/>
            <w:tcBorders>
              <w:top w:val="nil"/>
              <w:left w:val="nil"/>
              <w:bottom w:val="nil"/>
              <w:right w:val="nil"/>
            </w:tcBorders>
            <w:shd w:val="clear" w:color="auto" w:fill="auto"/>
            <w:noWrap/>
            <w:vAlign w:val="bottom"/>
            <w:hideMark/>
          </w:tcPr>
          <w:p w14:paraId="6915E1AC" w14:textId="77777777" w:rsidR="002B1954" w:rsidRPr="002B1954" w:rsidRDefault="002B1954">
            <w:pPr>
              <w:rPr>
                <w:sz w:val="12"/>
                <w:szCs w:val="12"/>
              </w:rPr>
            </w:pPr>
          </w:p>
        </w:tc>
        <w:tc>
          <w:tcPr>
            <w:tcW w:w="709" w:type="dxa"/>
            <w:tcBorders>
              <w:top w:val="nil"/>
              <w:left w:val="nil"/>
              <w:bottom w:val="nil"/>
              <w:right w:val="nil"/>
            </w:tcBorders>
            <w:shd w:val="clear" w:color="auto" w:fill="auto"/>
            <w:noWrap/>
            <w:vAlign w:val="center"/>
            <w:hideMark/>
          </w:tcPr>
          <w:p w14:paraId="077F77A1" w14:textId="77777777" w:rsidR="002B1954" w:rsidRPr="002B1954" w:rsidRDefault="002B1954">
            <w:pPr>
              <w:jc w:val="right"/>
              <w:rPr>
                <w:rFonts w:ascii="Cambria" w:hAnsi="Cambria" w:cs="Arial"/>
                <w:color w:val="000000"/>
                <w:sz w:val="12"/>
                <w:szCs w:val="12"/>
              </w:rPr>
            </w:pPr>
            <w:r>
              <w:rPr>
                <w:rFonts w:ascii="Cambria" w:hAnsi="Cambria"/>
                <w:color w:val="000000"/>
                <w:sz w:val="12"/>
              </w:rPr>
              <w:t>0</w:t>
            </w:r>
          </w:p>
        </w:tc>
      </w:tr>
      <w:tr w:rsidR="002B1954" w:rsidRPr="002B1954" w14:paraId="5C7B9EB6" w14:textId="77777777" w:rsidTr="008A28F5">
        <w:trPr>
          <w:trHeight w:val="315"/>
        </w:trPr>
        <w:tc>
          <w:tcPr>
            <w:tcW w:w="2694" w:type="dxa"/>
            <w:tcBorders>
              <w:top w:val="nil"/>
              <w:left w:val="nil"/>
              <w:bottom w:val="nil"/>
              <w:right w:val="nil"/>
            </w:tcBorders>
            <w:shd w:val="clear" w:color="auto" w:fill="auto"/>
            <w:noWrap/>
            <w:vAlign w:val="center"/>
            <w:hideMark/>
          </w:tcPr>
          <w:p w14:paraId="333349AA" w14:textId="77777777" w:rsidR="002B1954" w:rsidRPr="002B1954" w:rsidRDefault="002B1954">
            <w:pPr>
              <w:rPr>
                <w:rFonts w:ascii="Cambria" w:hAnsi="Cambria" w:cs="Arial"/>
                <w:b/>
                <w:bCs/>
                <w:color w:val="000000"/>
                <w:sz w:val="12"/>
                <w:szCs w:val="12"/>
              </w:rPr>
            </w:pPr>
            <w:r>
              <w:rPr>
                <w:rFonts w:ascii="Cambria" w:hAnsi="Cambria"/>
                <w:b/>
                <w:color w:val="000000"/>
                <w:sz w:val="12"/>
              </w:rPr>
              <w:t>Bilan au 30 juin 2021</w:t>
            </w:r>
          </w:p>
        </w:tc>
        <w:tc>
          <w:tcPr>
            <w:tcW w:w="442" w:type="dxa"/>
            <w:tcBorders>
              <w:top w:val="nil"/>
              <w:left w:val="nil"/>
              <w:bottom w:val="nil"/>
              <w:right w:val="nil"/>
            </w:tcBorders>
            <w:shd w:val="clear" w:color="auto" w:fill="auto"/>
            <w:noWrap/>
            <w:vAlign w:val="bottom"/>
            <w:hideMark/>
          </w:tcPr>
          <w:p w14:paraId="519DDD64" w14:textId="77777777" w:rsidR="002B1954" w:rsidRPr="002B1954" w:rsidRDefault="002B1954">
            <w:pPr>
              <w:rPr>
                <w:rFonts w:ascii="Cambria" w:hAnsi="Cambria" w:cs="Arial"/>
                <w:b/>
                <w:bCs/>
                <w:color w:val="000000"/>
                <w:sz w:val="12"/>
                <w:szCs w:val="12"/>
              </w:rPr>
            </w:pPr>
          </w:p>
        </w:tc>
        <w:tc>
          <w:tcPr>
            <w:tcW w:w="1048" w:type="dxa"/>
            <w:tcBorders>
              <w:top w:val="single" w:sz="8" w:space="0" w:color="auto"/>
              <w:left w:val="nil"/>
              <w:bottom w:val="single" w:sz="8" w:space="0" w:color="auto"/>
              <w:right w:val="nil"/>
            </w:tcBorders>
            <w:shd w:val="clear" w:color="auto" w:fill="auto"/>
            <w:noWrap/>
            <w:vAlign w:val="center"/>
            <w:hideMark/>
          </w:tcPr>
          <w:p w14:paraId="30432EFA" w14:textId="77777777" w:rsidR="002B1954" w:rsidRPr="002B1954" w:rsidRDefault="002B1954">
            <w:pPr>
              <w:jc w:val="right"/>
              <w:rPr>
                <w:rFonts w:ascii="Cambria" w:hAnsi="Cambria" w:cs="Arial"/>
                <w:b/>
                <w:bCs/>
                <w:color w:val="000000"/>
                <w:sz w:val="12"/>
                <w:szCs w:val="12"/>
              </w:rPr>
            </w:pPr>
            <w:r>
              <w:rPr>
                <w:rFonts w:ascii="Cambria" w:hAnsi="Cambria"/>
                <w:b/>
                <w:color w:val="000000"/>
                <w:sz w:val="12"/>
              </w:rPr>
              <w:t>2 000 000</w:t>
            </w:r>
          </w:p>
        </w:tc>
        <w:tc>
          <w:tcPr>
            <w:tcW w:w="1016" w:type="dxa"/>
            <w:tcBorders>
              <w:top w:val="single" w:sz="8" w:space="0" w:color="auto"/>
              <w:left w:val="nil"/>
              <w:bottom w:val="single" w:sz="8" w:space="0" w:color="auto"/>
              <w:right w:val="nil"/>
            </w:tcBorders>
            <w:shd w:val="clear" w:color="auto" w:fill="auto"/>
            <w:noWrap/>
            <w:vAlign w:val="center"/>
            <w:hideMark/>
          </w:tcPr>
          <w:p w14:paraId="1C6E0B02" w14:textId="76DDC150" w:rsidR="002B1954" w:rsidRPr="002B1954" w:rsidRDefault="002B1954" w:rsidP="002B1954">
            <w:pPr>
              <w:jc w:val="right"/>
              <w:rPr>
                <w:rFonts w:ascii="Cambria" w:hAnsi="Cambria" w:cs="Arial"/>
                <w:b/>
                <w:bCs/>
                <w:color w:val="000000"/>
                <w:sz w:val="12"/>
                <w:szCs w:val="12"/>
              </w:rPr>
            </w:pPr>
            <w:r>
              <w:rPr>
                <w:rFonts w:ascii="Cambria" w:hAnsi="Cambria"/>
                <w:b/>
                <w:color w:val="000000"/>
                <w:sz w:val="12"/>
              </w:rPr>
              <w:t>237 333</w:t>
            </w:r>
          </w:p>
        </w:tc>
        <w:tc>
          <w:tcPr>
            <w:tcW w:w="894" w:type="dxa"/>
            <w:tcBorders>
              <w:top w:val="single" w:sz="8" w:space="0" w:color="auto"/>
              <w:left w:val="nil"/>
              <w:bottom w:val="single" w:sz="8" w:space="0" w:color="auto"/>
              <w:right w:val="nil"/>
            </w:tcBorders>
            <w:shd w:val="clear" w:color="auto" w:fill="auto"/>
            <w:noWrap/>
            <w:vAlign w:val="center"/>
            <w:hideMark/>
          </w:tcPr>
          <w:p w14:paraId="44A90B91" w14:textId="77777777" w:rsidR="002B1954" w:rsidRPr="002B1954" w:rsidRDefault="002B1954">
            <w:pPr>
              <w:jc w:val="center"/>
              <w:rPr>
                <w:rFonts w:ascii="Cambria" w:hAnsi="Cambria" w:cs="Arial"/>
                <w:b/>
                <w:bCs/>
                <w:color w:val="000000"/>
                <w:sz w:val="12"/>
                <w:szCs w:val="12"/>
              </w:rPr>
            </w:pPr>
            <w:r>
              <w:rPr>
                <w:rFonts w:ascii="Cambria" w:hAnsi="Cambria"/>
                <w:b/>
                <w:color w:val="000000"/>
                <w:sz w:val="12"/>
              </w:rPr>
              <w:t>2 440 366</w:t>
            </w:r>
          </w:p>
        </w:tc>
        <w:tc>
          <w:tcPr>
            <w:tcW w:w="698" w:type="dxa"/>
            <w:tcBorders>
              <w:top w:val="single" w:sz="8" w:space="0" w:color="auto"/>
              <w:left w:val="nil"/>
              <w:bottom w:val="single" w:sz="8" w:space="0" w:color="auto"/>
              <w:right w:val="nil"/>
            </w:tcBorders>
            <w:shd w:val="clear" w:color="auto" w:fill="auto"/>
            <w:noWrap/>
            <w:vAlign w:val="center"/>
            <w:hideMark/>
          </w:tcPr>
          <w:p w14:paraId="242D8A3A" w14:textId="77777777" w:rsidR="002B1954" w:rsidRPr="002B1954" w:rsidRDefault="002B1954">
            <w:pPr>
              <w:jc w:val="right"/>
              <w:rPr>
                <w:rFonts w:ascii="Cambria" w:hAnsi="Cambria" w:cs="Arial"/>
                <w:b/>
                <w:bCs/>
                <w:color w:val="000000"/>
                <w:sz w:val="12"/>
                <w:szCs w:val="12"/>
              </w:rPr>
            </w:pPr>
            <w:r>
              <w:rPr>
                <w:rFonts w:ascii="Cambria" w:hAnsi="Cambria"/>
                <w:b/>
                <w:color w:val="000000"/>
                <w:sz w:val="12"/>
              </w:rPr>
              <w:t>2 663 613</w:t>
            </w:r>
          </w:p>
        </w:tc>
        <w:tc>
          <w:tcPr>
            <w:tcW w:w="1094" w:type="dxa"/>
            <w:tcBorders>
              <w:top w:val="single" w:sz="8" w:space="0" w:color="auto"/>
              <w:left w:val="nil"/>
              <w:bottom w:val="single" w:sz="8" w:space="0" w:color="auto"/>
              <w:right w:val="nil"/>
            </w:tcBorders>
            <w:shd w:val="clear" w:color="auto" w:fill="auto"/>
            <w:noWrap/>
            <w:vAlign w:val="center"/>
            <w:hideMark/>
          </w:tcPr>
          <w:p w14:paraId="021C90AA" w14:textId="77777777" w:rsidR="002B1954" w:rsidRPr="002B1954" w:rsidRDefault="002B1954">
            <w:pPr>
              <w:jc w:val="right"/>
              <w:rPr>
                <w:rFonts w:ascii="Cambria" w:hAnsi="Cambria" w:cs="Arial"/>
                <w:b/>
                <w:bCs/>
                <w:color w:val="000000"/>
                <w:sz w:val="12"/>
                <w:szCs w:val="12"/>
              </w:rPr>
            </w:pPr>
            <w:r>
              <w:rPr>
                <w:rFonts w:ascii="Cambria" w:hAnsi="Cambria"/>
                <w:b/>
                <w:color w:val="000000"/>
                <w:sz w:val="12"/>
              </w:rPr>
              <w:t>0</w:t>
            </w:r>
          </w:p>
        </w:tc>
        <w:tc>
          <w:tcPr>
            <w:tcW w:w="1043" w:type="dxa"/>
            <w:tcBorders>
              <w:top w:val="single" w:sz="8" w:space="0" w:color="auto"/>
              <w:left w:val="nil"/>
              <w:bottom w:val="single" w:sz="8" w:space="0" w:color="auto"/>
              <w:right w:val="nil"/>
            </w:tcBorders>
            <w:shd w:val="clear" w:color="auto" w:fill="auto"/>
            <w:noWrap/>
            <w:vAlign w:val="center"/>
            <w:hideMark/>
          </w:tcPr>
          <w:p w14:paraId="1CE68913" w14:textId="77777777" w:rsidR="002B1954" w:rsidRPr="002B1954" w:rsidRDefault="002B1954">
            <w:pPr>
              <w:jc w:val="right"/>
              <w:rPr>
                <w:rFonts w:ascii="Cambria" w:hAnsi="Cambria" w:cs="Arial"/>
                <w:b/>
                <w:bCs/>
                <w:color w:val="000000"/>
                <w:sz w:val="12"/>
                <w:szCs w:val="12"/>
              </w:rPr>
            </w:pPr>
            <w:r>
              <w:rPr>
                <w:rFonts w:ascii="Cambria" w:hAnsi="Cambria"/>
                <w:b/>
                <w:color w:val="000000"/>
                <w:sz w:val="12"/>
              </w:rPr>
              <w:t>2 128 669</w:t>
            </w:r>
          </w:p>
        </w:tc>
        <w:tc>
          <w:tcPr>
            <w:tcW w:w="709" w:type="dxa"/>
            <w:tcBorders>
              <w:top w:val="single" w:sz="8" w:space="0" w:color="auto"/>
              <w:left w:val="nil"/>
              <w:bottom w:val="single" w:sz="8" w:space="0" w:color="auto"/>
              <w:right w:val="nil"/>
            </w:tcBorders>
            <w:shd w:val="clear" w:color="auto" w:fill="auto"/>
            <w:noWrap/>
            <w:vAlign w:val="center"/>
            <w:hideMark/>
          </w:tcPr>
          <w:p w14:paraId="53256409" w14:textId="77777777" w:rsidR="002B1954" w:rsidRPr="002B1954" w:rsidRDefault="002B1954">
            <w:pPr>
              <w:jc w:val="right"/>
              <w:rPr>
                <w:rFonts w:ascii="Cambria" w:hAnsi="Cambria" w:cs="Arial"/>
                <w:b/>
                <w:bCs/>
                <w:color w:val="000000"/>
                <w:sz w:val="12"/>
                <w:szCs w:val="12"/>
              </w:rPr>
            </w:pPr>
            <w:r>
              <w:rPr>
                <w:rFonts w:ascii="Cambria" w:hAnsi="Cambria"/>
                <w:b/>
                <w:color w:val="000000"/>
                <w:sz w:val="12"/>
              </w:rPr>
              <w:t>9 469 982</w:t>
            </w:r>
          </w:p>
        </w:tc>
      </w:tr>
    </w:tbl>
    <w:p w14:paraId="41F536A7" w14:textId="52BB954D" w:rsidR="000944E7" w:rsidRDefault="000944E7" w:rsidP="00F31608"/>
    <w:p w14:paraId="015B82B8" w14:textId="6B2041C7" w:rsidR="000944E7" w:rsidRDefault="000944E7" w:rsidP="00F31608"/>
    <w:p w14:paraId="3F019934" w14:textId="1DFEA7AB" w:rsidR="00163361" w:rsidRDefault="00163361" w:rsidP="00F31608"/>
    <w:p w14:paraId="4D73075D" w14:textId="4F885AD0" w:rsidR="00163361" w:rsidRPr="00F31608" w:rsidRDefault="00163361" w:rsidP="00F31608"/>
    <w:p w14:paraId="03BEA863" w14:textId="628B4D27" w:rsidR="00431871" w:rsidRDefault="00431871" w:rsidP="00F31608">
      <w:pPr>
        <w:rPr>
          <w:sz w:val="28"/>
        </w:rPr>
      </w:pPr>
    </w:p>
    <w:p w14:paraId="77CD4ADD" w14:textId="6A91DAB2" w:rsidR="00811CD1" w:rsidRDefault="00811CD1" w:rsidP="00F31608">
      <w:pPr>
        <w:rPr>
          <w:highlight w:val="green"/>
        </w:rPr>
      </w:pPr>
    </w:p>
    <w:p w14:paraId="10455740" w14:textId="516D46BF" w:rsidR="00666C39" w:rsidRDefault="00E16D12">
      <w:pPr>
        <w:pStyle w:val="Titolo1"/>
        <w:spacing w:line="240" w:lineRule="auto"/>
        <w:ind w:left="0" w:right="0"/>
        <w:rPr>
          <w:sz w:val="28"/>
        </w:rPr>
      </w:pPr>
      <w:r>
        <w:br w:type="page"/>
      </w:r>
      <w:bookmarkStart w:id="47" w:name="_Toc112768618"/>
      <w:r>
        <w:rPr>
          <w:sz w:val="28"/>
        </w:rPr>
        <w:lastRenderedPageBreak/>
        <w:t>État des flux de trésorerie</w:t>
      </w:r>
      <w:bookmarkEnd w:id="47"/>
    </w:p>
    <w:tbl>
      <w:tblPr>
        <w:tblW w:w="5000" w:type="pct"/>
        <w:tblLayout w:type="fixed"/>
        <w:tblCellMar>
          <w:left w:w="70" w:type="dxa"/>
          <w:right w:w="70" w:type="dxa"/>
        </w:tblCellMar>
        <w:tblLook w:val="04A0" w:firstRow="1" w:lastRow="0" w:firstColumn="1" w:lastColumn="0" w:noHBand="0" w:noVBand="1"/>
      </w:tblPr>
      <w:tblGrid>
        <w:gridCol w:w="160"/>
        <w:gridCol w:w="5270"/>
        <w:gridCol w:w="956"/>
        <w:gridCol w:w="1521"/>
        <w:gridCol w:w="1731"/>
      </w:tblGrid>
      <w:tr w:rsidR="00A474E8" w:rsidRPr="00A474E8" w14:paraId="2E61938C" w14:textId="77777777" w:rsidTr="00C56737">
        <w:trPr>
          <w:trHeight w:val="20"/>
        </w:trPr>
        <w:tc>
          <w:tcPr>
            <w:tcW w:w="2817" w:type="pct"/>
            <w:gridSpan w:val="2"/>
            <w:tcBorders>
              <w:top w:val="single" w:sz="4" w:space="0" w:color="0070C0"/>
              <w:left w:val="nil"/>
              <w:bottom w:val="single" w:sz="8" w:space="0" w:color="0070C0"/>
              <w:right w:val="nil"/>
            </w:tcBorders>
            <w:shd w:val="clear" w:color="auto" w:fill="auto"/>
            <w:noWrap/>
            <w:vAlign w:val="bottom"/>
            <w:hideMark/>
          </w:tcPr>
          <w:p w14:paraId="7CD145CB" w14:textId="77777777" w:rsidR="00A474E8" w:rsidRPr="00A474E8" w:rsidRDefault="00A474E8">
            <w:pPr>
              <w:rPr>
                <w:rFonts w:ascii="Calibri Light" w:hAnsi="Calibri Light" w:cs="Calibri Light"/>
                <w:color w:val="000000"/>
                <w:sz w:val="16"/>
                <w:szCs w:val="16"/>
              </w:rPr>
            </w:pPr>
            <w:r>
              <w:rPr>
                <w:rFonts w:ascii="Calibri Light" w:hAnsi="Calibri Light"/>
                <w:color w:val="000000"/>
                <w:sz w:val="16"/>
              </w:rPr>
              <w:t>(</w:t>
            </w:r>
            <w:proofErr w:type="gramStart"/>
            <w:r>
              <w:rPr>
                <w:rFonts w:ascii="Calibri Light" w:hAnsi="Calibri Light"/>
                <w:color w:val="000000"/>
                <w:sz w:val="16"/>
              </w:rPr>
              <w:t>en</w:t>
            </w:r>
            <w:proofErr w:type="gramEnd"/>
            <w:r>
              <w:rPr>
                <w:rFonts w:ascii="Calibri Light" w:hAnsi="Calibri Light"/>
                <w:color w:val="000000"/>
                <w:sz w:val="16"/>
              </w:rPr>
              <w:t xml:space="preserve"> euros)</w:t>
            </w:r>
          </w:p>
        </w:tc>
        <w:tc>
          <w:tcPr>
            <w:tcW w:w="496" w:type="pct"/>
            <w:tcBorders>
              <w:top w:val="single" w:sz="4" w:space="0" w:color="0070C0"/>
              <w:left w:val="nil"/>
              <w:bottom w:val="single" w:sz="8" w:space="0" w:color="0070C0"/>
              <w:right w:val="nil"/>
            </w:tcBorders>
            <w:shd w:val="clear" w:color="auto" w:fill="auto"/>
            <w:vAlign w:val="bottom"/>
            <w:hideMark/>
          </w:tcPr>
          <w:p w14:paraId="036F8ABD" w14:textId="77777777" w:rsidR="00A474E8" w:rsidRPr="00A474E8" w:rsidRDefault="00A474E8">
            <w:pPr>
              <w:jc w:val="center"/>
              <w:rPr>
                <w:rFonts w:ascii="Calibri Light" w:hAnsi="Calibri Light" w:cs="Calibri Light"/>
                <w:b/>
                <w:bCs/>
                <w:color w:val="000000"/>
                <w:sz w:val="16"/>
                <w:szCs w:val="16"/>
              </w:rPr>
            </w:pPr>
            <w:r>
              <w:rPr>
                <w:rFonts w:ascii="Calibri Light" w:hAnsi="Calibri Light"/>
                <w:b/>
                <w:color w:val="000000"/>
                <w:sz w:val="16"/>
              </w:rPr>
              <w:t>Note</w:t>
            </w:r>
          </w:p>
        </w:tc>
        <w:tc>
          <w:tcPr>
            <w:tcW w:w="789" w:type="pct"/>
            <w:tcBorders>
              <w:top w:val="single" w:sz="4" w:space="0" w:color="0070C0"/>
              <w:left w:val="nil"/>
              <w:bottom w:val="single" w:sz="8" w:space="0" w:color="0070C0"/>
              <w:right w:val="nil"/>
            </w:tcBorders>
            <w:shd w:val="clear" w:color="auto" w:fill="auto"/>
            <w:vAlign w:val="bottom"/>
            <w:hideMark/>
          </w:tcPr>
          <w:p w14:paraId="692A303A" w14:textId="77777777" w:rsidR="00A474E8" w:rsidRPr="00A474E8" w:rsidRDefault="00A474E8">
            <w:pPr>
              <w:jc w:val="right"/>
              <w:rPr>
                <w:rFonts w:ascii="Calibri Light" w:hAnsi="Calibri Light" w:cs="Calibri Light"/>
                <w:b/>
                <w:bCs/>
                <w:color w:val="000000"/>
                <w:sz w:val="16"/>
                <w:szCs w:val="16"/>
              </w:rPr>
            </w:pPr>
            <w:r>
              <w:rPr>
                <w:rFonts w:ascii="Calibri Light" w:hAnsi="Calibri Light"/>
                <w:b/>
                <w:color w:val="000000"/>
                <w:sz w:val="16"/>
              </w:rPr>
              <w:t>1R janvier 2021 -    30 juin 2021</w:t>
            </w:r>
          </w:p>
        </w:tc>
        <w:tc>
          <w:tcPr>
            <w:tcW w:w="898" w:type="pct"/>
            <w:tcBorders>
              <w:top w:val="single" w:sz="4" w:space="0" w:color="0070C0"/>
              <w:left w:val="nil"/>
              <w:bottom w:val="single" w:sz="8" w:space="0" w:color="0070C0"/>
              <w:right w:val="nil"/>
            </w:tcBorders>
            <w:shd w:val="clear" w:color="auto" w:fill="auto"/>
            <w:vAlign w:val="bottom"/>
            <w:hideMark/>
          </w:tcPr>
          <w:p w14:paraId="371598F9" w14:textId="77777777" w:rsidR="004A5DC3" w:rsidRDefault="00A474E8">
            <w:pPr>
              <w:jc w:val="right"/>
              <w:rPr>
                <w:rFonts w:ascii="Calibri Light" w:hAnsi="Calibri Light" w:cs="Calibri Light"/>
                <w:b/>
                <w:bCs/>
                <w:color w:val="000000"/>
                <w:sz w:val="16"/>
                <w:szCs w:val="16"/>
              </w:rPr>
            </w:pPr>
            <w:r>
              <w:rPr>
                <w:rFonts w:ascii="Calibri Light" w:hAnsi="Calibri Light"/>
                <w:b/>
                <w:color w:val="000000"/>
                <w:sz w:val="16"/>
              </w:rPr>
              <w:t xml:space="preserve">1er janvier 2020 -     </w:t>
            </w:r>
          </w:p>
          <w:p w14:paraId="12890A6C" w14:textId="4B09191F" w:rsidR="00A474E8" w:rsidRPr="00A474E8" w:rsidRDefault="00A474E8">
            <w:pPr>
              <w:jc w:val="right"/>
              <w:rPr>
                <w:rFonts w:ascii="Calibri Light" w:hAnsi="Calibri Light" w:cs="Calibri Light"/>
                <w:b/>
                <w:bCs/>
                <w:color w:val="000000"/>
                <w:sz w:val="16"/>
                <w:szCs w:val="16"/>
              </w:rPr>
            </w:pPr>
            <w:r>
              <w:rPr>
                <w:rFonts w:ascii="Calibri Light" w:hAnsi="Calibri Light"/>
                <w:b/>
                <w:color w:val="000000"/>
                <w:sz w:val="16"/>
              </w:rPr>
              <w:t>30 juin 2020</w:t>
            </w:r>
          </w:p>
        </w:tc>
      </w:tr>
      <w:tr w:rsidR="00A474E8" w:rsidRPr="00A474E8" w14:paraId="422BA2DD" w14:textId="77777777" w:rsidTr="0061181E">
        <w:trPr>
          <w:trHeight w:val="20"/>
        </w:trPr>
        <w:tc>
          <w:tcPr>
            <w:tcW w:w="2817" w:type="pct"/>
            <w:gridSpan w:val="2"/>
            <w:tcBorders>
              <w:top w:val="nil"/>
              <w:left w:val="nil"/>
              <w:right w:val="nil"/>
            </w:tcBorders>
            <w:shd w:val="clear" w:color="auto" w:fill="auto"/>
            <w:noWrap/>
            <w:vAlign w:val="bottom"/>
            <w:hideMark/>
          </w:tcPr>
          <w:p w14:paraId="7066322E" w14:textId="77777777" w:rsidR="00A474E8" w:rsidRPr="00A474E8" w:rsidRDefault="00A474E8">
            <w:pPr>
              <w:rPr>
                <w:rFonts w:ascii="Calibri Light" w:hAnsi="Calibri Light" w:cs="Calibri Light"/>
                <w:b/>
                <w:bCs/>
                <w:color w:val="000000"/>
                <w:sz w:val="16"/>
                <w:szCs w:val="16"/>
              </w:rPr>
            </w:pPr>
            <w:r>
              <w:rPr>
                <w:rFonts w:ascii="Calibri Light" w:hAnsi="Calibri Light"/>
                <w:b/>
                <w:color w:val="000000"/>
                <w:sz w:val="16"/>
              </w:rPr>
              <w:t>Activités d’exploitation</w:t>
            </w:r>
          </w:p>
        </w:tc>
        <w:tc>
          <w:tcPr>
            <w:tcW w:w="496" w:type="pct"/>
            <w:tcBorders>
              <w:top w:val="nil"/>
              <w:left w:val="nil"/>
              <w:bottom w:val="nil"/>
              <w:right w:val="nil"/>
            </w:tcBorders>
            <w:shd w:val="clear" w:color="auto" w:fill="auto"/>
            <w:noWrap/>
            <w:vAlign w:val="bottom"/>
            <w:hideMark/>
          </w:tcPr>
          <w:p w14:paraId="1BA00420" w14:textId="77777777" w:rsidR="00A474E8" w:rsidRPr="00A474E8" w:rsidRDefault="00A474E8">
            <w:pPr>
              <w:rPr>
                <w:rFonts w:ascii="Calibri Light" w:hAnsi="Calibri Light" w:cs="Calibri Light"/>
                <w:b/>
                <w:bCs/>
                <w:color w:val="000000"/>
                <w:sz w:val="16"/>
                <w:szCs w:val="16"/>
              </w:rPr>
            </w:pPr>
          </w:p>
        </w:tc>
        <w:tc>
          <w:tcPr>
            <w:tcW w:w="789" w:type="pct"/>
            <w:tcBorders>
              <w:top w:val="nil"/>
              <w:left w:val="nil"/>
              <w:bottom w:val="nil"/>
              <w:right w:val="nil"/>
            </w:tcBorders>
            <w:shd w:val="clear" w:color="auto" w:fill="auto"/>
            <w:noWrap/>
            <w:vAlign w:val="bottom"/>
            <w:hideMark/>
          </w:tcPr>
          <w:p w14:paraId="64CB0B60" w14:textId="77777777" w:rsidR="00A474E8" w:rsidRPr="00A474E8" w:rsidRDefault="00A474E8">
            <w:pPr>
              <w:jc w:val="center"/>
              <w:rPr>
                <w:sz w:val="16"/>
                <w:szCs w:val="16"/>
              </w:rPr>
            </w:pPr>
          </w:p>
        </w:tc>
        <w:tc>
          <w:tcPr>
            <w:tcW w:w="898" w:type="pct"/>
            <w:tcBorders>
              <w:top w:val="nil"/>
              <w:left w:val="nil"/>
              <w:bottom w:val="nil"/>
              <w:right w:val="nil"/>
            </w:tcBorders>
            <w:shd w:val="clear" w:color="auto" w:fill="auto"/>
            <w:noWrap/>
            <w:vAlign w:val="bottom"/>
            <w:hideMark/>
          </w:tcPr>
          <w:p w14:paraId="5C805437" w14:textId="77777777" w:rsidR="00A474E8" w:rsidRPr="00A474E8" w:rsidRDefault="00A474E8">
            <w:pPr>
              <w:rPr>
                <w:sz w:val="16"/>
                <w:szCs w:val="16"/>
              </w:rPr>
            </w:pPr>
          </w:p>
        </w:tc>
      </w:tr>
      <w:tr w:rsidR="00A474E8" w:rsidRPr="00A474E8" w14:paraId="7671FF9F" w14:textId="77777777" w:rsidTr="0061181E">
        <w:trPr>
          <w:trHeight w:val="20"/>
        </w:trPr>
        <w:tc>
          <w:tcPr>
            <w:tcW w:w="2817" w:type="pct"/>
            <w:gridSpan w:val="2"/>
            <w:tcBorders>
              <w:top w:val="nil"/>
              <w:left w:val="nil"/>
              <w:right w:val="nil"/>
            </w:tcBorders>
            <w:shd w:val="clear" w:color="auto" w:fill="auto"/>
            <w:noWrap/>
            <w:vAlign w:val="bottom"/>
            <w:hideMark/>
          </w:tcPr>
          <w:p w14:paraId="1F13CCCE" w14:textId="77777777" w:rsidR="00A474E8" w:rsidRPr="00A474E8" w:rsidRDefault="00A474E8">
            <w:pPr>
              <w:rPr>
                <w:rFonts w:ascii="Calibri Light" w:hAnsi="Calibri Light" w:cs="Calibri Light"/>
                <w:color w:val="000000"/>
                <w:sz w:val="16"/>
                <w:szCs w:val="16"/>
              </w:rPr>
            </w:pPr>
            <w:r>
              <w:rPr>
                <w:rFonts w:ascii="Calibri Light" w:hAnsi="Calibri Light"/>
                <w:color w:val="000000"/>
                <w:sz w:val="16"/>
              </w:rPr>
              <w:t>Résultat avant impôts des activités poursuivies</w:t>
            </w:r>
          </w:p>
        </w:tc>
        <w:tc>
          <w:tcPr>
            <w:tcW w:w="496" w:type="pct"/>
            <w:tcBorders>
              <w:top w:val="nil"/>
              <w:left w:val="nil"/>
              <w:bottom w:val="nil"/>
              <w:right w:val="nil"/>
            </w:tcBorders>
            <w:shd w:val="clear" w:color="auto" w:fill="auto"/>
            <w:noWrap/>
            <w:vAlign w:val="bottom"/>
            <w:hideMark/>
          </w:tcPr>
          <w:p w14:paraId="55A4D07A" w14:textId="77777777" w:rsidR="00A474E8" w:rsidRPr="00A474E8" w:rsidRDefault="00A474E8">
            <w:pPr>
              <w:rPr>
                <w:rFonts w:ascii="Calibri Light" w:hAnsi="Calibri Light" w:cs="Calibri Light"/>
                <w:color w:val="000000"/>
                <w:sz w:val="16"/>
                <w:szCs w:val="16"/>
              </w:rPr>
            </w:pPr>
          </w:p>
        </w:tc>
        <w:tc>
          <w:tcPr>
            <w:tcW w:w="789" w:type="pct"/>
            <w:tcBorders>
              <w:top w:val="nil"/>
              <w:left w:val="nil"/>
              <w:bottom w:val="nil"/>
              <w:right w:val="nil"/>
            </w:tcBorders>
            <w:shd w:val="clear" w:color="auto" w:fill="auto"/>
            <w:noWrap/>
            <w:vAlign w:val="bottom"/>
            <w:hideMark/>
          </w:tcPr>
          <w:p w14:paraId="2EDEC9C3"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2 806 937</w:t>
            </w:r>
          </w:p>
        </w:tc>
        <w:tc>
          <w:tcPr>
            <w:tcW w:w="898" w:type="pct"/>
            <w:tcBorders>
              <w:top w:val="nil"/>
              <w:left w:val="nil"/>
              <w:bottom w:val="nil"/>
              <w:right w:val="nil"/>
            </w:tcBorders>
            <w:shd w:val="clear" w:color="auto" w:fill="auto"/>
            <w:noWrap/>
            <w:vAlign w:val="bottom"/>
            <w:hideMark/>
          </w:tcPr>
          <w:p w14:paraId="33EF17D4"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748 555</w:t>
            </w:r>
          </w:p>
        </w:tc>
      </w:tr>
      <w:tr w:rsidR="00A474E8" w:rsidRPr="00A474E8" w14:paraId="704588BF" w14:textId="77777777" w:rsidTr="0061181E">
        <w:trPr>
          <w:trHeight w:val="20"/>
        </w:trPr>
        <w:tc>
          <w:tcPr>
            <w:tcW w:w="2817" w:type="pct"/>
            <w:gridSpan w:val="2"/>
            <w:tcBorders>
              <w:top w:val="nil"/>
              <w:left w:val="nil"/>
              <w:right w:val="nil"/>
            </w:tcBorders>
            <w:shd w:val="clear" w:color="auto" w:fill="auto"/>
            <w:noWrap/>
            <w:vAlign w:val="bottom"/>
            <w:hideMark/>
          </w:tcPr>
          <w:p w14:paraId="0E686E47" w14:textId="77777777" w:rsidR="00A474E8" w:rsidRPr="00A474E8" w:rsidRDefault="00A474E8">
            <w:pPr>
              <w:rPr>
                <w:rFonts w:ascii="Calibri Light" w:hAnsi="Calibri Light" w:cs="Calibri Light"/>
                <w:color w:val="000000"/>
                <w:sz w:val="16"/>
                <w:szCs w:val="16"/>
              </w:rPr>
            </w:pPr>
            <w:r>
              <w:rPr>
                <w:rFonts w:ascii="Calibri Light" w:hAnsi="Calibri Light"/>
                <w:color w:val="000000"/>
                <w:sz w:val="16"/>
              </w:rPr>
              <w:t>Résultat avant impôts des actifs destinés à la vente</w:t>
            </w:r>
          </w:p>
        </w:tc>
        <w:tc>
          <w:tcPr>
            <w:tcW w:w="496" w:type="pct"/>
            <w:tcBorders>
              <w:top w:val="nil"/>
              <w:left w:val="nil"/>
              <w:bottom w:val="nil"/>
              <w:right w:val="nil"/>
            </w:tcBorders>
            <w:shd w:val="clear" w:color="auto" w:fill="auto"/>
            <w:noWrap/>
            <w:vAlign w:val="bottom"/>
            <w:hideMark/>
          </w:tcPr>
          <w:p w14:paraId="575B427A" w14:textId="77777777" w:rsidR="00A474E8" w:rsidRPr="00A474E8" w:rsidRDefault="00A474E8">
            <w:pPr>
              <w:rPr>
                <w:rFonts w:ascii="Calibri Light" w:hAnsi="Calibri Light" w:cs="Calibri Light"/>
                <w:color w:val="000000"/>
                <w:sz w:val="16"/>
                <w:szCs w:val="16"/>
              </w:rPr>
            </w:pPr>
          </w:p>
        </w:tc>
        <w:tc>
          <w:tcPr>
            <w:tcW w:w="789" w:type="pct"/>
            <w:tcBorders>
              <w:top w:val="nil"/>
              <w:left w:val="nil"/>
              <w:bottom w:val="single" w:sz="4" w:space="0" w:color="auto"/>
              <w:right w:val="nil"/>
            </w:tcBorders>
            <w:shd w:val="clear" w:color="auto" w:fill="auto"/>
            <w:noWrap/>
            <w:vAlign w:val="bottom"/>
            <w:hideMark/>
          </w:tcPr>
          <w:p w14:paraId="6312345C" w14:textId="58773A05" w:rsidR="00A474E8" w:rsidRPr="00A474E8" w:rsidRDefault="004A5DC3">
            <w:pPr>
              <w:jc w:val="right"/>
              <w:rPr>
                <w:rFonts w:ascii="Calibri Light" w:hAnsi="Calibri Light" w:cs="Calibri Light"/>
                <w:color w:val="000000"/>
                <w:sz w:val="16"/>
                <w:szCs w:val="16"/>
              </w:rPr>
            </w:pPr>
            <w:r>
              <w:rPr>
                <w:rFonts w:ascii="Calibri Light" w:hAnsi="Calibri Light"/>
                <w:color w:val="000000"/>
                <w:sz w:val="16"/>
              </w:rPr>
              <w:t xml:space="preserve">- </w:t>
            </w:r>
          </w:p>
        </w:tc>
        <w:tc>
          <w:tcPr>
            <w:tcW w:w="898" w:type="pct"/>
            <w:tcBorders>
              <w:top w:val="nil"/>
              <w:left w:val="nil"/>
              <w:bottom w:val="single" w:sz="4" w:space="0" w:color="auto"/>
              <w:right w:val="nil"/>
            </w:tcBorders>
            <w:shd w:val="clear" w:color="auto" w:fill="auto"/>
            <w:noWrap/>
            <w:vAlign w:val="bottom"/>
            <w:hideMark/>
          </w:tcPr>
          <w:p w14:paraId="4C6F98CB" w14:textId="70F9A85B" w:rsidR="00A474E8" w:rsidRPr="00A474E8" w:rsidRDefault="004A5DC3">
            <w:pPr>
              <w:jc w:val="right"/>
              <w:rPr>
                <w:rFonts w:ascii="Calibri Light" w:hAnsi="Calibri Light" w:cs="Calibri Light"/>
                <w:color w:val="000000"/>
                <w:sz w:val="16"/>
                <w:szCs w:val="16"/>
              </w:rPr>
            </w:pPr>
            <w:r>
              <w:rPr>
                <w:rFonts w:ascii="Calibri Light" w:hAnsi="Calibri Light"/>
                <w:color w:val="000000"/>
                <w:sz w:val="16"/>
              </w:rPr>
              <w:t xml:space="preserve">- </w:t>
            </w:r>
          </w:p>
        </w:tc>
      </w:tr>
      <w:tr w:rsidR="00A474E8" w:rsidRPr="00A474E8" w14:paraId="6EB0A222" w14:textId="77777777" w:rsidTr="0061181E">
        <w:trPr>
          <w:trHeight w:val="20"/>
        </w:trPr>
        <w:tc>
          <w:tcPr>
            <w:tcW w:w="2817" w:type="pct"/>
            <w:gridSpan w:val="2"/>
            <w:tcBorders>
              <w:left w:val="nil"/>
              <w:bottom w:val="nil"/>
              <w:right w:val="nil"/>
            </w:tcBorders>
            <w:shd w:val="clear" w:color="auto" w:fill="auto"/>
            <w:noWrap/>
            <w:vAlign w:val="bottom"/>
            <w:hideMark/>
          </w:tcPr>
          <w:p w14:paraId="369C01E5" w14:textId="77777777" w:rsidR="00A474E8" w:rsidRPr="0061181E" w:rsidRDefault="00A474E8">
            <w:pPr>
              <w:rPr>
                <w:rFonts w:ascii="Calibri Light" w:hAnsi="Calibri Light" w:cs="Calibri Light"/>
                <w:b/>
                <w:bCs/>
                <w:color w:val="000000"/>
                <w:sz w:val="16"/>
                <w:szCs w:val="16"/>
              </w:rPr>
            </w:pPr>
            <w:r>
              <w:rPr>
                <w:rFonts w:ascii="Calibri Light" w:hAnsi="Calibri Light"/>
                <w:b/>
                <w:color w:val="000000"/>
                <w:sz w:val="16"/>
              </w:rPr>
              <w:t>Résultat avant impôts</w:t>
            </w:r>
          </w:p>
        </w:tc>
        <w:tc>
          <w:tcPr>
            <w:tcW w:w="496" w:type="pct"/>
            <w:tcBorders>
              <w:top w:val="nil"/>
              <w:left w:val="nil"/>
              <w:bottom w:val="nil"/>
              <w:right w:val="nil"/>
            </w:tcBorders>
            <w:shd w:val="clear" w:color="auto" w:fill="auto"/>
            <w:noWrap/>
            <w:vAlign w:val="bottom"/>
            <w:hideMark/>
          </w:tcPr>
          <w:p w14:paraId="1A01876F" w14:textId="77777777" w:rsidR="00A474E8" w:rsidRPr="00A474E8" w:rsidRDefault="00A474E8">
            <w:pPr>
              <w:rPr>
                <w:rFonts w:ascii="Calibri Light" w:hAnsi="Calibri Light" w:cs="Calibri Light"/>
                <w:color w:val="000000"/>
                <w:sz w:val="16"/>
                <w:szCs w:val="16"/>
              </w:rPr>
            </w:pPr>
          </w:p>
        </w:tc>
        <w:tc>
          <w:tcPr>
            <w:tcW w:w="789" w:type="pct"/>
            <w:tcBorders>
              <w:top w:val="nil"/>
              <w:left w:val="nil"/>
              <w:bottom w:val="nil"/>
              <w:right w:val="nil"/>
            </w:tcBorders>
            <w:shd w:val="clear" w:color="auto" w:fill="auto"/>
            <w:noWrap/>
            <w:vAlign w:val="bottom"/>
            <w:hideMark/>
          </w:tcPr>
          <w:p w14:paraId="47B56D9D" w14:textId="77777777" w:rsidR="00A474E8" w:rsidRPr="00A474E8" w:rsidRDefault="00A474E8">
            <w:pPr>
              <w:jc w:val="right"/>
              <w:rPr>
                <w:rFonts w:ascii="Calibri Light" w:hAnsi="Calibri Light" w:cs="Calibri Light"/>
                <w:b/>
                <w:bCs/>
                <w:color w:val="000000"/>
                <w:sz w:val="16"/>
                <w:szCs w:val="16"/>
              </w:rPr>
            </w:pPr>
            <w:r>
              <w:rPr>
                <w:rFonts w:ascii="Calibri Light" w:hAnsi="Calibri Light"/>
                <w:b/>
                <w:color w:val="000000"/>
                <w:sz w:val="16"/>
              </w:rPr>
              <w:t>2 806 937</w:t>
            </w:r>
          </w:p>
        </w:tc>
        <w:tc>
          <w:tcPr>
            <w:tcW w:w="898" w:type="pct"/>
            <w:tcBorders>
              <w:top w:val="nil"/>
              <w:left w:val="nil"/>
              <w:bottom w:val="nil"/>
              <w:right w:val="nil"/>
            </w:tcBorders>
            <w:shd w:val="clear" w:color="auto" w:fill="auto"/>
            <w:noWrap/>
            <w:vAlign w:val="bottom"/>
            <w:hideMark/>
          </w:tcPr>
          <w:p w14:paraId="163AF408" w14:textId="77777777" w:rsidR="00A474E8" w:rsidRPr="00A474E8" w:rsidRDefault="00A474E8">
            <w:pPr>
              <w:jc w:val="right"/>
              <w:rPr>
                <w:rFonts w:ascii="Calibri Light" w:hAnsi="Calibri Light" w:cs="Calibri Light"/>
                <w:b/>
                <w:bCs/>
                <w:color w:val="000000"/>
                <w:sz w:val="16"/>
                <w:szCs w:val="16"/>
              </w:rPr>
            </w:pPr>
            <w:r>
              <w:rPr>
                <w:rFonts w:ascii="Calibri Light" w:hAnsi="Calibri Light"/>
                <w:b/>
                <w:color w:val="000000"/>
                <w:sz w:val="16"/>
              </w:rPr>
              <w:t>748 555</w:t>
            </w:r>
          </w:p>
        </w:tc>
      </w:tr>
      <w:tr w:rsidR="00A474E8" w:rsidRPr="00A474E8" w14:paraId="2804AFAA" w14:textId="77777777" w:rsidTr="00C56737">
        <w:trPr>
          <w:trHeight w:val="20"/>
        </w:trPr>
        <w:tc>
          <w:tcPr>
            <w:tcW w:w="4102" w:type="pct"/>
            <w:gridSpan w:val="4"/>
            <w:tcBorders>
              <w:top w:val="nil"/>
              <w:left w:val="nil"/>
              <w:bottom w:val="nil"/>
              <w:right w:val="nil"/>
            </w:tcBorders>
            <w:shd w:val="clear" w:color="auto" w:fill="auto"/>
            <w:noWrap/>
            <w:vAlign w:val="bottom"/>
            <w:hideMark/>
          </w:tcPr>
          <w:p w14:paraId="799E4C59" w14:textId="77777777" w:rsidR="00C56737" w:rsidRDefault="00A474E8">
            <w:pPr>
              <w:rPr>
                <w:rFonts w:ascii="Calibri Light" w:hAnsi="Calibri Light" w:cs="Calibri Light"/>
                <w:i/>
                <w:iCs/>
                <w:color w:val="000000"/>
                <w:sz w:val="16"/>
                <w:szCs w:val="16"/>
              </w:rPr>
            </w:pPr>
            <w:r>
              <w:rPr>
                <w:rFonts w:ascii="Calibri Light" w:hAnsi="Calibri Light"/>
                <w:i/>
                <w:color w:val="000000"/>
                <w:sz w:val="16"/>
              </w:rPr>
              <w:t>Ajustements pour réconcilier le résultat avant impôts avec le flux de trésorerie</w:t>
            </w:r>
          </w:p>
          <w:p w14:paraId="0948DA48" w14:textId="79F2FB44" w:rsidR="00A474E8" w:rsidRPr="00A474E8" w:rsidRDefault="00A474E8">
            <w:pPr>
              <w:rPr>
                <w:rFonts w:ascii="Calibri Light" w:hAnsi="Calibri Light" w:cs="Calibri Light"/>
                <w:i/>
                <w:iCs/>
                <w:color w:val="000000"/>
                <w:sz w:val="16"/>
                <w:szCs w:val="16"/>
              </w:rPr>
            </w:pPr>
            <w:r>
              <w:rPr>
                <w:rFonts w:ascii="Calibri Light" w:hAnsi="Calibri Light"/>
                <w:i/>
                <w:color w:val="000000"/>
                <w:sz w:val="16"/>
              </w:rPr>
              <w:t xml:space="preserve"> </w:t>
            </w:r>
            <w:proofErr w:type="gramStart"/>
            <w:r>
              <w:rPr>
                <w:rFonts w:ascii="Calibri Light" w:hAnsi="Calibri Light"/>
                <w:i/>
                <w:color w:val="000000"/>
                <w:sz w:val="16"/>
              </w:rPr>
              <w:t>net</w:t>
            </w:r>
            <w:proofErr w:type="gramEnd"/>
            <w:r>
              <w:rPr>
                <w:rFonts w:ascii="Calibri Light" w:hAnsi="Calibri Light"/>
                <w:i/>
                <w:color w:val="000000"/>
                <w:sz w:val="16"/>
              </w:rPr>
              <w:t xml:space="preserve"> des activités d'exploitation :</w:t>
            </w:r>
          </w:p>
        </w:tc>
        <w:tc>
          <w:tcPr>
            <w:tcW w:w="898" w:type="pct"/>
            <w:tcBorders>
              <w:top w:val="nil"/>
              <w:left w:val="nil"/>
              <w:bottom w:val="nil"/>
              <w:right w:val="nil"/>
            </w:tcBorders>
            <w:shd w:val="clear" w:color="auto" w:fill="auto"/>
            <w:noWrap/>
            <w:vAlign w:val="bottom"/>
            <w:hideMark/>
          </w:tcPr>
          <w:p w14:paraId="4AEAAD3C" w14:textId="77777777" w:rsidR="00A474E8" w:rsidRPr="00A474E8" w:rsidRDefault="00A474E8">
            <w:pPr>
              <w:rPr>
                <w:rFonts w:ascii="Calibri Light" w:hAnsi="Calibri Light" w:cs="Calibri Light"/>
                <w:i/>
                <w:iCs/>
                <w:color w:val="000000"/>
                <w:sz w:val="16"/>
                <w:szCs w:val="16"/>
              </w:rPr>
            </w:pPr>
          </w:p>
        </w:tc>
      </w:tr>
      <w:tr w:rsidR="00A474E8" w:rsidRPr="00A474E8" w14:paraId="4C6DF628" w14:textId="77777777" w:rsidTr="00C56737">
        <w:trPr>
          <w:trHeight w:val="20"/>
        </w:trPr>
        <w:tc>
          <w:tcPr>
            <w:tcW w:w="83" w:type="pct"/>
            <w:tcBorders>
              <w:top w:val="nil"/>
              <w:left w:val="nil"/>
              <w:bottom w:val="nil"/>
              <w:right w:val="nil"/>
            </w:tcBorders>
            <w:shd w:val="clear" w:color="auto" w:fill="auto"/>
            <w:noWrap/>
            <w:vAlign w:val="bottom"/>
            <w:hideMark/>
          </w:tcPr>
          <w:p w14:paraId="56D3D091" w14:textId="77777777" w:rsidR="00A474E8" w:rsidRPr="00A474E8" w:rsidRDefault="00A474E8">
            <w:pPr>
              <w:rPr>
                <w:sz w:val="16"/>
                <w:szCs w:val="16"/>
              </w:rPr>
            </w:pPr>
          </w:p>
        </w:tc>
        <w:tc>
          <w:tcPr>
            <w:tcW w:w="2734" w:type="pct"/>
            <w:tcBorders>
              <w:top w:val="nil"/>
              <w:left w:val="nil"/>
              <w:bottom w:val="nil"/>
              <w:right w:val="nil"/>
            </w:tcBorders>
            <w:shd w:val="clear" w:color="auto" w:fill="auto"/>
            <w:noWrap/>
            <w:vAlign w:val="bottom"/>
            <w:hideMark/>
          </w:tcPr>
          <w:p w14:paraId="16F53347" w14:textId="77777777" w:rsidR="00A474E8" w:rsidRPr="00A474E8" w:rsidRDefault="00A474E8">
            <w:pPr>
              <w:jc w:val="both"/>
              <w:rPr>
                <w:rFonts w:ascii="Calibri Light" w:hAnsi="Calibri Light" w:cs="Calibri Light"/>
                <w:color w:val="000000"/>
                <w:sz w:val="16"/>
                <w:szCs w:val="16"/>
              </w:rPr>
            </w:pPr>
            <w:r>
              <w:rPr>
                <w:rFonts w:ascii="Calibri Light" w:hAnsi="Calibri Light"/>
                <w:color w:val="000000"/>
                <w:sz w:val="16"/>
              </w:rPr>
              <w:t>Amortissement et dépréciation des immobilisations corporelles</w:t>
            </w:r>
          </w:p>
        </w:tc>
        <w:tc>
          <w:tcPr>
            <w:tcW w:w="496" w:type="pct"/>
            <w:tcBorders>
              <w:top w:val="nil"/>
              <w:left w:val="nil"/>
              <w:bottom w:val="nil"/>
              <w:right w:val="nil"/>
            </w:tcBorders>
            <w:shd w:val="clear" w:color="auto" w:fill="auto"/>
            <w:noWrap/>
            <w:vAlign w:val="bottom"/>
            <w:hideMark/>
          </w:tcPr>
          <w:p w14:paraId="57BCF426" w14:textId="77777777" w:rsidR="00A474E8" w:rsidRPr="00A474E8" w:rsidRDefault="00A474E8">
            <w:pPr>
              <w:jc w:val="center"/>
              <w:rPr>
                <w:rFonts w:ascii="Calibri Light" w:hAnsi="Calibri Light" w:cs="Calibri Light"/>
                <w:i/>
                <w:iCs/>
                <w:color w:val="000000"/>
                <w:sz w:val="16"/>
                <w:szCs w:val="16"/>
              </w:rPr>
            </w:pPr>
            <w:r>
              <w:rPr>
                <w:rFonts w:ascii="Calibri Light" w:hAnsi="Calibri Light"/>
                <w:i/>
                <w:color w:val="000000"/>
                <w:sz w:val="16"/>
              </w:rPr>
              <w:t>(36)</w:t>
            </w:r>
          </w:p>
        </w:tc>
        <w:tc>
          <w:tcPr>
            <w:tcW w:w="789" w:type="pct"/>
            <w:tcBorders>
              <w:top w:val="nil"/>
              <w:left w:val="nil"/>
              <w:bottom w:val="nil"/>
              <w:right w:val="nil"/>
            </w:tcBorders>
            <w:shd w:val="clear" w:color="auto" w:fill="auto"/>
            <w:noWrap/>
            <w:vAlign w:val="bottom"/>
            <w:hideMark/>
          </w:tcPr>
          <w:p w14:paraId="06EF28FB"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145 314</w:t>
            </w:r>
          </w:p>
        </w:tc>
        <w:tc>
          <w:tcPr>
            <w:tcW w:w="898" w:type="pct"/>
            <w:tcBorders>
              <w:top w:val="nil"/>
              <w:left w:val="nil"/>
              <w:bottom w:val="nil"/>
              <w:right w:val="nil"/>
            </w:tcBorders>
            <w:shd w:val="clear" w:color="auto" w:fill="auto"/>
            <w:noWrap/>
            <w:vAlign w:val="bottom"/>
            <w:hideMark/>
          </w:tcPr>
          <w:p w14:paraId="2003CA20"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114 604</w:t>
            </w:r>
          </w:p>
        </w:tc>
      </w:tr>
      <w:tr w:rsidR="00A474E8" w:rsidRPr="00A474E8" w14:paraId="1C027915" w14:textId="77777777" w:rsidTr="00C56737">
        <w:trPr>
          <w:trHeight w:val="20"/>
        </w:trPr>
        <w:tc>
          <w:tcPr>
            <w:tcW w:w="83" w:type="pct"/>
            <w:tcBorders>
              <w:top w:val="nil"/>
              <w:left w:val="nil"/>
              <w:bottom w:val="nil"/>
              <w:right w:val="nil"/>
            </w:tcBorders>
            <w:shd w:val="clear" w:color="auto" w:fill="auto"/>
            <w:noWrap/>
            <w:vAlign w:val="bottom"/>
            <w:hideMark/>
          </w:tcPr>
          <w:p w14:paraId="31892FC7" w14:textId="77777777" w:rsidR="00A474E8" w:rsidRPr="00A474E8" w:rsidRDefault="00A474E8">
            <w:pPr>
              <w:jc w:val="right"/>
              <w:rPr>
                <w:rFonts w:ascii="Calibri Light" w:hAnsi="Calibri Light" w:cs="Calibri Light"/>
                <w:color w:val="000000"/>
                <w:sz w:val="16"/>
                <w:szCs w:val="16"/>
              </w:rPr>
            </w:pPr>
          </w:p>
        </w:tc>
        <w:tc>
          <w:tcPr>
            <w:tcW w:w="2734" w:type="pct"/>
            <w:tcBorders>
              <w:top w:val="nil"/>
              <w:left w:val="nil"/>
              <w:bottom w:val="nil"/>
              <w:right w:val="nil"/>
            </w:tcBorders>
            <w:shd w:val="clear" w:color="auto" w:fill="auto"/>
            <w:noWrap/>
            <w:vAlign w:val="bottom"/>
            <w:hideMark/>
          </w:tcPr>
          <w:p w14:paraId="76FAB790" w14:textId="77777777" w:rsidR="00A474E8" w:rsidRPr="00A474E8" w:rsidRDefault="00A474E8">
            <w:pPr>
              <w:jc w:val="both"/>
              <w:rPr>
                <w:rFonts w:ascii="Calibri Light" w:hAnsi="Calibri Light" w:cs="Calibri Light"/>
                <w:color w:val="000000"/>
                <w:sz w:val="16"/>
                <w:szCs w:val="16"/>
              </w:rPr>
            </w:pPr>
            <w:r>
              <w:rPr>
                <w:rFonts w:ascii="Calibri Light" w:hAnsi="Calibri Light"/>
                <w:color w:val="000000"/>
                <w:sz w:val="16"/>
              </w:rPr>
              <w:t>Amortissement et dépréciation des immobilisations incorporelles et des droits d'utilisation</w:t>
            </w:r>
          </w:p>
        </w:tc>
        <w:tc>
          <w:tcPr>
            <w:tcW w:w="496" w:type="pct"/>
            <w:tcBorders>
              <w:top w:val="nil"/>
              <w:left w:val="nil"/>
              <w:bottom w:val="nil"/>
              <w:right w:val="nil"/>
            </w:tcBorders>
            <w:shd w:val="clear" w:color="auto" w:fill="auto"/>
            <w:noWrap/>
            <w:vAlign w:val="bottom"/>
            <w:hideMark/>
          </w:tcPr>
          <w:p w14:paraId="0B60FA17" w14:textId="77777777" w:rsidR="00A474E8" w:rsidRPr="00A474E8" w:rsidRDefault="00A474E8">
            <w:pPr>
              <w:jc w:val="center"/>
              <w:rPr>
                <w:rFonts w:ascii="Calibri Light" w:hAnsi="Calibri Light" w:cs="Calibri Light"/>
                <w:i/>
                <w:iCs/>
                <w:color w:val="000000"/>
                <w:sz w:val="16"/>
                <w:szCs w:val="16"/>
              </w:rPr>
            </w:pPr>
            <w:r>
              <w:rPr>
                <w:rFonts w:ascii="Calibri Light" w:hAnsi="Calibri Light"/>
                <w:i/>
                <w:color w:val="000000"/>
                <w:sz w:val="16"/>
              </w:rPr>
              <w:t>(36)</w:t>
            </w:r>
          </w:p>
        </w:tc>
        <w:tc>
          <w:tcPr>
            <w:tcW w:w="789" w:type="pct"/>
            <w:tcBorders>
              <w:top w:val="nil"/>
              <w:left w:val="nil"/>
              <w:bottom w:val="nil"/>
              <w:right w:val="nil"/>
            </w:tcBorders>
            <w:shd w:val="clear" w:color="auto" w:fill="auto"/>
            <w:noWrap/>
            <w:vAlign w:val="bottom"/>
            <w:hideMark/>
          </w:tcPr>
          <w:p w14:paraId="2266F1B0"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771 064</w:t>
            </w:r>
          </w:p>
        </w:tc>
        <w:tc>
          <w:tcPr>
            <w:tcW w:w="898" w:type="pct"/>
            <w:tcBorders>
              <w:top w:val="nil"/>
              <w:left w:val="nil"/>
              <w:bottom w:val="nil"/>
              <w:right w:val="nil"/>
            </w:tcBorders>
            <w:shd w:val="clear" w:color="000000" w:fill="FFFFFF"/>
            <w:noWrap/>
            <w:vAlign w:val="bottom"/>
            <w:hideMark/>
          </w:tcPr>
          <w:p w14:paraId="6252C2A7"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591 065</w:t>
            </w:r>
          </w:p>
        </w:tc>
      </w:tr>
      <w:tr w:rsidR="00A474E8" w:rsidRPr="00A474E8" w14:paraId="5D471B58" w14:textId="77777777" w:rsidTr="00C56737">
        <w:trPr>
          <w:trHeight w:val="20"/>
        </w:trPr>
        <w:tc>
          <w:tcPr>
            <w:tcW w:w="83" w:type="pct"/>
            <w:tcBorders>
              <w:top w:val="nil"/>
              <w:left w:val="nil"/>
              <w:bottom w:val="nil"/>
              <w:right w:val="nil"/>
            </w:tcBorders>
            <w:shd w:val="clear" w:color="auto" w:fill="auto"/>
            <w:noWrap/>
            <w:vAlign w:val="bottom"/>
            <w:hideMark/>
          </w:tcPr>
          <w:p w14:paraId="140B50C6" w14:textId="77777777" w:rsidR="00A474E8" w:rsidRPr="00A474E8" w:rsidRDefault="00A474E8">
            <w:pPr>
              <w:jc w:val="right"/>
              <w:outlineLvl w:val="0"/>
              <w:rPr>
                <w:rFonts w:ascii="Calibri Light" w:hAnsi="Calibri Light" w:cs="Calibri Light"/>
                <w:color w:val="000000"/>
                <w:sz w:val="16"/>
                <w:szCs w:val="16"/>
              </w:rPr>
            </w:pPr>
          </w:p>
        </w:tc>
        <w:tc>
          <w:tcPr>
            <w:tcW w:w="2734" w:type="pct"/>
            <w:tcBorders>
              <w:top w:val="nil"/>
              <w:left w:val="nil"/>
              <w:bottom w:val="nil"/>
              <w:right w:val="nil"/>
            </w:tcBorders>
            <w:shd w:val="clear" w:color="auto" w:fill="auto"/>
            <w:noWrap/>
            <w:vAlign w:val="bottom"/>
            <w:hideMark/>
          </w:tcPr>
          <w:p w14:paraId="11267D92" w14:textId="77777777" w:rsidR="00A474E8" w:rsidRPr="00A474E8" w:rsidRDefault="00A474E8">
            <w:pPr>
              <w:jc w:val="both"/>
              <w:rPr>
                <w:rFonts w:ascii="Calibri Light" w:hAnsi="Calibri Light" w:cs="Calibri Light"/>
                <w:color w:val="000000"/>
                <w:sz w:val="16"/>
                <w:szCs w:val="16"/>
              </w:rPr>
            </w:pPr>
            <w:r>
              <w:rPr>
                <w:rFonts w:ascii="Calibri Light" w:hAnsi="Calibri Light"/>
                <w:color w:val="000000"/>
                <w:sz w:val="16"/>
              </w:rPr>
              <w:t>Provisions liées à des avantages sociaux futurs</w:t>
            </w:r>
          </w:p>
        </w:tc>
        <w:tc>
          <w:tcPr>
            <w:tcW w:w="496" w:type="pct"/>
            <w:tcBorders>
              <w:top w:val="nil"/>
              <w:left w:val="nil"/>
              <w:bottom w:val="nil"/>
              <w:right w:val="nil"/>
            </w:tcBorders>
            <w:shd w:val="clear" w:color="auto" w:fill="auto"/>
            <w:noWrap/>
            <w:vAlign w:val="bottom"/>
            <w:hideMark/>
          </w:tcPr>
          <w:p w14:paraId="0CAC0204" w14:textId="77777777" w:rsidR="00A474E8" w:rsidRPr="00A474E8" w:rsidRDefault="00A474E8">
            <w:pPr>
              <w:jc w:val="center"/>
              <w:rPr>
                <w:rFonts w:ascii="Calibri Light" w:hAnsi="Calibri Light" w:cs="Calibri Light"/>
                <w:i/>
                <w:iCs/>
                <w:color w:val="000000"/>
                <w:sz w:val="16"/>
                <w:szCs w:val="16"/>
              </w:rPr>
            </w:pPr>
            <w:r>
              <w:rPr>
                <w:rFonts w:ascii="Calibri Light" w:hAnsi="Calibri Light"/>
                <w:i/>
                <w:color w:val="000000"/>
                <w:sz w:val="16"/>
              </w:rPr>
              <w:t>(20)</w:t>
            </w:r>
          </w:p>
        </w:tc>
        <w:tc>
          <w:tcPr>
            <w:tcW w:w="789" w:type="pct"/>
            <w:tcBorders>
              <w:top w:val="nil"/>
              <w:left w:val="nil"/>
              <w:bottom w:val="nil"/>
              <w:right w:val="nil"/>
            </w:tcBorders>
            <w:shd w:val="clear" w:color="auto" w:fill="auto"/>
            <w:noWrap/>
            <w:vAlign w:val="bottom"/>
            <w:hideMark/>
          </w:tcPr>
          <w:p w14:paraId="3DD5FADE"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88 107</w:t>
            </w:r>
          </w:p>
        </w:tc>
        <w:tc>
          <w:tcPr>
            <w:tcW w:w="898" w:type="pct"/>
            <w:tcBorders>
              <w:top w:val="nil"/>
              <w:left w:val="nil"/>
              <w:bottom w:val="nil"/>
              <w:right w:val="nil"/>
            </w:tcBorders>
            <w:shd w:val="clear" w:color="auto" w:fill="auto"/>
            <w:noWrap/>
            <w:vAlign w:val="bottom"/>
            <w:hideMark/>
          </w:tcPr>
          <w:p w14:paraId="5505DEF4"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83 284</w:t>
            </w:r>
          </w:p>
        </w:tc>
      </w:tr>
      <w:tr w:rsidR="00A474E8" w:rsidRPr="00A474E8" w14:paraId="494A6A95" w14:textId="77777777" w:rsidTr="00C56737">
        <w:trPr>
          <w:trHeight w:val="20"/>
        </w:trPr>
        <w:tc>
          <w:tcPr>
            <w:tcW w:w="83" w:type="pct"/>
            <w:tcBorders>
              <w:top w:val="nil"/>
              <w:left w:val="nil"/>
              <w:bottom w:val="nil"/>
              <w:right w:val="nil"/>
            </w:tcBorders>
            <w:shd w:val="clear" w:color="auto" w:fill="auto"/>
            <w:noWrap/>
            <w:vAlign w:val="bottom"/>
            <w:hideMark/>
          </w:tcPr>
          <w:p w14:paraId="66C040C8" w14:textId="77777777" w:rsidR="00A474E8" w:rsidRPr="00A474E8" w:rsidRDefault="00A474E8">
            <w:pPr>
              <w:jc w:val="right"/>
              <w:rPr>
                <w:rFonts w:ascii="Calibri Light" w:hAnsi="Calibri Light" w:cs="Calibri Light"/>
                <w:color w:val="000000"/>
                <w:sz w:val="16"/>
                <w:szCs w:val="16"/>
              </w:rPr>
            </w:pPr>
          </w:p>
        </w:tc>
        <w:tc>
          <w:tcPr>
            <w:tcW w:w="2734" w:type="pct"/>
            <w:tcBorders>
              <w:top w:val="nil"/>
              <w:left w:val="nil"/>
              <w:bottom w:val="nil"/>
              <w:right w:val="nil"/>
            </w:tcBorders>
            <w:shd w:val="clear" w:color="auto" w:fill="auto"/>
            <w:noWrap/>
            <w:vAlign w:val="bottom"/>
            <w:hideMark/>
          </w:tcPr>
          <w:p w14:paraId="78822DEA" w14:textId="77777777" w:rsidR="00A474E8" w:rsidRPr="00A474E8" w:rsidRDefault="00A474E8">
            <w:pPr>
              <w:jc w:val="both"/>
              <w:rPr>
                <w:rFonts w:ascii="Calibri Light" w:hAnsi="Calibri Light" w:cs="Calibri Light"/>
                <w:color w:val="000000"/>
                <w:sz w:val="16"/>
                <w:szCs w:val="16"/>
              </w:rPr>
            </w:pPr>
            <w:r>
              <w:rPr>
                <w:rFonts w:ascii="Calibri Light" w:hAnsi="Calibri Light"/>
                <w:color w:val="000000"/>
                <w:sz w:val="16"/>
              </w:rPr>
              <w:t>Produits financiers</w:t>
            </w:r>
          </w:p>
        </w:tc>
        <w:tc>
          <w:tcPr>
            <w:tcW w:w="496" w:type="pct"/>
            <w:tcBorders>
              <w:top w:val="nil"/>
              <w:left w:val="nil"/>
              <w:bottom w:val="nil"/>
              <w:right w:val="nil"/>
            </w:tcBorders>
            <w:shd w:val="clear" w:color="auto" w:fill="auto"/>
            <w:noWrap/>
            <w:vAlign w:val="bottom"/>
            <w:hideMark/>
          </w:tcPr>
          <w:p w14:paraId="3528747A" w14:textId="77777777" w:rsidR="00A474E8" w:rsidRPr="00A474E8" w:rsidRDefault="00A474E8">
            <w:pPr>
              <w:jc w:val="center"/>
              <w:rPr>
                <w:rFonts w:ascii="Calibri Light" w:hAnsi="Calibri Light" w:cs="Calibri Light"/>
                <w:i/>
                <w:iCs/>
                <w:color w:val="000000"/>
                <w:sz w:val="16"/>
                <w:szCs w:val="16"/>
              </w:rPr>
            </w:pPr>
            <w:r>
              <w:rPr>
                <w:rFonts w:ascii="Calibri Light" w:hAnsi="Calibri Light"/>
                <w:i/>
                <w:color w:val="000000"/>
                <w:sz w:val="16"/>
              </w:rPr>
              <w:t>(38)</w:t>
            </w:r>
          </w:p>
        </w:tc>
        <w:tc>
          <w:tcPr>
            <w:tcW w:w="789" w:type="pct"/>
            <w:tcBorders>
              <w:top w:val="nil"/>
              <w:left w:val="nil"/>
              <w:bottom w:val="nil"/>
              <w:right w:val="nil"/>
            </w:tcBorders>
            <w:shd w:val="clear" w:color="auto" w:fill="auto"/>
            <w:noWrap/>
            <w:vAlign w:val="bottom"/>
            <w:hideMark/>
          </w:tcPr>
          <w:p w14:paraId="6C093992"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(14 179)</w:t>
            </w:r>
          </w:p>
        </w:tc>
        <w:tc>
          <w:tcPr>
            <w:tcW w:w="898" w:type="pct"/>
            <w:tcBorders>
              <w:top w:val="nil"/>
              <w:left w:val="nil"/>
              <w:bottom w:val="nil"/>
              <w:right w:val="nil"/>
            </w:tcBorders>
            <w:shd w:val="clear" w:color="auto" w:fill="auto"/>
            <w:noWrap/>
            <w:vAlign w:val="bottom"/>
            <w:hideMark/>
          </w:tcPr>
          <w:p w14:paraId="38F27A4B"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(32 798)</w:t>
            </w:r>
          </w:p>
        </w:tc>
      </w:tr>
      <w:tr w:rsidR="00A474E8" w:rsidRPr="00A474E8" w14:paraId="07862E7D" w14:textId="77777777" w:rsidTr="00C56737">
        <w:trPr>
          <w:trHeight w:val="20"/>
        </w:trPr>
        <w:tc>
          <w:tcPr>
            <w:tcW w:w="83" w:type="pct"/>
            <w:tcBorders>
              <w:top w:val="nil"/>
              <w:left w:val="nil"/>
              <w:bottom w:val="nil"/>
              <w:right w:val="nil"/>
            </w:tcBorders>
            <w:shd w:val="clear" w:color="auto" w:fill="auto"/>
            <w:noWrap/>
            <w:vAlign w:val="bottom"/>
            <w:hideMark/>
          </w:tcPr>
          <w:p w14:paraId="46E7C014" w14:textId="77777777" w:rsidR="00A474E8" w:rsidRPr="00A474E8" w:rsidRDefault="00A474E8">
            <w:pPr>
              <w:jc w:val="right"/>
              <w:rPr>
                <w:rFonts w:ascii="Calibri Light" w:hAnsi="Calibri Light" w:cs="Calibri Light"/>
                <w:color w:val="000000"/>
                <w:sz w:val="16"/>
                <w:szCs w:val="16"/>
              </w:rPr>
            </w:pPr>
          </w:p>
        </w:tc>
        <w:tc>
          <w:tcPr>
            <w:tcW w:w="2734" w:type="pct"/>
            <w:tcBorders>
              <w:top w:val="nil"/>
              <w:left w:val="nil"/>
              <w:bottom w:val="nil"/>
              <w:right w:val="nil"/>
            </w:tcBorders>
            <w:shd w:val="clear" w:color="auto" w:fill="auto"/>
            <w:noWrap/>
            <w:vAlign w:val="bottom"/>
            <w:hideMark/>
          </w:tcPr>
          <w:p w14:paraId="43C092F6" w14:textId="77777777" w:rsidR="00A474E8" w:rsidRPr="00A474E8" w:rsidRDefault="00A474E8">
            <w:pPr>
              <w:jc w:val="both"/>
              <w:rPr>
                <w:rFonts w:ascii="Calibri Light" w:hAnsi="Calibri Light" w:cs="Calibri Light"/>
                <w:color w:val="000000"/>
                <w:sz w:val="16"/>
                <w:szCs w:val="16"/>
              </w:rPr>
            </w:pPr>
            <w:r>
              <w:rPr>
                <w:rFonts w:ascii="Calibri Light" w:hAnsi="Calibri Light"/>
                <w:color w:val="000000"/>
                <w:sz w:val="16"/>
              </w:rPr>
              <w:t>Charges financières</w:t>
            </w:r>
          </w:p>
        </w:tc>
        <w:tc>
          <w:tcPr>
            <w:tcW w:w="496" w:type="pct"/>
            <w:tcBorders>
              <w:top w:val="nil"/>
              <w:left w:val="nil"/>
              <w:bottom w:val="nil"/>
              <w:right w:val="nil"/>
            </w:tcBorders>
            <w:shd w:val="clear" w:color="auto" w:fill="auto"/>
            <w:noWrap/>
            <w:vAlign w:val="bottom"/>
            <w:hideMark/>
          </w:tcPr>
          <w:p w14:paraId="4DD2BD16" w14:textId="77777777" w:rsidR="00A474E8" w:rsidRPr="00A474E8" w:rsidRDefault="00A474E8">
            <w:pPr>
              <w:jc w:val="center"/>
              <w:rPr>
                <w:rFonts w:ascii="Calibri Light" w:hAnsi="Calibri Light" w:cs="Calibri Light"/>
                <w:i/>
                <w:iCs/>
                <w:color w:val="000000"/>
                <w:sz w:val="16"/>
                <w:szCs w:val="16"/>
              </w:rPr>
            </w:pPr>
            <w:r>
              <w:rPr>
                <w:rFonts w:ascii="Calibri Light" w:hAnsi="Calibri Light"/>
                <w:i/>
                <w:color w:val="000000"/>
                <w:sz w:val="16"/>
              </w:rPr>
              <w:t>(37)</w:t>
            </w:r>
          </w:p>
        </w:tc>
        <w:tc>
          <w:tcPr>
            <w:tcW w:w="789" w:type="pct"/>
            <w:tcBorders>
              <w:top w:val="nil"/>
              <w:left w:val="nil"/>
              <w:bottom w:val="nil"/>
              <w:right w:val="nil"/>
            </w:tcBorders>
            <w:shd w:val="clear" w:color="auto" w:fill="auto"/>
            <w:noWrap/>
            <w:vAlign w:val="bottom"/>
            <w:hideMark/>
          </w:tcPr>
          <w:p w14:paraId="28ACC70A"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246 184</w:t>
            </w:r>
          </w:p>
        </w:tc>
        <w:tc>
          <w:tcPr>
            <w:tcW w:w="898" w:type="pct"/>
            <w:tcBorders>
              <w:top w:val="nil"/>
              <w:left w:val="nil"/>
              <w:bottom w:val="nil"/>
              <w:right w:val="nil"/>
            </w:tcBorders>
            <w:shd w:val="clear" w:color="auto" w:fill="auto"/>
            <w:noWrap/>
            <w:vAlign w:val="bottom"/>
            <w:hideMark/>
          </w:tcPr>
          <w:p w14:paraId="075CA081"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181 558</w:t>
            </w:r>
          </w:p>
        </w:tc>
      </w:tr>
      <w:tr w:rsidR="00A474E8" w:rsidRPr="00A474E8" w14:paraId="1DCE38F1" w14:textId="77777777" w:rsidTr="00C56737">
        <w:trPr>
          <w:trHeight w:val="20"/>
        </w:trPr>
        <w:tc>
          <w:tcPr>
            <w:tcW w:w="2817" w:type="pct"/>
            <w:gridSpan w:val="2"/>
            <w:tcBorders>
              <w:top w:val="nil"/>
              <w:left w:val="nil"/>
              <w:bottom w:val="nil"/>
              <w:right w:val="nil"/>
            </w:tcBorders>
            <w:shd w:val="clear" w:color="auto" w:fill="auto"/>
            <w:noWrap/>
            <w:vAlign w:val="bottom"/>
            <w:hideMark/>
          </w:tcPr>
          <w:p w14:paraId="03E9B93E" w14:textId="77777777" w:rsidR="00A474E8" w:rsidRPr="00A474E8" w:rsidRDefault="00A474E8">
            <w:pPr>
              <w:rPr>
                <w:rFonts w:ascii="Calibri Light" w:hAnsi="Calibri Light" w:cs="Calibri Light"/>
                <w:color w:val="000000"/>
                <w:sz w:val="16"/>
                <w:szCs w:val="16"/>
              </w:rPr>
            </w:pPr>
            <w:r>
              <w:rPr>
                <w:rFonts w:ascii="Calibri Light" w:hAnsi="Calibri Light"/>
                <w:color w:val="000000"/>
                <w:sz w:val="16"/>
              </w:rPr>
              <w:t>Variations du fonds de roulement</w:t>
            </w:r>
          </w:p>
        </w:tc>
        <w:tc>
          <w:tcPr>
            <w:tcW w:w="496" w:type="pct"/>
            <w:tcBorders>
              <w:top w:val="nil"/>
              <w:left w:val="nil"/>
              <w:bottom w:val="nil"/>
              <w:right w:val="nil"/>
            </w:tcBorders>
            <w:shd w:val="clear" w:color="auto" w:fill="auto"/>
            <w:noWrap/>
            <w:vAlign w:val="bottom"/>
            <w:hideMark/>
          </w:tcPr>
          <w:p w14:paraId="38742690" w14:textId="77777777" w:rsidR="00A474E8" w:rsidRPr="00A474E8" w:rsidRDefault="00A474E8">
            <w:pPr>
              <w:rPr>
                <w:rFonts w:ascii="Calibri Light" w:hAnsi="Calibri Light" w:cs="Calibri Light"/>
                <w:color w:val="000000"/>
                <w:sz w:val="16"/>
                <w:szCs w:val="16"/>
              </w:rPr>
            </w:pPr>
          </w:p>
        </w:tc>
        <w:tc>
          <w:tcPr>
            <w:tcW w:w="789" w:type="pct"/>
            <w:tcBorders>
              <w:top w:val="nil"/>
              <w:left w:val="nil"/>
              <w:bottom w:val="nil"/>
              <w:right w:val="nil"/>
            </w:tcBorders>
            <w:shd w:val="clear" w:color="auto" w:fill="auto"/>
            <w:noWrap/>
            <w:vAlign w:val="bottom"/>
            <w:hideMark/>
          </w:tcPr>
          <w:p w14:paraId="5AF82E23" w14:textId="77777777" w:rsidR="00A474E8" w:rsidRPr="00A474E8" w:rsidRDefault="00A474E8">
            <w:pPr>
              <w:jc w:val="center"/>
              <w:rPr>
                <w:sz w:val="16"/>
                <w:szCs w:val="16"/>
              </w:rPr>
            </w:pPr>
          </w:p>
        </w:tc>
        <w:tc>
          <w:tcPr>
            <w:tcW w:w="898" w:type="pct"/>
            <w:tcBorders>
              <w:top w:val="nil"/>
              <w:left w:val="nil"/>
              <w:bottom w:val="nil"/>
              <w:right w:val="nil"/>
            </w:tcBorders>
            <w:shd w:val="clear" w:color="auto" w:fill="auto"/>
            <w:noWrap/>
            <w:vAlign w:val="bottom"/>
            <w:hideMark/>
          </w:tcPr>
          <w:p w14:paraId="7E0EEE05" w14:textId="77777777" w:rsidR="00A474E8" w:rsidRPr="00A474E8" w:rsidRDefault="00A474E8">
            <w:pPr>
              <w:rPr>
                <w:sz w:val="16"/>
                <w:szCs w:val="16"/>
              </w:rPr>
            </w:pPr>
          </w:p>
        </w:tc>
      </w:tr>
      <w:tr w:rsidR="00A474E8" w:rsidRPr="00A474E8" w14:paraId="7E692A91" w14:textId="77777777" w:rsidTr="00C56737">
        <w:trPr>
          <w:trHeight w:val="20"/>
        </w:trPr>
        <w:tc>
          <w:tcPr>
            <w:tcW w:w="83" w:type="pct"/>
            <w:tcBorders>
              <w:top w:val="nil"/>
              <w:left w:val="nil"/>
              <w:bottom w:val="nil"/>
              <w:right w:val="nil"/>
            </w:tcBorders>
            <w:shd w:val="clear" w:color="auto" w:fill="auto"/>
            <w:noWrap/>
            <w:vAlign w:val="bottom"/>
            <w:hideMark/>
          </w:tcPr>
          <w:p w14:paraId="0B6B4A99" w14:textId="77777777" w:rsidR="00A474E8" w:rsidRPr="00A474E8" w:rsidRDefault="00A474E8">
            <w:pPr>
              <w:rPr>
                <w:sz w:val="16"/>
                <w:szCs w:val="16"/>
              </w:rPr>
            </w:pPr>
          </w:p>
        </w:tc>
        <w:tc>
          <w:tcPr>
            <w:tcW w:w="2734" w:type="pct"/>
            <w:tcBorders>
              <w:top w:val="nil"/>
              <w:left w:val="nil"/>
              <w:bottom w:val="nil"/>
              <w:right w:val="nil"/>
            </w:tcBorders>
            <w:shd w:val="clear" w:color="auto" w:fill="auto"/>
            <w:noWrap/>
            <w:vAlign w:val="bottom"/>
            <w:hideMark/>
          </w:tcPr>
          <w:p w14:paraId="2E198947" w14:textId="77777777" w:rsidR="00A474E8" w:rsidRPr="00A474E8" w:rsidRDefault="00A474E8">
            <w:pPr>
              <w:jc w:val="both"/>
              <w:rPr>
                <w:rFonts w:ascii="Calibri Light" w:hAnsi="Calibri Light" w:cs="Calibri Light"/>
                <w:color w:val="000000"/>
                <w:sz w:val="16"/>
                <w:szCs w:val="16"/>
              </w:rPr>
            </w:pPr>
            <w:r>
              <w:rPr>
                <w:rFonts w:ascii="Calibri Light" w:hAnsi="Calibri Light"/>
                <w:color w:val="000000"/>
                <w:sz w:val="16"/>
              </w:rPr>
              <w:t xml:space="preserve">Créances commerciales </w:t>
            </w:r>
          </w:p>
        </w:tc>
        <w:tc>
          <w:tcPr>
            <w:tcW w:w="496" w:type="pct"/>
            <w:tcBorders>
              <w:top w:val="nil"/>
              <w:left w:val="nil"/>
              <w:bottom w:val="nil"/>
              <w:right w:val="nil"/>
            </w:tcBorders>
            <w:shd w:val="clear" w:color="auto" w:fill="auto"/>
            <w:noWrap/>
            <w:vAlign w:val="bottom"/>
            <w:hideMark/>
          </w:tcPr>
          <w:p w14:paraId="24B43D64" w14:textId="77777777" w:rsidR="00A474E8" w:rsidRPr="00A474E8" w:rsidRDefault="00A474E8">
            <w:pPr>
              <w:jc w:val="center"/>
              <w:rPr>
                <w:rFonts w:ascii="Calibri Light" w:hAnsi="Calibri Light" w:cs="Calibri Light"/>
                <w:i/>
                <w:iCs/>
                <w:color w:val="000000"/>
                <w:sz w:val="16"/>
                <w:szCs w:val="16"/>
              </w:rPr>
            </w:pPr>
            <w:r>
              <w:rPr>
                <w:rFonts w:ascii="Calibri Light" w:hAnsi="Calibri Light"/>
                <w:i/>
                <w:color w:val="000000"/>
                <w:sz w:val="16"/>
              </w:rPr>
              <w:t>(13)</w:t>
            </w:r>
          </w:p>
        </w:tc>
        <w:tc>
          <w:tcPr>
            <w:tcW w:w="789" w:type="pct"/>
            <w:tcBorders>
              <w:top w:val="nil"/>
              <w:left w:val="nil"/>
              <w:bottom w:val="nil"/>
              <w:right w:val="nil"/>
            </w:tcBorders>
            <w:shd w:val="clear" w:color="auto" w:fill="auto"/>
            <w:noWrap/>
            <w:vAlign w:val="bottom"/>
            <w:hideMark/>
          </w:tcPr>
          <w:p w14:paraId="31A3DB94"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67 896</w:t>
            </w:r>
          </w:p>
        </w:tc>
        <w:tc>
          <w:tcPr>
            <w:tcW w:w="898" w:type="pct"/>
            <w:tcBorders>
              <w:top w:val="nil"/>
              <w:left w:val="nil"/>
              <w:bottom w:val="nil"/>
              <w:right w:val="nil"/>
            </w:tcBorders>
            <w:shd w:val="clear" w:color="auto" w:fill="auto"/>
            <w:noWrap/>
            <w:vAlign w:val="bottom"/>
            <w:hideMark/>
          </w:tcPr>
          <w:p w14:paraId="762B83B8"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371 352</w:t>
            </w:r>
          </w:p>
        </w:tc>
      </w:tr>
      <w:tr w:rsidR="00A474E8" w:rsidRPr="00A474E8" w14:paraId="537C81AE" w14:textId="77777777" w:rsidTr="00C56737">
        <w:trPr>
          <w:trHeight w:val="20"/>
        </w:trPr>
        <w:tc>
          <w:tcPr>
            <w:tcW w:w="83" w:type="pct"/>
            <w:tcBorders>
              <w:top w:val="nil"/>
              <w:left w:val="nil"/>
              <w:bottom w:val="nil"/>
              <w:right w:val="nil"/>
            </w:tcBorders>
            <w:shd w:val="clear" w:color="auto" w:fill="auto"/>
            <w:noWrap/>
            <w:vAlign w:val="bottom"/>
            <w:hideMark/>
          </w:tcPr>
          <w:p w14:paraId="2392FF47" w14:textId="77777777" w:rsidR="00A474E8" w:rsidRPr="00A474E8" w:rsidRDefault="00A474E8">
            <w:pPr>
              <w:jc w:val="right"/>
              <w:rPr>
                <w:rFonts w:ascii="Calibri Light" w:hAnsi="Calibri Light" w:cs="Calibri Light"/>
                <w:color w:val="000000"/>
                <w:sz w:val="16"/>
                <w:szCs w:val="16"/>
              </w:rPr>
            </w:pPr>
          </w:p>
        </w:tc>
        <w:tc>
          <w:tcPr>
            <w:tcW w:w="2734" w:type="pct"/>
            <w:tcBorders>
              <w:top w:val="nil"/>
              <w:left w:val="nil"/>
              <w:bottom w:val="nil"/>
              <w:right w:val="nil"/>
            </w:tcBorders>
            <w:shd w:val="clear" w:color="auto" w:fill="auto"/>
            <w:noWrap/>
            <w:vAlign w:val="bottom"/>
            <w:hideMark/>
          </w:tcPr>
          <w:p w14:paraId="59581158" w14:textId="77777777" w:rsidR="00A474E8" w:rsidRPr="00A474E8" w:rsidRDefault="00A474E8">
            <w:pPr>
              <w:jc w:val="both"/>
              <w:rPr>
                <w:rFonts w:ascii="Calibri Light" w:hAnsi="Calibri Light" w:cs="Calibri Light"/>
                <w:color w:val="000000"/>
                <w:sz w:val="16"/>
                <w:szCs w:val="16"/>
              </w:rPr>
            </w:pPr>
            <w:r>
              <w:rPr>
                <w:rFonts w:ascii="Calibri Light" w:hAnsi="Calibri Light"/>
                <w:color w:val="000000"/>
                <w:sz w:val="16"/>
              </w:rPr>
              <w:t>Autres créances à court terme</w:t>
            </w:r>
          </w:p>
        </w:tc>
        <w:tc>
          <w:tcPr>
            <w:tcW w:w="496" w:type="pct"/>
            <w:tcBorders>
              <w:top w:val="nil"/>
              <w:left w:val="nil"/>
              <w:bottom w:val="nil"/>
              <w:right w:val="nil"/>
            </w:tcBorders>
            <w:shd w:val="clear" w:color="auto" w:fill="auto"/>
            <w:noWrap/>
            <w:vAlign w:val="bottom"/>
            <w:hideMark/>
          </w:tcPr>
          <w:p w14:paraId="229E52E8" w14:textId="77777777" w:rsidR="00A474E8" w:rsidRPr="00A474E8" w:rsidRDefault="00A474E8">
            <w:pPr>
              <w:jc w:val="center"/>
              <w:rPr>
                <w:rFonts w:ascii="Calibri Light" w:hAnsi="Calibri Light" w:cs="Calibri Light"/>
                <w:i/>
                <w:iCs/>
                <w:color w:val="000000"/>
                <w:sz w:val="16"/>
                <w:szCs w:val="16"/>
              </w:rPr>
            </w:pPr>
            <w:r>
              <w:rPr>
                <w:rFonts w:ascii="Calibri Light" w:hAnsi="Calibri Light"/>
                <w:i/>
                <w:color w:val="000000"/>
                <w:sz w:val="16"/>
              </w:rPr>
              <w:t>(14)</w:t>
            </w:r>
          </w:p>
        </w:tc>
        <w:tc>
          <w:tcPr>
            <w:tcW w:w="789" w:type="pct"/>
            <w:tcBorders>
              <w:top w:val="nil"/>
              <w:left w:val="nil"/>
              <w:bottom w:val="nil"/>
              <w:right w:val="nil"/>
            </w:tcBorders>
            <w:shd w:val="clear" w:color="auto" w:fill="auto"/>
            <w:noWrap/>
            <w:vAlign w:val="bottom"/>
            <w:hideMark/>
          </w:tcPr>
          <w:p w14:paraId="2EDF6460"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(1 262 912)</w:t>
            </w:r>
          </w:p>
        </w:tc>
        <w:tc>
          <w:tcPr>
            <w:tcW w:w="898" w:type="pct"/>
            <w:tcBorders>
              <w:top w:val="nil"/>
              <w:left w:val="nil"/>
              <w:bottom w:val="nil"/>
              <w:right w:val="nil"/>
            </w:tcBorders>
            <w:shd w:val="clear" w:color="000000" w:fill="FFFFFF"/>
            <w:noWrap/>
            <w:vAlign w:val="bottom"/>
            <w:hideMark/>
          </w:tcPr>
          <w:p w14:paraId="4B1A8566"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266 990</w:t>
            </w:r>
          </w:p>
        </w:tc>
      </w:tr>
      <w:tr w:rsidR="00A474E8" w:rsidRPr="00A474E8" w14:paraId="1A078608" w14:textId="77777777" w:rsidTr="00C56737">
        <w:trPr>
          <w:trHeight w:val="20"/>
        </w:trPr>
        <w:tc>
          <w:tcPr>
            <w:tcW w:w="83" w:type="pct"/>
            <w:tcBorders>
              <w:top w:val="nil"/>
              <w:left w:val="nil"/>
              <w:bottom w:val="nil"/>
              <w:right w:val="nil"/>
            </w:tcBorders>
            <w:shd w:val="clear" w:color="auto" w:fill="auto"/>
            <w:noWrap/>
            <w:vAlign w:val="bottom"/>
            <w:hideMark/>
          </w:tcPr>
          <w:p w14:paraId="6A87D211" w14:textId="77777777" w:rsidR="00A474E8" w:rsidRPr="00A474E8" w:rsidRDefault="00A474E8">
            <w:pPr>
              <w:jc w:val="right"/>
              <w:rPr>
                <w:rFonts w:ascii="Calibri Light" w:hAnsi="Calibri Light" w:cs="Calibri Light"/>
                <w:color w:val="000000"/>
                <w:sz w:val="16"/>
                <w:szCs w:val="16"/>
              </w:rPr>
            </w:pPr>
          </w:p>
        </w:tc>
        <w:tc>
          <w:tcPr>
            <w:tcW w:w="2734" w:type="pct"/>
            <w:tcBorders>
              <w:top w:val="nil"/>
              <w:left w:val="nil"/>
              <w:bottom w:val="nil"/>
              <w:right w:val="nil"/>
            </w:tcBorders>
            <w:shd w:val="clear" w:color="auto" w:fill="auto"/>
            <w:noWrap/>
            <w:vAlign w:val="bottom"/>
            <w:hideMark/>
          </w:tcPr>
          <w:p w14:paraId="7792B88E" w14:textId="77777777" w:rsidR="00A474E8" w:rsidRPr="00A474E8" w:rsidRDefault="00A474E8">
            <w:pPr>
              <w:jc w:val="both"/>
              <w:rPr>
                <w:rFonts w:ascii="Calibri Light" w:hAnsi="Calibri Light" w:cs="Calibri Light"/>
                <w:color w:val="000000"/>
                <w:sz w:val="16"/>
                <w:szCs w:val="16"/>
              </w:rPr>
            </w:pPr>
            <w:r>
              <w:rPr>
                <w:rFonts w:ascii="Calibri Light" w:hAnsi="Calibri Light"/>
                <w:color w:val="000000"/>
                <w:sz w:val="16"/>
              </w:rPr>
              <w:t>Stocks</w:t>
            </w:r>
          </w:p>
        </w:tc>
        <w:tc>
          <w:tcPr>
            <w:tcW w:w="496" w:type="pct"/>
            <w:tcBorders>
              <w:top w:val="nil"/>
              <w:left w:val="nil"/>
              <w:bottom w:val="nil"/>
              <w:right w:val="nil"/>
            </w:tcBorders>
            <w:shd w:val="clear" w:color="auto" w:fill="auto"/>
            <w:noWrap/>
            <w:vAlign w:val="bottom"/>
            <w:hideMark/>
          </w:tcPr>
          <w:p w14:paraId="52BF0C62" w14:textId="77777777" w:rsidR="00A474E8" w:rsidRPr="00A474E8" w:rsidRDefault="00A474E8">
            <w:pPr>
              <w:jc w:val="center"/>
              <w:rPr>
                <w:rFonts w:ascii="Calibri Light" w:hAnsi="Calibri Light" w:cs="Calibri Light"/>
                <w:i/>
                <w:iCs/>
                <w:color w:val="000000"/>
                <w:sz w:val="16"/>
                <w:szCs w:val="16"/>
              </w:rPr>
            </w:pPr>
            <w:r>
              <w:rPr>
                <w:rFonts w:ascii="Calibri Light" w:hAnsi="Calibri Light"/>
                <w:i/>
                <w:color w:val="000000"/>
                <w:sz w:val="16"/>
              </w:rPr>
              <w:t>(12)</w:t>
            </w:r>
          </w:p>
        </w:tc>
        <w:tc>
          <w:tcPr>
            <w:tcW w:w="789" w:type="pct"/>
            <w:tcBorders>
              <w:top w:val="nil"/>
              <w:left w:val="nil"/>
              <w:bottom w:val="nil"/>
              <w:right w:val="nil"/>
            </w:tcBorders>
            <w:shd w:val="clear" w:color="auto" w:fill="auto"/>
            <w:noWrap/>
            <w:vAlign w:val="bottom"/>
            <w:hideMark/>
          </w:tcPr>
          <w:p w14:paraId="064ADB8E"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377 776</w:t>
            </w:r>
          </w:p>
        </w:tc>
        <w:tc>
          <w:tcPr>
            <w:tcW w:w="898" w:type="pct"/>
            <w:tcBorders>
              <w:top w:val="nil"/>
              <w:left w:val="nil"/>
              <w:bottom w:val="nil"/>
              <w:right w:val="nil"/>
            </w:tcBorders>
            <w:shd w:val="clear" w:color="auto" w:fill="auto"/>
            <w:noWrap/>
            <w:vAlign w:val="bottom"/>
            <w:hideMark/>
          </w:tcPr>
          <w:p w14:paraId="00D582CC"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(473 589)</w:t>
            </w:r>
          </w:p>
        </w:tc>
      </w:tr>
      <w:tr w:rsidR="00A474E8" w:rsidRPr="00A474E8" w14:paraId="28B35A42" w14:textId="77777777" w:rsidTr="00C56737">
        <w:trPr>
          <w:trHeight w:val="20"/>
        </w:trPr>
        <w:tc>
          <w:tcPr>
            <w:tcW w:w="83" w:type="pct"/>
            <w:tcBorders>
              <w:top w:val="nil"/>
              <w:left w:val="nil"/>
              <w:bottom w:val="nil"/>
              <w:right w:val="nil"/>
            </w:tcBorders>
            <w:shd w:val="clear" w:color="auto" w:fill="auto"/>
            <w:noWrap/>
            <w:vAlign w:val="bottom"/>
            <w:hideMark/>
          </w:tcPr>
          <w:p w14:paraId="2DADA40B" w14:textId="77777777" w:rsidR="00A474E8" w:rsidRPr="00A474E8" w:rsidRDefault="00A474E8">
            <w:pPr>
              <w:jc w:val="right"/>
              <w:rPr>
                <w:rFonts w:ascii="Calibri Light" w:hAnsi="Calibri Light" w:cs="Calibri Light"/>
                <w:color w:val="000000"/>
                <w:sz w:val="16"/>
                <w:szCs w:val="16"/>
              </w:rPr>
            </w:pPr>
          </w:p>
        </w:tc>
        <w:tc>
          <w:tcPr>
            <w:tcW w:w="2734" w:type="pct"/>
            <w:tcBorders>
              <w:top w:val="nil"/>
              <w:left w:val="nil"/>
              <w:bottom w:val="nil"/>
              <w:right w:val="nil"/>
            </w:tcBorders>
            <w:shd w:val="clear" w:color="auto" w:fill="auto"/>
            <w:noWrap/>
            <w:vAlign w:val="bottom"/>
            <w:hideMark/>
          </w:tcPr>
          <w:p w14:paraId="797B15BE" w14:textId="77777777" w:rsidR="00A474E8" w:rsidRPr="00A474E8" w:rsidRDefault="00A474E8">
            <w:pPr>
              <w:jc w:val="both"/>
              <w:rPr>
                <w:rFonts w:ascii="Calibri Light" w:hAnsi="Calibri Light" w:cs="Calibri Light"/>
                <w:color w:val="000000"/>
                <w:sz w:val="16"/>
                <w:szCs w:val="16"/>
              </w:rPr>
            </w:pPr>
            <w:r>
              <w:rPr>
                <w:rFonts w:ascii="Calibri Light" w:hAnsi="Calibri Light"/>
                <w:color w:val="000000"/>
                <w:sz w:val="16"/>
              </w:rPr>
              <w:t>Dettes commerciales et contractuelles</w:t>
            </w:r>
          </w:p>
        </w:tc>
        <w:tc>
          <w:tcPr>
            <w:tcW w:w="496" w:type="pct"/>
            <w:tcBorders>
              <w:top w:val="nil"/>
              <w:left w:val="nil"/>
              <w:bottom w:val="nil"/>
              <w:right w:val="nil"/>
            </w:tcBorders>
            <w:shd w:val="clear" w:color="auto" w:fill="auto"/>
            <w:noWrap/>
            <w:vAlign w:val="bottom"/>
            <w:hideMark/>
          </w:tcPr>
          <w:p w14:paraId="01FE171F" w14:textId="77777777" w:rsidR="00A474E8" w:rsidRPr="00A474E8" w:rsidRDefault="00A474E8">
            <w:pPr>
              <w:jc w:val="center"/>
              <w:rPr>
                <w:rFonts w:ascii="Calibri Light" w:hAnsi="Calibri Light" w:cs="Calibri Light"/>
                <w:i/>
                <w:iCs/>
                <w:color w:val="000000"/>
                <w:sz w:val="16"/>
                <w:szCs w:val="16"/>
              </w:rPr>
            </w:pPr>
            <w:r>
              <w:rPr>
                <w:rFonts w:ascii="Calibri Light" w:hAnsi="Calibri Light"/>
                <w:i/>
                <w:color w:val="000000"/>
                <w:sz w:val="16"/>
              </w:rPr>
              <w:t>(26) - (27)</w:t>
            </w:r>
          </w:p>
        </w:tc>
        <w:tc>
          <w:tcPr>
            <w:tcW w:w="789" w:type="pct"/>
            <w:tcBorders>
              <w:top w:val="nil"/>
              <w:left w:val="nil"/>
              <w:bottom w:val="nil"/>
              <w:right w:val="nil"/>
            </w:tcBorders>
            <w:shd w:val="clear" w:color="auto" w:fill="auto"/>
            <w:noWrap/>
            <w:vAlign w:val="bottom"/>
            <w:hideMark/>
          </w:tcPr>
          <w:p w14:paraId="0BC9AA26"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(2 484 788)</w:t>
            </w:r>
          </w:p>
        </w:tc>
        <w:tc>
          <w:tcPr>
            <w:tcW w:w="898" w:type="pct"/>
            <w:tcBorders>
              <w:top w:val="nil"/>
              <w:left w:val="nil"/>
              <w:bottom w:val="nil"/>
              <w:right w:val="nil"/>
            </w:tcBorders>
            <w:shd w:val="clear" w:color="auto" w:fill="auto"/>
            <w:noWrap/>
            <w:vAlign w:val="bottom"/>
            <w:hideMark/>
          </w:tcPr>
          <w:p w14:paraId="52913BE3"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(1 724 690)</w:t>
            </w:r>
          </w:p>
        </w:tc>
      </w:tr>
      <w:tr w:rsidR="00A474E8" w:rsidRPr="00A474E8" w14:paraId="0827DE7A" w14:textId="77777777" w:rsidTr="00C56737">
        <w:trPr>
          <w:trHeight w:val="20"/>
        </w:trPr>
        <w:tc>
          <w:tcPr>
            <w:tcW w:w="83" w:type="pct"/>
            <w:tcBorders>
              <w:top w:val="nil"/>
              <w:left w:val="nil"/>
              <w:bottom w:val="nil"/>
              <w:right w:val="nil"/>
            </w:tcBorders>
            <w:shd w:val="clear" w:color="auto" w:fill="auto"/>
            <w:noWrap/>
            <w:vAlign w:val="bottom"/>
            <w:hideMark/>
          </w:tcPr>
          <w:p w14:paraId="039A68A0" w14:textId="77777777" w:rsidR="00A474E8" w:rsidRPr="00A474E8" w:rsidRDefault="00A474E8">
            <w:pPr>
              <w:jc w:val="right"/>
              <w:rPr>
                <w:rFonts w:ascii="Calibri Light" w:hAnsi="Calibri Light" w:cs="Calibri Light"/>
                <w:color w:val="000000"/>
                <w:sz w:val="16"/>
                <w:szCs w:val="16"/>
              </w:rPr>
            </w:pPr>
          </w:p>
        </w:tc>
        <w:tc>
          <w:tcPr>
            <w:tcW w:w="2734" w:type="pct"/>
            <w:tcBorders>
              <w:top w:val="nil"/>
              <w:left w:val="nil"/>
              <w:bottom w:val="nil"/>
              <w:right w:val="nil"/>
            </w:tcBorders>
            <w:shd w:val="clear" w:color="auto" w:fill="auto"/>
            <w:noWrap/>
            <w:vAlign w:val="bottom"/>
            <w:hideMark/>
          </w:tcPr>
          <w:p w14:paraId="55AC8303" w14:textId="77777777" w:rsidR="00A474E8" w:rsidRPr="00A474E8" w:rsidRDefault="00A474E8">
            <w:pPr>
              <w:jc w:val="both"/>
              <w:rPr>
                <w:rFonts w:ascii="Calibri Light" w:hAnsi="Calibri Light" w:cs="Calibri Light"/>
                <w:color w:val="000000"/>
                <w:sz w:val="16"/>
                <w:szCs w:val="16"/>
              </w:rPr>
            </w:pPr>
            <w:r>
              <w:rPr>
                <w:rFonts w:ascii="Calibri Light" w:hAnsi="Calibri Light"/>
                <w:color w:val="000000"/>
                <w:sz w:val="16"/>
              </w:rPr>
              <w:t>Autres dettes à court terme</w:t>
            </w:r>
          </w:p>
        </w:tc>
        <w:tc>
          <w:tcPr>
            <w:tcW w:w="496" w:type="pct"/>
            <w:tcBorders>
              <w:top w:val="nil"/>
              <w:left w:val="nil"/>
              <w:bottom w:val="nil"/>
              <w:right w:val="nil"/>
            </w:tcBorders>
            <w:shd w:val="clear" w:color="auto" w:fill="auto"/>
            <w:noWrap/>
            <w:vAlign w:val="bottom"/>
            <w:hideMark/>
          </w:tcPr>
          <w:p w14:paraId="562AEF77" w14:textId="77777777" w:rsidR="00A474E8" w:rsidRPr="00A474E8" w:rsidRDefault="00A474E8">
            <w:pPr>
              <w:jc w:val="center"/>
              <w:rPr>
                <w:rFonts w:ascii="Calibri Light" w:hAnsi="Calibri Light" w:cs="Calibri Light"/>
                <w:i/>
                <w:iCs/>
                <w:color w:val="000000"/>
                <w:sz w:val="16"/>
                <w:szCs w:val="16"/>
              </w:rPr>
            </w:pPr>
            <w:r>
              <w:rPr>
                <w:rFonts w:ascii="Calibri Light" w:hAnsi="Calibri Light"/>
                <w:i/>
                <w:color w:val="000000"/>
                <w:sz w:val="16"/>
              </w:rPr>
              <w:t>(29)</w:t>
            </w:r>
          </w:p>
        </w:tc>
        <w:tc>
          <w:tcPr>
            <w:tcW w:w="789" w:type="pct"/>
            <w:tcBorders>
              <w:top w:val="nil"/>
              <w:left w:val="nil"/>
              <w:bottom w:val="nil"/>
              <w:right w:val="nil"/>
            </w:tcBorders>
            <w:shd w:val="clear" w:color="auto" w:fill="auto"/>
            <w:noWrap/>
            <w:vAlign w:val="bottom"/>
            <w:hideMark/>
          </w:tcPr>
          <w:p w14:paraId="48319F37"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1 603 836</w:t>
            </w:r>
          </w:p>
        </w:tc>
        <w:tc>
          <w:tcPr>
            <w:tcW w:w="898" w:type="pct"/>
            <w:tcBorders>
              <w:top w:val="nil"/>
              <w:left w:val="nil"/>
              <w:bottom w:val="nil"/>
              <w:right w:val="nil"/>
            </w:tcBorders>
            <w:shd w:val="clear" w:color="000000" w:fill="FFFFFF"/>
            <w:noWrap/>
            <w:vAlign w:val="bottom"/>
            <w:hideMark/>
          </w:tcPr>
          <w:p w14:paraId="32B5EBE7"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128 274</w:t>
            </w:r>
          </w:p>
        </w:tc>
      </w:tr>
      <w:tr w:rsidR="00A474E8" w:rsidRPr="00A474E8" w14:paraId="06F529F9" w14:textId="77777777" w:rsidTr="00C56737">
        <w:trPr>
          <w:trHeight w:val="20"/>
        </w:trPr>
        <w:tc>
          <w:tcPr>
            <w:tcW w:w="2817" w:type="pct"/>
            <w:gridSpan w:val="2"/>
            <w:tcBorders>
              <w:top w:val="nil"/>
              <w:left w:val="nil"/>
              <w:bottom w:val="nil"/>
              <w:right w:val="nil"/>
            </w:tcBorders>
            <w:shd w:val="clear" w:color="auto" w:fill="auto"/>
            <w:noWrap/>
            <w:vAlign w:val="bottom"/>
            <w:hideMark/>
          </w:tcPr>
          <w:p w14:paraId="7C8EB4D3" w14:textId="77777777" w:rsidR="00A474E8" w:rsidRPr="00A474E8" w:rsidRDefault="00A474E8">
            <w:pPr>
              <w:rPr>
                <w:rFonts w:ascii="Calibri Light" w:hAnsi="Calibri Light" w:cs="Calibri Light"/>
                <w:color w:val="000000"/>
                <w:sz w:val="16"/>
                <w:szCs w:val="16"/>
              </w:rPr>
            </w:pPr>
            <w:r>
              <w:rPr>
                <w:rFonts w:ascii="Calibri Light" w:hAnsi="Calibri Light"/>
                <w:color w:val="000000"/>
                <w:sz w:val="16"/>
              </w:rPr>
              <w:t>Variation nette des créances et dettes à long terme</w:t>
            </w:r>
          </w:p>
        </w:tc>
        <w:tc>
          <w:tcPr>
            <w:tcW w:w="496" w:type="pct"/>
            <w:tcBorders>
              <w:top w:val="nil"/>
              <w:left w:val="nil"/>
              <w:bottom w:val="nil"/>
              <w:right w:val="nil"/>
            </w:tcBorders>
            <w:shd w:val="clear" w:color="auto" w:fill="auto"/>
            <w:noWrap/>
            <w:vAlign w:val="bottom"/>
            <w:hideMark/>
          </w:tcPr>
          <w:p w14:paraId="09BBFFF0" w14:textId="77777777" w:rsidR="00A474E8" w:rsidRPr="00A474E8" w:rsidRDefault="00A474E8">
            <w:pPr>
              <w:rPr>
                <w:rFonts w:ascii="Calibri Light" w:hAnsi="Calibri Light" w:cs="Calibri Light"/>
                <w:color w:val="000000"/>
                <w:sz w:val="16"/>
                <w:szCs w:val="16"/>
              </w:rPr>
            </w:pPr>
          </w:p>
        </w:tc>
        <w:tc>
          <w:tcPr>
            <w:tcW w:w="789" w:type="pct"/>
            <w:tcBorders>
              <w:top w:val="nil"/>
              <w:left w:val="nil"/>
              <w:bottom w:val="nil"/>
              <w:right w:val="nil"/>
            </w:tcBorders>
            <w:shd w:val="clear" w:color="auto" w:fill="auto"/>
            <w:noWrap/>
            <w:vAlign w:val="bottom"/>
            <w:hideMark/>
          </w:tcPr>
          <w:p w14:paraId="0C564247"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(172 779)</w:t>
            </w:r>
          </w:p>
        </w:tc>
        <w:tc>
          <w:tcPr>
            <w:tcW w:w="898" w:type="pct"/>
            <w:tcBorders>
              <w:top w:val="nil"/>
              <w:left w:val="nil"/>
              <w:bottom w:val="nil"/>
              <w:right w:val="nil"/>
            </w:tcBorders>
            <w:shd w:val="clear" w:color="auto" w:fill="auto"/>
            <w:noWrap/>
            <w:vAlign w:val="bottom"/>
            <w:hideMark/>
          </w:tcPr>
          <w:p w14:paraId="64395816"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(146 297)</w:t>
            </w:r>
          </w:p>
        </w:tc>
      </w:tr>
      <w:tr w:rsidR="00A474E8" w:rsidRPr="00A474E8" w14:paraId="7CB315C7" w14:textId="77777777" w:rsidTr="00C56737">
        <w:trPr>
          <w:trHeight w:val="20"/>
        </w:trPr>
        <w:tc>
          <w:tcPr>
            <w:tcW w:w="2817" w:type="pct"/>
            <w:gridSpan w:val="2"/>
            <w:tcBorders>
              <w:top w:val="nil"/>
              <w:left w:val="nil"/>
              <w:bottom w:val="nil"/>
              <w:right w:val="nil"/>
            </w:tcBorders>
            <w:shd w:val="clear" w:color="auto" w:fill="auto"/>
            <w:noWrap/>
            <w:vAlign w:val="bottom"/>
            <w:hideMark/>
          </w:tcPr>
          <w:p w14:paraId="0657F11B" w14:textId="77777777" w:rsidR="00A474E8" w:rsidRPr="00A474E8" w:rsidRDefault="00A474E8">
            <w:pPr>
              <w:rPr>
                <w:rFonts w:ascii="Calibri Light" w:hAnsi="Calibri Light" w:cs="Calibri Light"/>
                <w:color w:val="000000"/>
                <w:sz w:val="16"/>
                <w:szCs w:val="16"/>
              </w:rPr>
            </w:pPr>
            <w:r>
              <w:rPr>
                <w:rFonts w:ascii="Calibri Light" w:hAnsi="Calibri Light"/>
                <w:color w:val="000000"/>
                <w:sz w:val="16"/>
              </w:rPr>
              <w:t>Variation nette des actifs et passifs d'impôts différés</w:t>
            </w:r>
          </w:p>
        </w:tc>
        <w:tc>
          <w:tcPr>
            <w:tcW w:w="496" w:type="pct"/>
            <w:tcBorders>
              <w:top w:val="nil"/>
              <w:left w:val="nil"/>
              <w:bottom w:val="nil"/>
              <w:right w:val="nil"/>
            </w:tcBorders>
            <w:shd w:val="clear" w:color="auto" w:fill="auto"/>
            <w:noWrap/>
            <w:vAlign w:val="bottom"/>
            <w:hideMark/>
          </w:tcPr>
          <w:p w14:paraId="76C93C66" w14:textId="77777777" w:rsidR="00A474E8" w:rsidRPr="00A474E8" w:rsidRDefault="00A474E8">
            <w:pPr>
              <w:jc w:val="center"/>
              <w:rPr>
                <w:rFonts w:ascii="Calibri Light" w:hAnsi="Calibri Light" w:cs="Calibri Light"/>
                <w:i/>
                <w:iCs/>
                <w:color w:val="000000"/>
                <w:sz w:val="16"/>
                <w:szCs w:val="16"/>
              </w:rPr>
            </w:pPr>
            <w:r>
              <w:rPr>
                <w:rFonts w:ascii="Calibri Light" w:hAnsi="Calibri Light"/>
                <w:i/>
                <w:color w:val="000000"/>
                <w:sz w:val="16"/>
              </w:rPr>
              <w:t>(11) - (23)</w:t>
            </w:r>
          </w:p>
        </w:tc>
        <w:tc>
          <w:tcPr>
            <w:tcW w:w="789" w:type="pct"/>
            <w:tcBorders>
              <w:top w:val="nil"/>
              <w:left w:val="nil"/>
              <w:bottom w:val="nil"/>
              <w:right w:val="nil"/>
            </w:tcBorders>
            <w:shd w:val="clear" w:color="auto" w:fill="auto"/>
            <w:noWrap/>
            <w:vAlign w:val="bottom"/>
            <w:hideMark/>
          </w:tcPr>
          <w:p w14:paraId="211EF99C"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182 403</w:t>
            </w:r>
          </w:p>
        </w:tc>
        <w:tc>
          <w:tcPr>
            <w:tcW w:w="898" w:type="pct"/>
            <w:tcBorders>
              <w:top w:val="nil"/>
              <w:left w:val="nil"/>
              <w:bottom w:val="nil"/>
              <w:right w:val="nil"/>
            </w:tcBorders>
            <w:shd w:val="clear" w:color="auto" w:fill="auto"/>
            <w:noWrap/>
            <w:vAlign w:val="bottom"/>
            <w:hideMark/>
          </w:tcPr>
          <w:p w14:paraId="3C5AA685"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(5 796)</w:t>
            </w:r>
          </w:p>
        </w:tc>
      </w:tr>
      <w:tr w:rsidR="00A474E8" w:rsidRPr="00A474E8" w14:paraId="3C9BAF72" w14:textId="77777777" w:rsidTr="0061181E">
        <w:trPr>
          <w:trHeight w:val="20"/>
        </w:trPr>
        <w:tc>
          <w:tcPr>
            <w:tcW w:w="2817" w:type="pct"/>
            <w:gridSpan w:val="2"/>
            <w:tcBorders>
              <w:top w:val="nil"/>
              <w:left w:val="nil"/>
              <w:right w:val="nil"/>
            </w:tcBorders>
            <w:shd w:val="clear" w:color="auto" w:fill="auto"/>
            <w:noWrap/>
            <w:vAlign w:val="bottom"/>
            <w:hideMark/>
          </w:tcPr>
          <w:p w14:paraId="62545AF8" w14:textId="77777777" w:rsidR="00A474E8" w:rsidRPr="00A474E8" w:rsidRDefault="00A474E8">
            <w:pPr>
              <w:rPr>
                <w:rFonts w:ascii="Calibri Light" w:hAnsi="Calibri Light" w:cs="Calibri Light"/>
                <w:color w:val="000000"/>
                <w:sz w:val="16"/>
                <w:szCs w:val="16"/>
              </w:rPr>
            </w:pPr>
            <w:r>
              <w:rPr>
                <w:rFonts w:ascii="Calibri Light" w:hAnsi="Calibri Light"/>
                <w:color w:val="000000"/>
                <w:sz w:val="16"/>
              </w:rPr>
              <w:t>Intérêts (payés)/recouvrés</w:t>
            </w:r>
          </w:p>
        </w:tc>
        <w:tc>
          <w:tcPr>
            <w:tcW w:w="496" w:type="pct"/>
            <w:tcBorders>
              <w:top w:val="nil"/>
              <w:left w:val="nil"/>
              <w:right w:val="nil"/>
            </w:tcBorders>
            <w:shd w:val="clear" w:color="auto" w:fill="auto"/>
            <w:noWrap/>
            <w:vAlign w:val="bottom"/>
            <w:hideMark/>
          </w:tcPr>
          <w:p w14:paraId="5932B542" w14:textId="77777777" w:rsidR="00A474E8" w:rsidRPr="00A474E8" w:rsidRDefault="00A474E8">
            <w:pPr>
              <w:jc w:val="center"/>
              <w:rPr>
                <w:rFonts w:ascii="Calibri Light" w:hAnsi="Calibri Light" w:cs="Calibri Light"/>
                <w:i/>
                <w:iCs/>
                <w:color w:val="000000"/>
                <w:sz w:val="16"/>
                <w:szCs w:val="16"/>
              </w:rPr>
            </w:pPr>
            <w:r>
              <w:rPr>
                <w:rFonts w:ascii="Calibri Light" w:hAnsi="Calibri Light"/>
                <w:i/>
                <w:color w:val="000000"/>
                <w:sz w:val="16"/>
              </w:rPr>
              <w:t>(38) - (37)</w:t>
            </w:r>
          </w:p>
        </w:tc>
        <w:tc>
          <w:tcPr>
            <w:tcW w:w="789" w:type="pct"/>
            <w:tcBorders>
              <w:top w:val="nil"/>
              <w:left w:val="nil"/>
              <w:bottom w:val="nil"/>
              <w:right w:val="nil"/>
            </w:tcBorders>
            <w:shd w:val="clear" w:color="auto" w:fill="auto"/>
            <w:noWrap/>
            <w:vAlign w:val="bottom"/>
            <w:hideMark/>
          </w:tcPr>
          <w:p w14:paraId="096084AA"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(232 005)</w:t>
            </w:r>
          </w:p>
        </w:tc>
        <w:tc>
          <w:tcPr>
            <w:tcW w:w="898" w:type="pct"/>
            <w:tcBorders>
              <w:top w:val="nil"/>
              <w:left w:val="nil"/>
              <w:bottom w:val="nil"/>
              <w:right w:val="nil"/>
            </w:tcBorders>
            <w:shd w:val="clear" w:color="auto" w:fill="auto"/>
            <w:noWrap/>
            <w:vAlign w:val="bottom"/>
            <w:hideMark/>
          </w:tcPr>
          <w:p w14:paraId="56CE1F82"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(148 760)</w:t>
            </w:r>
          </w:p>
        </w:tc>
      </w:tr>
      <w:tr w:rsidR="00A474E8" w:rsidRPr="00A474E8" w14:paraId="2643C38E" w14:textId="77777777" w:rsidTr="0061181E">
        <w:trPr>
          <w:trHeight w:val="20"/>
        </w:trPr>
        <w:tc>
          <w:tcPr>
            <w:tcW w:w="2817" w:type="pct"/>
            <w:gridSpan w:val="2"/>
            <w:tcBorders>
              <w:top w:val="nil"/>
              <w:left w:val="nil"/>
              <w:right w:val="nil"/>
            </w:tcBorders>
            <w:shd w:val="clear" w:color="auto" w:fill="auto"/>
            <w:noWrap/>
            <w:vAlign w:val="bottom"/>
            <w:hideMark/>
          </w:tcPr>
          <w:p w14:paraId="3BA66D80" w14:textId="77777777" w:rsidR="00A474E8" w:rsidRPr="00A474E8" w:rsidRDefault="00A474E8">
            <w:pPr>
              <w:rPr>
                <w:rFonts w:ascii="Calibri Light" w:hAnsi="Calibri Light" w:cs="Calibri Light"/>
                <w:color w:val="000000"/>
                <w:sz w:val="16"/>
                <w:szCs w:val="16"/>
              </w:rPr>
            </w:pPr>
            <w:r>
              <w:rPr>
                <w:rFonts w:ascii="Calibri Light" w:hAnsi="Calibri Light"/>
                <w:color w:val="000000"/>
                <w:sz w:val="16"/>
              </w:rPr>
              <w:t>Impôts sur le revenu payés</w:t>
            </w:r>
          </w:p>
        </w:tc>
        <w:tc>
          <w:tcPr>
            <w:tcW w:w="496" w:type="pct"/>
            <w:tcBorders>
              <w:top w:val="nil"/>
              <w:left w:val="nil"/>
              <w:right w:val="nil"/>
            </w:tcBorders>
            <w:shd w:val="clear" w:color="auto" w:fill="auto"/>
            <w:noWrap/>
            <w:vAlign w:val="bottom"/>
            <w:hideMark/>
          </w:tcPr>
          <w:p w14:paraId="7AC38D1B" w14:textId="77777777" w:rsidR="00A474E8" w:rsidRPr="00A474E8" w:rsidRDefault="00A474E8">
            <w:pPr>
              <w:jc w:val="center"/>
              <w:rPr>
                <w:rFonts w:ascii="Calibri Light" w:hAnsi="Calibri Light" w:cs="Calibri Light"/>
                <w:i/>
                <w:iCs/>
                <w:color w:val="000000"/>
                <w:sz w:val="16"/>
                <w:szCs w:val="16"/>
              </w:rPr>
            </w:pPr>
            <w:r>
              <w:rPr>
                <w:rFonts w:ascii="Calibri Light" w:hAnsi="Calibri Light"/>
                <w:i/>
                <w:color w:val="000000"/>
                <w:sz w:val="16"/>
              </w:rPr>
              <w:t>(28) - (39)</w:t>
            </w:r>
          </w:p>
        </w:tc>
        <w:tc>
          <w:tcPr>
            <w:tcW w:w="789" w:type="pct"/>
            <w:tcBorders>
              <w:top w:val="nil"/>
              <w:left w:val="nil"/>
              <w:bottom w:val="single" w:sz="4" w:space="0" w:color="auto"/>
              <w:right w:val="nil"/>
            </w:tcBorders>
            <w:shd w:val="clear" w:color="auto" w:fill="auto"/>
            <w:noWrap/>
            <w:vAlign w:val="bottom"/>
            <w:hideMark/>
          </w:tcPr>
          <w:p w14:paraId="3B093B32"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(984 784)</w:t>
            </w:r>
          </w:p>
        </w:tc>
        <w:tc>
          <w:tcPr>
            <w:tcW w:w="898" w:type="pct"/>
            <w:tcBorders>
              <w:top w:val="nil"/>
              <w:left w:val="nil"/>
              <w:bottom w:val="single" w:sz="4" w:space="0" w:color="auto"/>
              <w:right w:val="nil"/>
            </w:tcBorders>
            <w:shd w:val="clear" w:color="auto" w:fill="auto"/>
            <w:noWrap/>
            <w:vAlign w:val="bottom"/>
            <w:hideMark/>
          </w:tcPr>
          <w:p w14:paraId="6C30C6B3"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(622 016)</w:t>
            </w:r>
          </w:p>
        </w:tc>
      </w:tr>
      <w:tr w:rsidR="00A474E8" w:rsidRPr="00A474E8" w14:paraId="2EBAF577" w14:textId="77777777" w:rsidTr="0061181E">
        <w:trPr>
          <w:trHeight w:val="20"/>
        </w:trPr>
        <w:tc>
          <w:tcPr>
            <w:tcW w:w="2817" w:type="pct"/>
            <w:gridSpan w:val="2"/>
            <w:tcBorders>
              <w:left w:val="nil"/>
              <w:bottom w:val="nil"/>
              <w:right w:val="nil"/>
            </w:tcBorders>
            <w:shd w:val="clear" w:color="auto" w:fill="auto"/>
            <w:noWrap/>
            <w:vAlign w:val="bottom"/>
            <w:hideMark/>
          </w:tcPr>
          <w:p w14:paraId="10B1E240" w14:textId="77777777" w:rsidR="00A474E8" w:rsidRPr="00A474E8" w:rsidRDefault="00A474E8">
            <w:pPr>
              <w:rPr>
                <w:rFonts w:ascii="Calibri Light" w:hAnsi="Calibri Light" w:cs="Calibri Light"/>
                <w:b/>
                <w:bCs/>
                <w:color w:val="000000"/>
                <w:sz w:val="16"/>
                <w:szCs w:val="16"/>
              </w:rPr>
            </w:pPr>
            <w:r>
              <w:rPr>
                <w:rFonts w:ascii="Calibri Light" w:hAnsi="Calibri Light"/>
                <w:b/>
                <w:color w:val="000000"/>
                <w:sz w:val="16"/>
              </w:rPr>
              <w:t>Flux de trésorerie net provenant des activités opérationnelles</w:t>
            </w:r>
          </w:p>
        </w:tc>
        <w:tc>
          <w:tcPr>
            <w:tcW w:w="496" w:type="pct"/>
            <w:tcBorders>
              <w:left w:val="nil"/>
              <w:bottom w:val="nil"/>
              <w:right w:val="nil"/>
            </w:tcBorders>
            <w:shd w:val="clear" w:color="auto" w:fill="auto"/>
            <w:noWrap/>
            <w:vAlign w:val="bottom"/>
            <w:hideMark/>
          </w:tcPr>
          <w:p w14:paraId="1341658E" w14:textId="77777777" w:rsidR="00A474E8" w:rsidRPr="00A474E8" w:rsidRDefault="00A474E8">
            <w:pPr>
              <w:rPr>
                <w:rFonts w:ascii="Calibri Light" w:hAnsi="Calibri Light" w:cs="Calibri Light"/>
                <w:b/>
                <w:bCs/>
                <w:color w:val="000000"/>
                <w:sz w:val="16"/>
                <w:szCs w:val="16"/>
              </w:rPr>
            </w:pPr>
          </w:p>
        </w:tc>
        <w:tc>
          <w:tcPr>
            <w:tcW w:w="789" w:type="pct"/>
            <w:tcBorders>
              <w:top w:val="nil"/>
              <w:left w:val="nil"/>
              <w:bottom w:val="nil"/>
              <w:right w:val="nil"/>
            </w:tcBorders>
            <w:shd w:val="clear" w:color="auto" w:fill="auto"/>
            <w:noWrap/>
            <w:vAlign w:val="bottom"/>
            <w:hideMark/>
          </w:tcPr>
          <w:p w14:paraId="4EE1A3D2" w14:textId="77777777" w:rsidR="00A474E8" w:rsidRPr="00A474E8" w:rsidRDefault="00A474E8">
            <w:pPr>
              <w:jc w:val="right"/>
              <w:rPr>
                <w:rFonts w:ascii="Calibri Light" w:hAnsi="Calibri Light" w:cs="Calibri Light"/>
                <w:b/>
                <w:bCs/>
                <w:color w:val="000000"/>
                <w:sz w:val="16"/>
                <w:szCs w:val="16"/>
              </w:rPr>
            </w:pPr>
            <w:r>
              <w:rPr>
                <w:rFonts w:ascii="Calibri Light" w:hAnsi="Calibri Light"/>
                <w:b/>
                <w:color w:val="000000"/>
                <w:sz w:val="16"/>
              </w:rPr>
              <w:t>1 138 070</w:t>
            </w:r>
          </w:p>
        </w:tc>
        <w:tc>
          <w:tcPr>
            <w:tcW w:w="898" w:type="pct"/>
            <w:tcBorders>
              <w:top w:val="nil"/>
              <w:left w:val="nil"/>
              <w:bottom w:val="nil"/>
              <w:right w:val="nil"/>
            </w:tcBorders>
            <w:shd w:val="clear" w:color="auto" w:fill="auto"/>
            <w:noWrap/>
            <w:vAlign w:val="bottom"/>
            <w:hideMark/>
          </w:tcPr>
          <w:p w14:paraId="415681B6" w14:textId="77777777" w:rsidR="00A474E8" w:rsidRPr="00A474E8" w:rsidRDefault="00A474E8">
            <w:pPr>
              <w:jc w:val="right"/>
              <w:rPr>
                <w:rFonts w:ascii="Calibri Light" w:hAnsi="Calibri Light" w:cs="Calibri Light"/>
                <w:b/>
                <w:bCs/>
                <w:color w:val="000000"/>
                <w:sz w:val="16"/>
                <w:szCs w:val="16"/>
              </w:rPr>
            </w:pPr>
            <w:r>
              <w:rPr>
                <w:rFonts w:ascii="Calibri Light" w:hAnsi="Calibri Light"/>
                <w:b/>
                <w:color w:val="000000"/>
                <w:sz w:val="16"/>
              </w:rPr>
              <w:t>(668 263)</w:t>
            </w:r>
          </w:p>
        </w:tc>
      </w:tr>
      <w:tr w:rsidR="00A474E8" w:rsidRPr="00A474E8" w14:paraId="3CCABCE0" w14:textId="77777777" w:rsidTr="00C56737">
        <w:trPr>
          <w:trHeight w:val="20"/>
        </w:trPr>
        <w:tc>
          <w:tcPr>
            <w:tcW w:w="83" w:type="pct"/>
            <w:tcBorders>
              <w:top w:val="nil"/>
              <w:left w:val="nil"/>
              <w:bottom w:val="nil"/>
              <w:right w:val="nil"/>
            </w:tcBorders>
            <w:shd w:val="clear" w:color="auto" w:fill="auto"/>
            <w:noWrap/>
            <w:vAlign w:val="bottom"/>
            <w:hideMark/>
          </w:tcPr>
          <w:p w14:paraId="5567A19B" w14:textId="77777777" w:rsidR="00A474E8" w:rsidRPr="00A474E8" w:rsidRDefault="00A474E8">
            <w:pPr>
              <w:jc w:val="right"/>
              <w:rPr>
                <w:rFonts w:ascii="Calibri Light" w:hAnsi="Calibri Light" w:cs="Calibri Light"/>
                <w:b/>
                <w:bCs/>
                <w:color w:val="000000"/>
                <w:sz w:val="16"/>
                <w:szCs w:val="16"/>
              </w:rPr>
            </w:pPr>
          </w:p>
        </w:tc>
        <w:tc>
          <w:tcPr>
            <w:tcW w:w="2734" w:type="pct"/>
            <w:tcBorders>
              <w:top w:val="nil"/>
              <w:left w:val="nil"/>
              <w:bottom w:val="nil"/>
              <w:right w:val="nil"/>
            </w:tcBorders>
            <w:shd w:val="clear" w:color="auto" w:fill="auto"/>
            <w:noWrap/>
            <w:vAlign w:val="bottom"/>
            <w:hideMark/>
          </w:tcPr>
          <w:p w14:paraId="03AFAD2D" w14:textId="77777777" w:rsidR="00A474E8" w:rsidRPr="00A474E8" w:rsidRDefault="00A474E8">
            <w:pPr>
              <w:rPr>
                <w:sz w:val="16"/>
                <w:szCs w:val="16"/>
              </w:rPr>
            </w:pPr>
          </w:p>
        </w:tc>
        <w:tc>
          <w:tcPr>
            <w:tcW w:w="496" w:type="pct"/>
            <w:tcBorders>
              <w:top w:val="nil"/>
              <w:left w:val="nil"/>
              <w:bottom w:val="nil"/>
              <w:right w:val="nil"/>
            </w:tcBorders>
            <w:shd w:val="clear" w:color="auto" w:fill="auto"/>
            <w:noWrap/>
            <w:vAlign w:val="bottom"/>
            <w:hideMark/>
          </w:tcPr>
          <w:p w14:paraId="0593401D" w14:textId="77777777" w:rsidR="00A474E8" w:rsidRPr="00A474E8" w:rsidRDefault="00A474E8">
            <w:pPr>
              <w:rPr>
                <w:sz w:val="16"/>
                <w:szCs w:val="16"/>
              </w:rPr>
            </w:pPr>
          </w:p>
        </w:tc>
        <w:tc>
          <w:tcPr>
            <w:tcW w:w="789" w:type="pct"/>
            <w:tcBorders>
              <w:top w:val="nil"/>
              <w:left w:val="nil"/>
              <w:bottom w:val="nil"/>
              <w:right w:val="nil"/>
            </w:tcBorders>
            <w:shd w:val="clear" w:color="auto" w:fill="auto"/>
            <w:noWrap/>
            <w:vAlign w:val="bottom"/>
            <w:hideMark/>
          </w:tcPr>
          <w:p w14:paraId="7D0F44D0" w14:textId="77777777" w:rsidR="00A474E8" w:rsidRPr="00A474E8" w:rsidRDefault="00A474E8">
            <w:pPr>
              <w:jc w:val="center"/>
              <w:rPr>
                <w:sz w:val="16"/>
                <w:szCs w:val="16"/>
              </w:rPr>
            </w:pPr>
          </w:p>
        </w:tc>
        <w:tc>
          <w:tcPr>
            <w:tcW w:w="898" w:type="pct"/>
            <w:tcBorders>
              <w:top w:val="nil"/>
              <w:left w:val="nil"/>
              <w:bottom w:val="nil"/>
              <w:right w:val="nil"/>
            </w:tcBorders>
            <w:shd w:val="clear" w:color="auto" w:fill="auto"/>
            <w:noWrap/>
            <w:vAlign w:val="bottom"/>
            <w:hideMark/>
          </w:tcPr>
          <w:p w14:paraId="4DCFED2D" w14:textId="77777777" w:rsidR="00A474E8" w:rsidRPr="00A474E8" w:rsidRDefault="00A474E8">
            <w:pPr>
              <w:rPr>
                <w:sz w:val="16"/>
                <w:szCs w:val="16"/>
              </w:rPr>
            </w:pPr>
          </w:p>
        </w:tc>
      </w:tr>
      <w:tr w:rsidR="00A474E8" w:rsidRPr="00A474E8" w14:paraId="3C1203D9" w14:textId="77777777" w:rsidTr="00C56737">
        <w:trPr>
          <w:trHeight w:val="20"/>
        </w:trPr>
        <w:tc>
          <w:tcPr>
            <w:tcW w:w="2817" w:type="pct"/>
            <w:gridSpan w:val="2"/>
            <w:tcBorders>
              <w:top w:val="nil"/>
              <w:left w:val="nil"/>
              <w:bottom w:val="nil"/>
              <w:right w:val="nil"/>
            </w:tcBorders>
            <w:shd w:val="clear" w:color="auto" w:fill="auto"/>
            <w:noWrap/>
            <w:vAlign w:val="bottom"/>
            <w:hideMark/>
          </w:tcPr>
          <w:p w14:paraId="48BCBBEF" w14:textId="77777777" w:rsidR="00A474E8" w:rsidRPr="00A474E8" w:rsidRDefault="00A474E8">
            <w:pPr>
              <w:rPr>
                <w:rFonts w:ascii="Calibri Light" w:hAnsi="Calibri Light" w:cs="Calibri Light"/>
                <w:b/>
                <w:bCs/>
                <w:color w:val="000000"/>
                <w:sz w:val="16"/>
                <w:szCs w:val="16"/>
              </w:rPr>
            </w:pPr>
            <w:r>
              <w:rPr>
                <w:rFonts w:ascii="Calibri Light" w:hAnsi="Calibri Light"/>
                <w:b/>
                <w:color w:val="000000"/>
                <w:sz w:val="16"/>
              </w:rPr>
              <w:t>Activités d’investissement</w:t>
            </w:r>
          </w:p>
        </w:tc>
        <w:tc>
          <w:tcPr>
            <w:tcW w:w="496" w:type="pct"/>
            <w:tcBorders>
              <w:top w:val="nil"/>
              <w:left w:val="nil"/>
              <w:bottom w:val="nil"/>
              <w:right w:val="nil"/>
            </w:tcBorders>
            <w:shd w:val="clear" w:color="auto" w:fill="auto"/>
            <w:noWrap/>
            <w:vAlign w:val="bottom"/>
            <w:hideMark/>
          </w:tcPr>
          <w:p w14:paraId="0B82A282" w14:textId="77777777" w:rsidR="00A474E8" w:rsidRPr="00A474E8" w:rsidRDefault="00A474E8">
            <w:pPr>
              <w:rPr>
                <w:rFonts w:ascii="Calibri Light" w:hAnsi="Calibri Light" w:cs="Calibri Light"/>
                <w:b/>
                <w:bCs/>
                <w:color w:val="000000"/>
                <w:sz w:val="16"/>
                <w:szCs w:val="16"/>
              </w:rPr>
            </w:pPr>
          </w:p>
        </w:tc>
        <w:tc>
          <w:tcPr>
            <w:tcW w:w="789" w:type="pct"/>
            <w:tcBorders>
              <w:top w:val="nil"/>
              <w:left w:val="nil"/>
              <w:bottom w:val="nil"/>
              <w:right w:val="nil"/>
            </w:tcBorders>
            <w:shd w:val="clear" w:color="auto" w:fill="auto"/>
            <w:noWrap/>
            <w:vAlign w:val="bottom"/>
            <w:hideMark/>
          </w:tcPr>
          <w:p w14:paraId="2DA1112C" w14:textId="77777777" w:rsidR="00A474E8" w:rsidRPr="00A474E8" w:rsidRDefault="00A474E8">
            <w:pPr>
              <w:jc w:val="center"/>
              <w:rPr>
                <w:sz w:val="16"/>
                <w:szCs w:val="16"/>
              </w:rPr>
            </w:pPr>
          </w:p>
        </w:tc>
        <w:tc>
          <w:tcPr>
            <w:tcW w:w="898" w:type="pct"/>
            <w:tcBorders>
              <w:top w:val="nil"/>
              <w:left w:val="nil"/>
              <w:bottom w:val="nil"/>
              <w:right w:val="nil"/>
            </w:tcBorders>
            <w:shd w:val="clear" w:color="auto" w:fill="auto"/>
            <w:noWrap/>
            <w:vAlign w:val="bottom"/>
            <w:hideMark/>
          </w:tcPr>
          <w:p w14:paraId="171C8474" w14:textId="77777777" w:rsidR="00A474E8" w:rsidRPr="00A474E8" w:rsidRDefault="00A474E8">
            <w:pPr>
              <w:rPr>
                <w:sz w:val="16"/>
                <w:szCs w:val="16"/>
              </w:rPr>
            </w:pPr>
          </w:p>
        </w:tc>
      </w:tr>
      <w:tr w:rsidR="00A474E8" w:rsidRPr="00A474E8" w14:paraId="19C0C4A2" w14:textId="77777777" w:rsidTr="00C56737">
        <w:trPr>
          <w:trHeight w:val="20"/>
        </w:trPr>
        <w:tc>
          <w:tcPr>
            <w:tcW w:w="2817" w:type="pct"/>
            <w:gridSpan w:val="2"/>
            <w:tcBorders>
              <w:top w:val="nil"/>
              <w:left w:val="nil"/>
              <w:bottom w:val="nil"/>
              <w:right w:val="nil"/>
            </w:tcBorders>
            <w:shd w:val="clear" w:color="auto" w:fill="auto"/>
            <w:noWrap/>
            <w:vAlign w:val="bottom"/>
            <w:hideMark/>
          </w:tcPr>
          <w:p w14:paraId="1A2A6E08" w14:textId="77777777" w:rsidR="00A474E8" w:rsidRPr="00A474E8" w:rsidRDefault="00A474E8">
            <w:pPr>
              <w:rPr>
                <w:rFonts w:ascii="Calibri Light" w:hAnsi="Calibri Light" w:cs="Calibri Light"/>
                <w:color w:val="000000"/>
                <w:sz w:val="16"/>
                <w:szCs w:val="16"/>
              </w:rPr>
            </w:pPr>
            <w:r>
              <w:rPr>
                <w:rFonts w:ascii="Calibri Light" w:hAnsi="Calibri Light"/>
                <w:color w:val="000000"/>
                <w:sz w:val="16"/>
              </w:rPr>
              <w:t>Investissements en immobilisations corporelles</w:t>
            </w:r>
          </w:p>
        </w:tc>
        <w:tc>
          <w:tcPr>
            <w:tcW w:w="496" w:type="pct"/>
            <w:tcBorders>
              <w:top w:val="nil"/>
              <w:left w:val="nil"/>
              <w:bottom w:val="nil"/>
              <w:right w:val="nil"/>
            </w:tcBorders>
            <w:shd w:val="clear" w:color="auto" w:fill="auto"/>
            <w:noWrap/>
            <w:vAlign w:val="bottom"/>
            <w:hideMark/>
          </w:tcPr>
          <w:p w14:paraId="68CBE658" w14:textId="77777777" w:rsidR="00A474E8" w:rsidRPr="00A474E8" w:rsidRDefault="00A474E8">
            <w:pPr>
              <w:jc w:val="center"/>
              <w:rPr>
                <w:rFonts w:ascii="Calibri Light" w:hAnsi="Calibri Light" w:cs="Calibri Light"/>
                <w:i/>
                <w:iCs/>
                <w:color w:val="000000"/>
                <w:sz w:val="16"/>
                <w:szCs w:val="16"/>
              </w:rPr>
            </w:pPr>
            <w:r>
              <w:rPr>
                <w:rFonts w:ascii="Calibri Light" w:hAnsi="Calibri Light"/>
                <w:i/>
                <w:color w:val="000000"/>
                <w:sz w:val="16"/>
              </w:rPr>
              <w:t>(7)</w:t>
            </w:r>
          </w:p>
        </w:tc>
        <w:tc>
          <w:tcPr>
            <w:tcW w:w="789" w:type="pct"/>
            <w:tcBorders>
              <w:top w:val="nil"/>
              <w:left w:val="nil"/>
              <w:bottom w:val="nil"/>
              <w:right w:val="nil"/>
            </w:tcBorders>
            <w:shd w:val="clear" w:color="auto" w:fill="auto"/>
            <w:noWrap/>
            <w:vAlign w:val="bottom"/>
            <w:hideMark/>
          </w:tcPr>
          <w:p w14:paraId="7150BC12"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(122 000)</w:t>
            </w:r>
          </w:p>
        </w:tc>
        <w:tc>
          <w:tcPr>
            <w:tcW w:w="898" w:type="pct"/>
            <w:tcBorders>
              <w:top w:val="nil"/>
              <w:left w:val="nil"/>
              <w:bottom w:val="nil"/>
              <w:right w:val="nil"/>
            </w:tcBorders>
            <w:shd w:val="clear" w:color="auto" w:fill="auto"/>
            <w:noWrap/>
            <w:vAlign w:val="bottom"/>
            <w:hideMark/>
          </w:tcPr>
          <w:p w14:paraId="414BF347"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(1 375 600)</w:t>
            </w:r>
          </w:p>
        </w:tc>
      </w:tr>
      <w:tr w:rsidR="00A474E8" w:rsidRPr="00A474E8" w14:paraId="0D54F6FC" w14:textId="77777777" w:rsidTr="00C56737">
        <w:trPr>
          <w:trHeight w:val="20"/>
        </w:trPr>
        <w:tc>
          <w:tcPr>
            <w:tcW w:w="2817" w:type="pct"/>
            <w:gridSpan w:val="2"/>
            <w:tcBorders>
              <w:top w:val="nil"/>
              <w:left w:val="nil"/>
              <w:bottom w:val="nil"/>
              <w:right w:val="nil"/>
            </w:tcBorders>
            <w:shd w:val="clear" w:color="auto" w:fill="auto"/>
            <w:noWrap/>
            <w:vAlign w:val="bottom"/>
            <w:hideMark/>
          </w:tcPr>
          <w:p w14:paraId="13444C87" w14:textId="77777777" w:rsidR="00A474E8" w:rsidRPr="00A474E8" w:rsidRDefault="00A474E8">
            <w:pPr>
              <w:rPr>
                <w:rFonts w:ascii="Calibri Light" w:hAnsi="Calibri Light" w:cs="Calibri Light"/>
                <w:color w:val="000000"/>
                <w:sz w:val="16"/>
                <w:szCs w:val="16"/>
              </w:rPr>
            </w:pPr>
            <w:r>
              <w:rPr>
                <w:rFonts w:ascii="Calibri Light" w:hAnsi="Calibri Light"/>
                <w:color w:val="000000"/>
                <w:sz w:val="16"/>
              </w:rPr>
              <w:t>Cessions d’Immobilisations corporelles</w:t>
            </w:r>
          </w:p>
        </w:tc>
        <w:tc>
          <w:tcPr>
            <w:tcW w:w="496" w:type="pct"/>
            <w:tcBorders>
              <w:top w:val="nil"/>
              <w:left w:val="nil"/>
              <w:bottom w:val="nil"/>
              <w:right w:val="nil"/>
            </w:tcBorders>
            <w:shd w:val="clear" w:color="auto" w:fill="auto"/>
            <w:noWrap/>
            <w:vAlign w:val="bottom"/>
            <w:hideMark/>
          </w:tcPr>
          <w:p w14:paraId="3E388A12" w14:textId="77777777" w:rsidR="00A474E8" w:rsidRPr="00A474E8" w:rsidRDefault="00A474E8">
            <w:pPr>
              <w:jc w:val="center"/>
              <w:rPr>
                <w:rFonts w:ascii="Calibri Light" w:hAnsi="Calibri Light" w:cs="Calibri Light"/>
                <w:i/>
                <w:iCs/>
                <w:color w:val="000000"/>
                <w:sz w:val="16"/>
                <w:szCs w:val="16"/>
              </w:rPr>
            </w:pPr>
            <w:r>
              <w:rPr>
                <w:rFonts w:ascii="Calibri Light" w:hAnsi="Calibri Light"/>
                <w:i/>
                <w:color w:val="000000"/>
                <w:sz w:val="16"/>
              </w:rPr>
              <w:t>(7)</w:t>
            </w:r>
          </w:p>
        </w:tc>
        <w:tc>
          <w:tcPr>
            <w:tcW w:w="789" w:type="pct"/>
            <w:tcBorders>
              <w:top w:val="nil"/>
              <w:left w:val="nil"/>
              <w:bottom w:val="nil"/>
              <w:right w:val="nil"/>
            </w:tcBorders>
            <w:shd w:val="clear" w:color="auto" w:fill="auto"/>
            <w:noWrap/>
            <w:vAlign w:val="bottom"/>
            <w:hideMark/>
          </w:tcPr>
          <w:p w14:paraId="1A15A2C4"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609 710</w:t>
            </w:r>
          </w:p>
        </w:tc>
        <w:tc>
          <w:tcPr>
            <w:tcW w:w="898" w:type="pct"/>
            <w:tcBorders>
              <w:top w:val="nil"/>
              <w:left w:val="nil"/>
              <w:bottom w:val="nil"/>
              <w:right w:val="nil"/>
            </w:tcBorders>
            <w:shd w:val="clear" w:color="auto" w:fill="auto"/>
            <w:noWrap/>
            <w:vAlign w:val="bottom"/>
            <w:hideMark/>
          </w:tcPr>
          <w:p w14:paraId="4B1204F5" w14:textId="44098B47" w:rsidR="00A474E8" w:rsidRPr="00A474E8" w:rsidRDefault="00C56737">
            <w:pPr>
              <w:jc w:val="right"/>
              <w:rPr>
                <w:rFonts w:ascii="Calibri Light" w:hAnsi="Calibri Light" w:cs="Calibri Light"/>
                <w:color w:val="000000"/>
                <w:sz w:val="16"/>
                <w:szCs w:val="16"/>
              </w:rPr>
            </w:pPr>
            <w:r>
              <w:rPr>
                <w:rFonts w:ascii="Calibri Light" w:hAnsi="Calibri Light"/>
                <w:color w:val="000000"/>
                <w:sz w:val="16"/>
              </w:rPr>
              <w:t>-</w:t>
            </w:r>
          </w:p>
        </w:tc>
      </w:tr>
      <w:tr w:rsidR="00A474E8" w:rsidRPr="00A474E8" w14:paraId="7589B747" w14:textId="77777777" w:rsidTr="00C56737">
        <w:trPr>
          <w:trHeight w:val="20"/>
        </w:trPr>
        <w:tc>
          <w:tcPr>
            <w:tcW w:w="2817" w:type="pct"/>
            <w:gridSpan w:val="2"/>
            <w:tcBorders>
              <w:top w:val="nil"/>
              <w:left w:val="nil"/>
              <w:bottom w:val="nil"/>
              <w:right w:val="nil"/>
            </w:tcBorders>
            <w:shd w:val="clear" w:color="auto" w:fill="auto"/>
            <w:noWrap/>
            <w:vAlign w:val="bottom"/>
            <w:hideMark/>
          </w:tcPr>
          <w:p w14:paraId="0F93DC12" w14:textId="77777777" w:rsidR="00A474E8" w:rsidRPr="00A474E8" w:rsidRDefault="00A474E8">
            <w:pPr>
              <w:rPr>
                <w:rFonts w:ascii="Calibri Light" w:hAnsi="Calibri Light" w:cs="Calibri Light"/>
                <w:color w:val="000000"/>
                <w:sz w:val="16"/>
                <w:szCs w:val="16"/>
              </w:rPr>
            </w:pPr>
            <w:r>
              <w:rPr>
                <w:rFonts w:ascii="Calibri Light" w:hAnsi="Calibri Light"/>
                <w:color w:val="000000"/>
                <w:sz w:val="16"/>
              </w:rPr>
              <w:t>Investissements en immobilisations incorporelles et droits d'utilisation</w:t>
            </w:r>
          </w:p>
        </w:tc>
        <w:tc>
          <w:tcPr>
            <w:tcW w:w="496" w:type="pct"/>
            <w:tcBorders>
              <w:top w:val="nil"/>
              <w:left w:val="nil"/>
              <w:bottom w:val="nil"/>
              <w:right w:val="nil"/>
            </w:tcBorders>
            <w:shd w:val="clear" w:color="auto" w:fill="auto"/>
            <w:noWrap/>
            <w:vAlign w:val="bottom"/>
            <w:hideMark/>
          </w:tcPr>
          <w:p w14:paraId="366E4CB2" w14:textId="77777777" w:rsidR="00A474E8" w:rsidRPr="00A474E8" w:rsidRDefault="00A474E8">
            <w:pPr>
              <w:jc w:val="center"/>
              <w:rPr>
                <w:rFonts w:ascii="Calibri Light" w:hAnsi="Calibri Light" w:cs="Calibri Light"/>
                <w:i/>
                <w:iCs/>
                <w:color w:val="000000"/>
                <w:sz w:val="16"/>
                <w:szCs w:val="16"/>
              </w:rPr>
            </w:pPr>
            <w:r>
              <w:rPr>
                <w:rFonts w:ascii="Calibri Light" w:hAnsi="Calibri Light"/>
                <w:i/>
                <w:color w:val="000000"/>
                <w:sz w:val="16"/>
              </w:rPr>
              <w:t>(8) - (9)</w:t>
            </w:r>
          </w:p>
        </w:tc>
        <w:tc>
          <w:tcPr>
            <w:tcW w:w="789" w:type="pct"/>
            <w:tcBorders>
              <w:top w:val="nil"/>
              <w:left w:val="nil"/>
              <w:bottom w:val="nil"/>
              <w:right w:val="nil"/>
            </w:tcBorders>
            <w:shd w:val="clear" w:color="auto" w:fill="auto"/>
            <w:noWrap/>
            <w:vAlign w:val="bottom"/>
            <w:hideMark/>
          </w:tcPr>
          <w:p w14:paraId="40811E4F"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(106 900)</w:t>
            </w:r>
          </w:p>
        </w:tc>
        <w:tc>
          <w:tcPr>
            <w:tcW w:w="898" w:type="pct"/>
            <w:tcBorders>
              <w:top w:val="nil"/>
              <w:left w:val="nil"/>
              <w:bottom w:val="nil"/>
              <w:right w:val="nil"/>
            </w:tcBorders>
            <w:shd w:val="clear" w:color="auto" w:fill="auto"/>
            <w:noWrap/>
            <w:vAlign w:val="bottom"/>
            <w:hideMark/>
          </w:tcPr>
          <w:p w14:paraId="347487C7"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372 725</w:t>
            </w:r>
          </w:p>
        </w:tc>
      </w:tr>
      <w:tr w:rsidR="00A474E8" w:rsidRPr="00A474E8" w14:paraId="1D01304F" w14:textId="77777777" w:rsidTr="0061181E">
        <w:trPr>
          <w:trHeight w:val="20"/>
        </w:trPr>
        <w:tc>
          <w:tcPr>
            <w:tcW w:w="2817" w:type="pct"/>
            <w:gridSpan w:val="2"/>
            <w:tcBorders>
              <w:top w:val="nil"/>
              <w:left w:val="nil"/>
              <w:right w:val="nil"/>
            </w:tcBorders>
            <w:shd w:val="clear" w:color="auto" w:fill="auto"/>
            <w:noWrap/>
            <w:vAlign w:val="bottom"/>
            <w:hideMark/>
          </w:tcPr>
          <w:p w14:paraId="1A71DEA9" w14:textId="77777777" w:rsidR="00A474E8" w:rsidRPr="00A474E8" w:rsidRDefault="00A474E8">
            <w:pPr>
              <w:rPr>
                <w:rFonts w:ascii="Calibri Light" w:hAnsi="Calibri Light" w:cs="Calibri Light"/>
                <w:color w:val="000000"/>
                <w:sz w:val="16"/>
                <w:szCs w:val="16"/>
              </w:rPr>
            </w:pPr>
            <w:r>
              <w:rPr>
                <w:rFonts w:ascii="Calibri Light" w:hAnsi="Calibri Light"/>
                <w:color w:val="000000"/>
                <w:sz w:val="16"/>
              </w:rPr>
              <w:t>Placements en actions dans d'autres sociétés</w:t>
            </w:r>
          </w:p>
        </w:tc>
        <w:tc>
          <w:tcPr>
            <w:tcW w:w="496" w:type="pct"/>
            <w:tcBorders>
              <w:top w:val="nil"/>
              <w:left w:val="nil"/>
              <w:right w:val="nil"/>
            </w:tcBorders>
            <w:shd w:val="clear" w:color="auto" w:fill="auto"/>
            <w:noWrap/>
            <w:vAlign w:val="bottom"/>
            <w:hideMark/>
          </w:tcPr>
          <w:p w14:paraId="1D77AB86" w14:textId="77777777" w:rsidR="00A474E8" w:rsidRPr="00A474E8" w:rsidRDefault="00A474E8">
            <w:pPr>
              <w:rPr>
                <w:rFonts w:ascii="Calibri Light" w:hAnsi="Calibri Light" w:cs="Calibri Light"/>
                <w:color w:val="000000"/>
                <w:sz w:val="16"/>
                <w:szCs w:val="16"/>
              </w:rPr>
            </w:pPr>
          </w:p>
        </w:tc>
        <w:tc>
          <w:tcPr>
            <w:tcW w:w="789" w:type="pct"/>
            <w:tcBorders>
              <w:top w:val="nil"/>
              <w:left w:val="nil"/>
              <w:bottom w:val="single" w:sz="4" w:space="0" w:color="auto"/>
              <w:right w:val="nil"/>
            </w:tcBorders>
            <w:shd w:val="clear" w:color="auto" w:fill="auto"/>
            <w:noWrap/>
            <w:vAlign w:val="bottom"/>
            <w:hideMark/>
          </w:tcPr>
          <w:p w14:paraId="12FBFB04" w14:textId="3D31004E" w:rsidR="00A474E8" w:rsidRPr="00A474E8" w:rsidRDefault="00C56737">
            <w:pPr>
              <w:jc w:val="right"/>
              <w:rPr>
                <w:rFonts w:ascii="Calibri Light" w:hAnsi="Calibri Light" w:cs="Calibri Light"/>
                <w:color w:val="000000"/>
                <w:sz w:val="16"/>
                <w:szCs w:val="16"/>
              </w:rPr>
            </w:pPr>
            <w:r>
              <w:rPr>
                <w:rFonts w:ascii="Calibri Light" w:hAnsi="Calibri Light"/>
                <w:color w:val="000000"/>
                <w:sz w:val="16"/>
              </w:rPr>
              <w:t>-</w:t>
            </w:r>
          </w:p>
        </w:tc>
        <w:tc>
          <w:tcPr>
            <w:tcW w:w="898" w:type="pct"/>
            <w:tcBorders>
              <w:top w:val="nil"/>
              <w:left w:val="nil"/>
              <w:bottom w:val="single" w:sz="4" w:space="0" w:color="auto"/>
              <w:right w:val="nil"/>
            </w:tcBorders>
            <w:shd w:val="clear" w:color="auto" w:fill="auto"/>
            <w:noWrap/>
            <w:vAlign w:val="bottom"/>
            <w:hideMark/>
          </w:tcPr>
          <w:p w14:paraId="67D978EE"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(100 000)</w:t>
            </w:r>
          </w:p>
        </w:tc>
      </w:tr>
      <w:tr w:rsidR="00A474E8" w:rsidRPr="00A474E8" w14:paraId="54297C4F" w14:textId="77777777" w:rsidTr="0061181E">
        <w:trPr>
          <w:trHeight w:val="20"/>
        </w:trPr>
        <w:tc>
          <w:tcPr>
            <w:tcW w:w="2817" w:type="pct"/>
            <w:gridSpan w:val="2"/>
            <w:tcBorders>
              <w:left w:val="nil"/>
              <w:bottom w:val="nil"/>
              <w:right w:val="nil"/>
            </w:tcBorders>
            <w:shd w:val="clear" w:color="auto" w:fill="auto"/>
            <w:noWrap/>
            <w:vAlign w:val="bottom"/>
            <w:hideMark/>
          </w:tcPr>
          <w:p w14:paraId="51A7051D" w14:textId="77777777" w:rsidR="00A474E8" w:rsidRPr="00A474E8" w:rsidRDefault="00A474E8">
            <w:pPr>
              <w:rPr>
                <w:rFonts w:ascii="Calibri Light" w:hAnsi="Calibri Light" w:cs="Calibri Light"/>
                <w:b/>
                <w:bCs/>
                <w:color w:val="000000"/>
                <w:sz w:val="16"/>
                <w:szCs w:val="16"/>
              </w:rPr>
            </w:pPr>
            <w:r>
              <w:rPr>
                <w:rFonts w:ascii="Calibri Light" w:hAnsi="Calibri Light"/>
                <w:b/>
                <w:color w:val="000000"/>
                <w:sz w:val="16"/>
              </w:rPr>
              <w:t>Flux de trésorerie net provenant des activités d’investissement</w:t>
            </w:r>
          </w:p>
        </w:tc>
        <w:tc>
          <w:tcPr>
            <w:tcW w:w="496" w:type="pct"/>
            <w:tcBorders>
              <w:left w:val="nil"/>
              <w:bottom w:val="nil"/>
              <w:right w:val="nil"/>
            </w:tcBorders>
            <w:shd w:val="clear" w:color="auto" w:fill="auto"/>
            <w:noWrap/>
            <w:vAlign w:val="bottom"/>
            <w:hideMark/>
          </w:tcPr>
          <w:p w14:paraId="0F7C0F24" w14:textId="77777777" w:rsidR="00A474E8" w:rsidRPr="00A474E8" w:rsidRDefault="00A474E8">
            <w:pPr>
              <w:rPr>
                <w:rFonts w:ascii="Calibri Light" w:hAnsi="Calibri Light" w:cs="Calibri Light"/>
                <w:b/>
                <w:bCs/>
                <w:color w:val="000000"/>
                <w:sz w:val="16"/>
                <w:szCs w:val="16"/>
              </w:rPr>
            </w:pPr>
          </w:p>
        </w:tc>
        <w:tc>
          <w:tcPr>
            <w:tcW w:w="789" w:type="pct"/>
            <w:tcBorders>
              <w:top w:val="single" w:sz="4" w:space="0" w:color="auto"/>
              <w:left w:val="nil"/>
              <w:bottom w:val="nil"/>
              <w:right w:val="nil"/>
            </w:tcBorders>
            <w:shd w:val="clear" w:color="auto" w:fill="auto"/>
            <w:noWrap/>
            <w:vAlign w:val="bottom"/>
            <w:hideMark/>
          </w:tcPr>
          <w:p w14:paraId="255D973F" w14:textId="77777777" w:rsidR="00A474E8" w:rsidRPr="00A474E8" w:rsidRDefault="00A474E8">
            <w:pPr>
              <w:jc w:val="right"/>
              <w:rPr>
                <w:rFonts w:ascii="Calibri Light" w:hAnsi="Calibri Light" w:cs="Calibri Light"/>
                <w:b/>
                <w:bCs/>
                <w:color w:val="000000"/>
                <w:sz w:val="16"/>
                <w:szCs w:val="16"/>
              </w:rPr>
            </w:pPr>
            <w:r>
              <w:rPr>
                <w:rFonts w:ascii="Calibri Light" w:hAnsi="Calibri Light"/>
                <w:b/>
                <w:color w:val="000000"/>
                <w:sz w:val="16"/>
              </w:rPr>
              <w:t>380 810</w:t>
            </w:r>
          </w:p>
        </w:tc>
        <w:tc>
          <w:tcPr>
            <w:tcW w:w="898" w:type="pct"/>
            <w:tcBorders>
              <w:top w:val="single" w:sz="4" w:space="0" w:color="auto"/>
              <w:left w:val="nil"/>
              <w:bottom w:val="nil"/>
              <w:right w:val="nil"/>
            </w:tcBorders>
            <w:shd w:val="clear" w:color="auto" w:fill="auto"/>
            <w:noWrap/>
            <w:vAlign w:val="bottom"/>
            <w:hideMark/>
          </w:tcPr>
          <w:p w14:paraId="12800416" w14:textId="77777777" w:rsidR="00A474E8" w:rsidRPr="00A474E8" w:rsidRDefault="00A474E8">
            <w:pPr>
              <w:jc w:val="right"/>
              <w:rPr>
                <w:rFonts w:ascii="Calibri Light" w:hAnsi="Calibri Light" w:cs="Calibri Light"/>
                <w:b/>
                <w:bCs/>
                <w:color w:val="000000"/>
                <w:sz w:val="16"/>
                <w:szCs w:val="16"/>
              </w:rPr>
            </w:pPr>
            <w:r>
              <w:rPr>
                <w:rFonts w:ascii="Calibri Light" w:hAnsi="Calibri Light"/>
                <w:b/>
                <w:color w:val="000000"/>
                <w:sz w:val="16"/>
              </w:rPr>
              <w:t>(1 102 875)</w:t>
            </w:r>
          </w:p>
        </w:tc>
      </w:tr>
      <w:tr w:rsidR="00A474E8" w:rsidRPr="00A474E8" w14:paraId="6A996130" w14:textId="77777777" w:rsidTr="00C56737">
        <w:trPr>
          <w:trHeight w:val="20"/>
        </w:trPr>
        <w:tc>
          <w:tcPr>
            <w:tcW w:w="83" w:type="pct"/>
            <w:tcBorders>
              <w:top w:val="nil"/>
              <w:left w:val="nil"/>
              <w:bottom w:val="nil"/>
              <w:right w:val="nil"/>
            </w:tcBorders>
            <w:shd w:val="clear" w:color="auto" w:fill="auto"/>
            <w:noWrap/>
            <w:vAlign w:val="bottom"/>
            <w:hideMark/>
          </w:tcPr>
          <w:p w14:paraId="5692C501" w14:textId="77777777" w:rsidR="00A474E8" w:rsidRPr="00A474E8" w:rsidRDefault="00A474E8">
            <w:pPr>
              <w:jc w:val="right"/>
              <w:rPr>
                <w:rFonts w:ascii="Calibri Light" w:hAnsi="Calibri Light" w:cs="Calibri Light"/>
                <w:b/>
                <w:bCs/>
                <w:color w:val="000000"/>
                <w:sz w:val="16"/>
                <w:szCs w:val="16"/>
              </w:rPr>
            </w:pPr>
          </w:p>
        </w:tc>
        <w:tc>
          <w:tcPr>
            <w:tcW w:w="2734" w:type="pct"/>
            <w:tcBorders>
              <w:top w:val="nil"/>
              <w:left w:val="nil"/>
              <w:bottom w:val="nil"/>
              <w:right w:val="nil"/>
            </w:tcBorders>
            <w:shd w:val="clear" w:color="auto" w:fill="auto"/>
            <w:noWrap/>
            <w:vAlign w:val="bottom"/>
            <w:hideMark/>
          </w:tcPr>
          <w:p w14:paraId="579C9D31" w14:textId="77777777" w:rsidR="00A474E8" w:rsidRPr="00A474E8" w:rsidRDefault="00A474E8">
            <w:pPr>
              <w:rPr>
                <w:sz w:val="16"/>
                <w:szCs w:val="16"/>
              </w:rPr>
            </w:pPr>
          </w:p>
        </w:tc>
        <w:tc>
          <w:tcPr>
            <w:tcW w:w="496" w:type="pct"/>
            <w:tcBorders>
              <w:top w:val="nil"/>
              <w:left w:val="nil"/>
              <w:bottom w:val="nil"/>
              <w:right w:val="nil"/>
            </w:tcBorders>
            <w:shd w:val="clear" w:color="auto" w:fill="auto"/>
            <w:noWrap/>
            <w:vAlign w:val="bottom"/>
            <w:hideMark/>
          </w:tcPr>
          <w:p w14:paraId="2E4734DF" w14:textId="77777777" w:rsidR="00A474E8" w:rsidRPr="00A474E8" w:rsidRDefault="00A474E8">
            <w:pPr>
              <w:rPr>
                <w:sz w:val="16"/>
                <w:szCs w:val="16"/>
              </w:rPr>
            </w:pPr>
          </w:p>
        </w:tc>
        <w:tc>
          <w:tcPr>
            <w:tcW w:w="789" w:type="pct"/>
            <w:tcBorders>
              <w:top w:val="nil"/>
              <w:left w:val="nil"/>
              <w:bottom w:val="nil"/>
              <w:right w:val="nil"/>
            </w:tcBorders>
            <w:shd w:val="clear" w:color="auto" w:fill="auto"/>
            <w:noWrap/>
            <w:vAlign w:val="bottom"/>
            <w:hideMark/>
          </w:tcPr>
          <w:p w14:paraId="7CC42134" w14:textId="77777777" w:rsidR="00A474E8" w:rsidRPr="00A474E8" w:rsidRDefault="00A474E8">
            <w:pPr>
              <w:jc w:val="center"/>
              <w:rPr>
                <w:sz w:val="16"/>
                <w:szCs w:val="16"/>
              </w:rPr>
            </w:pPr>
          </w:p>
        </w:tc>
        <w:tc>
          <w:tcPr>
            <w:tcW w:w="898" w:type="pct"/>
            <w:tcBorders>
              <w:top w:val="nil"/>
              <w:left w:val="nil"/>
              <w:bottom w:val="nil"/>
              <w:right w:val="nil"/>
            </w:tcBorders>
            <w:shd w:val="clear" w:color="auto" w:fill="auto"/>
            <w:noWrap/>
            <w:vAlign w:val="bottom"/>
            <w:hideMark/>
          </w:tcPr>
          <w:p w14:paraId="0B3AD210" w14:textId="77777777" w:rsidR="00A474E8" w:rsidRPr="00A474E8" w:rsidRDefault="00A474E8">
            <w:pPr>
              <w:rPr>
                <w:sz w:val="16"/>
                <w:szCs w:val="16"/>
              </w:rPr>
            </w:pPr>
          </w:p>
        </w:tc>
      </w:tr>
      <w:tr w:rsidR="00A474E8" w:rsidRPr="00A474E8" w14:paraId="0D63E723" w14:textId="77777777" w:rsidTr="00C56737">
        <w:trPr>
          <w:trHeight w:val="20"/>
        </w:trPr>
        <w:tc>
          <w:tcPr>
            <w:tcW w:w="2817" w:type="pct"/>
            <w:gridSpan w:val="2"/>
            <w:tcBorders>
              <w:top w:val="nil"/>
              <w:left w:val="nil"/>
              <w:bottom w:val="nil"/>
              <w:right w:val="nil"/>
            </w:tcBorders>
            <w:shd w:val="clear" w:color="auto" w:fill="auto"/>
            <w:noWrap/>
            <w:vAlign w:val="bottom"/>
            <w:hideMark/>
          </w:tcPr>
          <w:p w14:paraId="1932632E" w14:textId="77777777" w:rsidR="00A474E8" w:rsidRPr="00A474E8" w:rsidRDefault="00A474E8">
            <w:pPr>
              <w:rPr>
                <w:rFonts w:ascii="Calibri Light" w:hAnsi="Calibri Light" w:cs="Calibri Light"/>
                <w:b/>
                <w:bCs/>
                <w:color w:val="000000"/>
                <w:sz w:val="16"/>
                <w:szCs w:val="16"/>
              </w:rPr>
            </w:pPr>
            <w:r>
              <w:rPr>
                <w:rFonts w:ascii="Calibri Light" w:hAnsi="Calibri Light"/>
                <w:b/>
                <w:color w:val="000000"/>
                <w:sz w:val="16"/>
              </w:rPr>
              <w:t>Activités de financement</w:t>
            </w:r>
          </w:p>
        </w:tc>
        <w:tc>
          <w:tcPr>
            <w:tcW w:w="496" w:type="pct"/>
            <w:tcBorders>
              <w:top w:val="nil"/>
              <w:left w:val="nil"/>
              <w:bottom w:val="nil"/>
              <w:right w:val="nil"/>
            </w:tcBorders>
            <w:shd w:val="clear" w:color="auto" w:fill="auto"/>
            <w:noWrap/>
            <w:vAlign w:val="bottom"/>
            <w:hideMark/>
          </w:tcPr>
          <w:p w14:paraId="3D138F0A" w14:textId="77777777" w:rsidR="00A474E8" w:rsidRPr="00A474E8" w:rsidRDefault="00A474E8">
            <w:pPr>
              <w:rPr>
                <w:rFonts w:ascii="Calibri Light" w:hAnsi="Calibri Light" w:cs="Calibri Light"/>
                <w:b/>
                <w:bCs/>
                <w:color w:val="000000"/>
                <w:sz w:val="16"/>
                <w:szCs w:val="16"/>
              </w:rPr>
            </w:pPr>
          </w:p>
        </w:tc>
        <w:tc>
          <w:tcPr>
            <w:tcW w:w="789" w:type="pct"/>
            <w:tcBorders>
              <w:top w:val="nil"/>
              <w:left w:val="nil"/>
              <w:bottom w:val="nil"/>
              <w:right w:val="nil"/>
            </w:tcBorders>
            <w:shd w:val="clear" w:color="auto" w:fill="auto"/>
            <w:noWrap/>
            <w:vAlign w:val="bottom"/>
            <w:hideMark/>
          </w:tcPr>
          <w:p w14:paraId="3263365F" w14:textId="77777777" w:rsidR="00A474E8" w:rsidRPr="00A474E8" w:rsidRDefault="00A474E8">
            <w:pPr>
              <w:jc w:val="center"/>
              <w:rPr>
                <w:sz w:val="16"/>
                <w:szCs w:val="16"/>
              </w:rPr>
            </w:pPr>
          </w:p>
        </w:tc>
        <w:tc>
          <w:tcPr>
            <w:tcW w:w="898" w:type="pct"/>
            <w:tcBorders>
              <w:top w:val="nil"/>
              <w:left w:val="nil"/>
              <w:bottom w:val="nil"/>
              <w:right w:val="nil"/>
            </w:tcBorders>
            <w:shd w:val="clear" w:color="auto" w:fill="auto"/>
            <w:noWrap/>
            <w:vAlign w:val="bottom"/>
            <w:hideMark/>
          </w:tcPr>
          <w:p w14:paraId="232995C8" w14:textId="77777777" w:rsidR="00A474E8" w:rsidRPr="00A474E8" w:rsidRDefault="00A474E8">
            <w:pPr>
              <w:rPr>
                <w:sz w:val="16"/>
                <w:szCs w:val="16"/>
              </w:rPr>
            </w:pPr>
          </w:p>
        </w:tc>
      </w:tr>
      <w:tr w:rsidR="00A474E8" w:rsidRPr="00A474E8" w14:paraId="3F1E8604" w14:textId="77777777" w:rsidTr="00C56737">
        <w:trPr>
          <w:trHeight w:val="20"/>
        </w:trPr>
        <w:tc>
          <w:tcPr>
            <w:tcW w:w="2817" w:type="pct"/>
            <w:gridSpan w:val="2"/>
            <w:tcBorders>
              <w:top w:val="nil"/>
              <w:left w:val="nil"/>
              <w:bottom w:val="nil"/>
              <w:right w:val="nil"/>
            </w:tcBorders>
            <w:shd w:val="clear" w:color="auto" w:fill="auto"/>
            <w:noWrap/>
            <w:vAlign w:val="bottom"/>
            <w:hideMark/>
          </w:tcPr>
          <w:p w14:paraId="4CA6D626" w14:textId="77777777" w:rsidR="00A474E8" w:rsidRPr="00A474E8" w:rsidRDefault="00A474E8">
            <w:pPr>
              <w:rPr>
                <w:rFonts w:ascii="Calibri Light" w:hAnsi="Calibri Light" w:cs="Calibri Light"/>
                <w:color w:val="000000"/>
                <w:sz w:val="16"/>
                <w:szCs w:val="16"/>
              </w:rPr>
            </w:pPr>
            <w:r>
              <w:rPr>
                <w:rFonts w:ascii="Calibri Light" w:hAnsi="Calibri Light"/>
                <w:color w:val="000000"/>
                <w:sz w:val="16"/>
              </w:rPr>
              <w:t>Ouverture de prêts à moyen/long terme</w:t>
            </w:r>
          </w:p>
        </w:tc>
        <w:tc>
          <w:tcPr>
            <w:tcW w:w="496" w:type="pct"/>
            <w:tcBorders>
              <w:top w:val="nil"/>
              <w:left w:val="nil"/>
              <w:bottom w:val="nil"/>
              <w:right w:val="nil"/>
            </w:tcBorders>
            <w:shd w:val="clear" w:color="auto" w:fill="auto"/>
            <w:noWrap/>
            <w:vAlign w:val="bottom"/>
            <w:hideMark/>
          </w:tcPr>
          <w:p w14:paraId="37723EA1" w14:textId="77777777" w:rsidR="00A474E8" w:rsidRPr="00A474E8" w:rsidRDefault="00A474E8" w:rsidP="00091BEF">
            <w:pPr>
              <w:jc w:val="center"/>
              <w:rPr>
                <w:rFonts w:ascii="Calibri Light" w:hAnsi="Calibri Light" w:cs="Calibri Light"/>
                <w:i/>
                <w:iCs/>
                <w:color w:val="000000"/>
                <w:sz w:val="16"/>
                <w:szCs w:val="16"/>
              </w:rPr>
            </w:pPr>
            <w:r>
              <w:rPr>
                <w:rFonts w:ascii="Calibri Light" w:hAnsi="Calibri Light"/>
                <w:i/>
                <w:color w:val="000000"/>
                <w:sz w:val="16"/>
              </w:rPr>
              <w:t>(18) - (24)</w:t>
            </w:r>
          </w:p>
        </w:tc>
        <w:tc>
          <w:tcPr>
            <w:tcW w:w="789" w:type="pct"/>
            <w:tcBorders>
              <w:top w:val="nil"/>
              <w:left w:val="nil"/>
              <w:bottom w:val="nil"/>
              <w:right w:val="nil"/>
            </w:tcBorders>
            <w:shd w:val="clear" w:color="auto" w:fill="auto"/>
            <w:noWrap/>
            <w:vAlign w:val="bottom"/>
            <w:hideMark/>
          </w:tcPr>
          <w:p w14:paraId="34D983A0" w14:textId="4E26C6B6" w:rsidR="00A474E8" w:rsidRPr="00A474E8" w:rsidRDefault="001B4D73">
            <w:pPr>
              <w:jc w:val="right"/>
              <w:rPr>
                <w:rFonts w:ascii="Calibri Light" w:hAnsi="Calibri Light" w:cs="Calibri Light"/>
                <w:color w:val="000000"/>
                <w:sz w:val="16"/>
                <w:szCs w:val="16"/>
              </w:rPr>
            </w:pPr>
            <w:r>
              <w:rPr>
                <w:rFonts w:ascii="Calibri Light" w:hAnsi="Calibri Light"/>
                <w:color w:val="000000"/>
                <w:sz w:val="16"/>
              </w:rPr>
              <w:t>750 000</w:t>
            </w:r>
          </w:p>
        </w:tc>
        <w:tc>
          <w:tcPr>
            <w:tcW w:w="898" w:type="pct"/>
            <w:tcBorders>
              <w:top w:val="nil"/>
              <w:left w:val="nil"/>
              <w:bottom w:val="nil"/>
              <w:right w:val="nil"/>
            </w:tcBorders>
            <w:shd w:val="clear" w:color="auto" w:fill="auto"/>
            <w:noWrap/>
            <w:vAlign w:val="bottom"/>
            <w:hideMark/>
          </w:tcPr>
          <w:p w14:paraId="179B6280"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2 570 792</w:t>
            </w:r>
          </w:p>
        </w:tc>
      </w:tr>
      <w:tr w:rsidR="00A474E8" w:rsidRPr="00A474E8" w14:paraId="53136469" w14:textId="77777777" w:rsidTr="00C56737">
        <w:trPr>
          <w:trHeight w:val="20"/>
        </w:trPr>
        <w:tc>
          <w:tcPr>
            <w:tcW w:w="2817" w:type="pct"/>
            <w:gridSpan w:val="2"/>
            <w:tcBorders>
              <w:top w:val="nil"/>
              <w:left w:val="nil"/>
              <w:bottom w:val="nil"/>
              <w:right w:val="nil"/>
            </w:tcBorders>
            <w:shd w:val="clear" w:color="auto" w:fill="auto"/>
            <w:noWrap/>
            <w:vAlign w:val="bottom"/>
            <w:hideMark/>
          </w:tcPr>
          <w:p w14:paraId="1108262A" w14:textId="77777777" w:rsidR="00A474E8" w:rsidRPr="00A474E8" w:rsidRDefault="00A474E8">
            <w:pPr>
              <w:rPr>
                <w:rFonts w:ascii="Calibri Light" w:hAnsi="Calibri Light" w:cs="Calibri Light"/>
                <w:color w:val="000000"/>
                <w:sz w:val="16"/>
                <w:szCs w:val="16"/>
              </w:rPr>
            </w:pPr>
            <w:r>
              <w:rPr>
                <w:rFonts w:ascii="Calibri Light" w:hAnsi="Calibri Light"/>
                <w:color w:val="000000"/>
                <w:sz w:val="16"/>
              </w:rPr>
              <w:t>Remboursement de prêts à moyen/long terme</w:t>
            </w:r>
          </w:p>
        </w:tc>
        <w:tc>
          <w:tcPr>
            <w:tcW w:w="496" w:type="pct"/>
            <w:tcBorders>
              <w:top w:val="nil"/>
              <w:left w:val="nil"/>
              <w:bottom w:val="nil"/>
              <w:right w:val="nil"/>
            </w:tcBorders>
            <w:shd w:val="clear" w:color="auto" w:fill="auto"/>
            <w:noWrap/>
            <w:vAlign w:val="bottom"/>
            <w:hideMark/>
          </w:tcPr>
          <w:p w14:paraId="00ACE384" w14:textId="77777777" w:rsidR="00A474E8" w:rsidRPr="00A474E8" w:rsidRDefault="00A474E8" w:rsidP="00091BEF">
            <w:pPr>
              <w:jc w:val="center"/>
              <w:rPr>
                <w:rFonts w:ascii="Calibri Light" w:hAnsi="Calibri Light" w:cs="Calibri Light"/>
                <w:i/>
                <w:iCs/>
                <w:color w:val="000000"/>
                <w:sz w:val="16"/>
                <w:szCs w:val="16"/>
              </w:rPr>
            </w:pPr>
            <w:r>
              <w:rPr>
                <w:rFonts w:ascii="Calibri Light" w:hAnsi="Calibri Light"/>
                <w:i/>
                <w:color w:val="000000"/>
                <w:sz w:val="16"/>
              </w:rPr>
              <w:t>(18) - (24)</w:t>
            </w:r>
          </w:p>
        </w:tc>
        <w:tc>
          <w:tcPr>
            <w:tcW w:w="789" w:type="pct"/>
            <w:tcBorders>
              <w:top w:val="nil"/>
              <w:left w:val="nil"/>
              <w:bottom w:val="nil"/>
              <w:right w:val="nil"/>
            </w:tcBorders>
            <w:shd w:val="clear" w:color="auto" w:fill="auto"/>
            <w:noWrap/>
            <w:vAlign w:val="bottom"/>
            <w:hideMark/>
          </w:tcPr>
          <w:p w14:paraId="03A0F2A8"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(489 825)</w:t>
            </w:r>
          </w:p>
        </w:tc>
        <w:tc>
          <w:tcPr>
            <w:tcW w:w="898" w:type="pct"/>
            <w:tcBorders>
              <w:top w:val="nil"/>
              <w:left w:val="nil"/>
              <w:bottom w:val="nil"/>
              <w:right w:val="nil"/>
            </w:tcBorders>
            <w:shd w:val="clear" w:color="000000" w:fill="FFFFFF"/>
            <w:noWrap/>
            <w:vAlign w:val="bottom"/>
            <w:hideMark/>
          </w:tcPr>
          <w:p w14:paraId="5089D73F"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(331 456)</w:t>
            </w:r>
          </w:p>
        </w:tc>
      </w:tr>
      <w:tr w:rsidR="00C56737" w:rsidRPr="00A474E8" w14:paraId="0E00069D" w14:textId="77777777" w:rsidTr="0061181E">
        <w:trPr>
          <w:trHeight w:val="20"/>
        </w:trPr>
        <w:tc>
          <w:tcPr>
            <w:tcW w:w="2817" w:type="pct"/>
            <w:gridSpan w:val="2"/>
            <w:tcBorders>
              <w:top w:val="nil"/>
              <w:left w:val="nil"/>
              <w:bottom w:val="nil"/>
              <w:right w:val="nil"/>
            </w:tcBorders>
            <w:shd w:val="clear" w:color="auto" w:fill="auto"/>
            <w:noWrap/>
            <w:vAlign w:val="bottom"/>
            <w:hideMark/>
          </w:tcPr>
          <w:p w14:paraId="29FFE68A" w14:textId="77777777" w:rsidR="00C56737" w:rsidRPr="00A474E8" w:rsidRDefault="00C56737" w:rsidP="00C56737">
            <w:pPr>
              <w:outlineLvl w:val="0"/>
              <w:rPr>
                <w:rFonts w:ascii="Calibri Light" w:hAnsi="Calibri Light" w:cs="Calibri Light"/>
                <w:color w:val="000000"/>
                <w:sz w:val="16"/>
                <w:szCs w:val="16"/>
              </w:rPr>
            </w:pPr>
            <w:bookmarkStart w:id="48" w:name="_Toc101455491"/>
            <w:bookmarkStart w:id="49" w:name="_Toc112768619"/>
            <w:r>
              <w:rPr>
                <w:rFonts w:ascii="Calibri Light" w:hAnsi="Calibri Light"/>
                <w:color w:val="000000"/>
                <w:sz w:val="16"/>
              </w:rPr>
              <w:t>Ouverture/(remboursement) de prêts à court terme</w:t>
            </w:r>
            <w:bookmarkEnd w:id="48"/>
            <w:bookmarkEnd w:id="49"/>
          </w:p>
        </w:tc>
        <w:tc>
          <w:tcPr>
            <w:tcW w:w="496" w:type="pct"/>
            <w:tcBorders>
              <w:top w:val="nil"/>
              <w:left w:val="nil"/>
              <w:bottom w:val="nil"/>
              <w:right w:val="nil"/>
            </w:tcBorders>
            <w:shd w:val="clear" w:color="auto" w:fill="auto"/>
            <w:noWrap/>
            <w:vAlign w:val="bottom"/>
            <w:hideMark/>
          </w:tcPr>
          <w:p w14:paraId="593C002B" w14:textId="5B8DFEF8" w:rsidR="00C56737" w:rsidRPr="00A474E8" w:rsidRDefault="00DE5E51" w:rsidP="0061181E">
            <w:pPr>
              <w:jc w:val="center"/>
              <w:outlineLvl w:val="0"/>
              <w:rPr>
                <w:rFonts w:ascii="Calibri Light" w:hAnsi="Calibri Light" w:cs="Calibri Light"/>
                <w:color w:val="000000"/>
                <w:sz w:val="16"/>
                <w:szCs w:val="16"/>
              </w:rPr>
            </w:pPr>
            <w:bookmarkStart w:id="50" w:name="_Toc101455492"/>
            <w:bookmarkStart w:id="51" w:name="_Toc112768620"/>
            <w:r>
              <w:rPr>
                <w:rFonts w:ascii="Calibri Light" w:hAnsi="Calibri Light"/>
                <w:i/>
                <w:color w:val="000000"/>
                <w:sz w:val="16"/>
              </w:rPr>
              <w:t>(18) - (24)</w:t>
            </w:r>
            <w:bookmarkEnd w:id="50"/>
            <w:bookmarkEnd w:id="51"/>
          </w:p>
        </w:tc>
        <w:tc>
          <w:tcPr>
            <w:tcW w:w="789" w:type="pct"/>
            <w:tcBorders>
              <w:top w:val="nil"/>
              <w:left w:val="nil"/>
              <w:bottom w:val="nil"/>
              <w:right w:val="nil"/>
            </w:tcBorders>
            <w:shd w:val="clear" w:color="auto" w:fill="auto"/>
            <w:noWrap/>
            <w:hideMark/>
          </w:tcPr>
          <w:p w14:paraId="6DDF48C3" w14:textId="2500F60A" w:rsidR="00C56737" w:rsidRPr="00A474E8" w:rsidRDefault="001B4D73" w:rsidP="00C56737">
            <w:pPr>
              <w:jc w:val="right"/>
              <w:outlineLvl w:val="0"/>
              <w:rPr>
                <w:rFonts w:ascii="Calibri Light" w:hAnsi="Calibri Light" w:cs="Calibri Light"/>
                <w:color w:val="000000"/>
                <w:sz w:val="16"/>
                <w:szCs w:val="16"/>
              </w:rPr>
            </w:pPr>
            <w:bookmarkStart w:id="52" w:name="_Toc101455493"/>
            <w:bookmarkStart w:id="53" w:name="_Toc112768621"/>
            <w:r>
              <w:rPr>
                <w:rFonts w:ascii="Calibri Light" w:hAnsi="Calibri Light"/>
                <w:color w:val="000000"/>
                <w:sz w:val="16"/>
              </w:rPr>
              <w:t>805 647</w:t>
            </w:r>
            <w:bookmarkEnd w:id="52"/>
            <w:bookmarkEnd w:id="53"/>
          </w:p>
        </w:tc>
        <w:tc>
          <w:tcPr>
            <w:tcW w:w="898" w:type="pct"/>
            <w:tcBorders>
              <w:top w:val="nil"/>
              <w:left w:val="nil"/>
              <w:bottom w:val="nil"/>
              <w:right w:val="nil"/>
            </w:tcBorders>
            <w:shd w:val="clear" w:color="auto" w:fill="auto"/>
            <w:noWrap/>
            <w:hideMark/>
          </w:tcPr>
          <w:p w14:paraId="29F74432" w14:textId="30EB9D66" w:rsidR="00C56737" w:rsidRPr="00A474E8" w:rsidRDefault="00C56737" w:rsidP="00C56737">
            <w:pPr>
              <w:jc w:val="right"/>
              <w:outlineLvl w:val="0"/>
              <w:rPr>
                <w:rFonts w:ascii="Calibri Light" w:hAnsi="Calibri Light" w:cs="Calibri Light"/>
                <w:color w:val="000000"/>
                <w:sz w:val="16"/>
                <w:szCs w:val="16"/>
              </w:rPr>
            </w:pPr>
            <w:bookmarkStart w:id="54" w:name="_Toc101455494"/>
            <w:bookmarkStart w:id="55" w:name="_Toc112768622"/>
            <w:r>
              <w:rPr>
                <w:rFonts w:ascii="Calibri Light" w:hAnsi="Calibri Light"/>
                <w:color w:val="000000"/>
                <w:sz w:val="16"/>
              </w:rPr>
              <w:t>-</w:t>
            </w:r>
            <w:bookmarkEnd w:id="54"/>
            <w:bookmarkEnd w:id="55"/>
          </w:p>
        </w:tc>
      </w:tr>
      <w:tr w:rsidR="00A474E8" w:rsidRPr="00A474E8" w14:paraId="68FB84F9" w14:textId="77777777" w:rsidTr="00C56737">
        <w:trPr>
          <w:trHeight w:val="20"/>
        </w:trPr>
        <w:tc>
          <w:tcPr>
            <w:tcW w:w="2817" w:type="pct"/>
            <w:gridSpan w:val="2"/>
            <w:tcBorders>
              <w:top w:val="nil"/>
              <w:left w:val="nil"/>
              <w:bottom w:val="nil"/>
              <w:right w:val="nil"/>
            </w:tcBorders>
            <w:shd w:val="clear" w:color="auto" w:fill="auto"/>
            <w:noWrap/>
            <w:vAlign w:val="bottom"/>
            <w:hideMark/>
          </w:tcPr>
          <w:p w14:paraId="2601B3A7" w14:textId="77777777" w:rsidR="00A474E8" w:rsidRPr="00A474E8" w:rsidRDefault="00A474E8">
            <w:pPr>
              <w:rPr>
                <w:rFonts w:ascii="Calibri Light" w:hAnsi="Calibri Light" w:cs="Calibri Light"/>
                <w:color w:val="000000"/>
                <w:sz w:val="16"/>
                <w:szCs w:val="16"/>
              </w:rPr>
            </w:pPr>
            <w:r>
              <w:rPr>
                <w:rFonts w:ascii="Calibri Light" w:hAnsi="Calibri Light"/>
                <w:color w:val="000000"/>
                <w:sz w:val="16"/>
              </w:rPr>
              <w:t>Remboursement des passifs financiers pour les droits d'utilisation sur les contrats de location</w:t>
            </w:r>
          </w:p>
        </w:tc>
        <w:tc>
          <w:tcPr>
            <w:tcW w:w="496" w:type="pct"/>
            <w:tcBorders>
              <w:top w:val="nil"/>
              <w:left w:val="nil"/>
              <w:bottom w:val="nil"/>
              <w:right w:val="nil"/>
            </w:tcBorders>
            <w:shd w:val="clear" w:color="auto" w:fill="auto"/>
            <w:noWrap/>
            <w:vAlign w:val="bottom"/>
            <w:hideMark/>
          </w:tcPr>
          <w:p w14:paraId="2A55E303" w14:textId="77777777" w:rsidR="00A474E8" w:rsidRPr="00A474E8" w:rsidRDefault="00A474E8">
            <w:pPr>
              <w:jc w:val="center"/>
              <w:rPr>
                <w:rFonts w:ascii="Calibri Light" w:hAnsi="Calibri Light" w:cs="Calibri Light"/>
                <w:i/>
                <w:iCs/>
                <w:color w:val="000000"/>
                <w:sz w:val="16"/>
                <w:szCs w:val="16"/>
              </w:rPr>
            </w:pPr>
            <w:r>
              <w:rPr>
                <w:rFonts w:ascii="Calibri Light" w:hAnsi="Calibri Light"/>
                <w:i/>
                <w:color w:val="000000"/>
                <w:sz w:val="16"/>
              </w:rPr>
              <w:t>(19) - (25)</w:t>
            </w:r>
          </w:p>
        </w:tc>
        <w:tc>
          <w:tcPr>
            <w:tcW w:w="789" w:type="pct"/>
            <w:tcBorders>
              <w:top w:val="nil"/>
              <w:left w:val="nil"/>
              <w:bottom w:val="nil"/>
              <w:right w:val="nil"/>
            </w:tcBorders>
            <w:shd w:val="clear" w:color="auto" w:fill="auto"/>
            <w:noWrap/>
            <w:vAlign w:val="bottom"/>
            <w:hideMark/>
          </w:tcPr>
          <w:p w14:paraId="3BF2BFA9"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(737 512)</w:t>
            </w:r>
          </w:p>
        </w:tc>
        <w:tc>
          <w:tcPr>
            <w:tcW w:w="898" w:type="pct"/>
            <w:tcBorders>
              <w:top w:val="nil"/>
              <w:left w:val="nil"/>
              <w:bottom w:val="nil"/>
              <w:right w:val="nil"/>
            </w:tcBorders>
            <w:shd w:val="clear" w:color="auto" w:fill="auto"/>
            <w:noWrap/>
            <w:vAlign w:val="bottom"/>
            <w:hideMark/>
          </w:tcPr>
          <w:p w14:paraId="6AAF7A81"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(910 454)</w:t>
            </w:r>
          </w:p>
        </w:tc>
      </w:tr>
      <w:tr w:rsidR="00C56737" w:rsidRPr="00A474E8" w14:paraId="668E0BC6" w14:textId="77777777" w:rsidTr="0061181E">
        <w:trPr>
          <w:trHeight w:val="20"/>
        </w:trPr>
        <w:tc>
          <w:tcPr>
            <w:tcW w:w="2817" w:type="pct"/>
            <w:gridSpan w:val="2"/>
            <w:tcBorders>
              <w:top w:val="nil"/>
              <w:left w:val="nil"/>
              <w:bottom w:val="nil"/>
              <w:right w:val="nil"/>
            </w:tcBorders>
            <w:shd w:val="clear" w:color="auto" w:fill="auto"/>
            <w:noWrap/>
            <w:vAlign w:val="bottom"/>
            <w:hideMark/>
          </w:tcPr>
          <w:p w14:paraId="7A17A2A0" w14:textId="77777777" w:rsidR="00C56737" w:rsidRPr="00A474E8" w:rsidRDefault="00C56737" w:rsidP="00C56737">
            <w:pPr>
              <w:rPr>
                <w:rFonts w:ascii="Calibri Light" w:hAnsi="Calibri Light" w:cs="Calibri Light"/>
                <w:color w:val="000000"/>
                <w:sz w:val="16"/>
                <w:szCs w:val="16"/>
              </w:rPr>
            </w:pPr>
            <w:r>
              <w:rPr>
                <w:rFonts w:ascii="Calibri Light" w:hAnsi="Calibri Light"/>
                <w:color w:val="000000"/>
                <w:sz w:val="16"/>
              </w:rPr>
              <w:t>Augmentation de capital social</w:t>
            </w:r>
          </w:p>
        </w:tc>
        <w:tc>
          <w:tcPr>
            <w:tcW w:w="496" w:type="pct"/>
            <w:tcBorders>
              <w:top w:val="nil"/>
              <w:left w:val="nil"/>
              <w:bottom w:val="nil"/>
              <w:right w:val="nil"/>
            </w:tcBorders>
            <w:shd w:val="clear" w:color="auto" w:fill="auto"/>
            <w:noWrap/>
            <w:vAlign w:val="bottom"/>
            <w:hideMark/>
          </w:tcPr>
          <w:p w14:paraId="77C6C8C9" w14:textId="77777777" w:rsidR="00C56737" w:rsidRPr="00A474E8" w:rsidRDefault="00C56737" w:rsidP="00C56737">
            <w:pPr>
              <w:jc w:val="center"/>
              <w:rPr>
                <w:rFonts w:ascii="Calibri Light" w:hAnsi="Calibri Light" w:cs="Calibri Light"/>
                <w:i/>
                <w:iCs/>
                <w:color w:val="000000"/>
                <w:sz w:val="16"/>
                <w:szCs w:val="16"/>
              </w:rPr>
            </w:pPr>
            <w:r>
              <w:rPr>
                <w:rFonts w:ascii="Calibri Light" w:hAnsi="Calibri Light"/>
                <w:i/>
                <w:color w:val="000000"/>
                <w:sz w:val="16"/>
              </w:rPr>
              <w:t>(17)</w:t>
            </w:r>
          </w:p>
        </w:tc>
        <w:tc>
          <w:tcPr>
            <w:tcW w:w="789" w:type="pct"/>
            <w:tcBorders>
              <w:top w:val="nil"/>
              <w:left w:val="nil"/>
              <w:bottom w:val="nil"/>
              <w:right w:val="nil"/>
            </w:tcBorders>
            <w:shd w:val="clear" w:color="auto" w:fill="auto"/>
            <w:noWrap/>
            <w:hideMark/>
          </w:tcPr>
          <w:p w14:paraId="2011C02E" w14:textId="620E12E0" w:rsidR="00C56737" w:rsidRPr="00A474E8" w:rsidRDefault="00C56737" w:rsidP="00C56737">
            <w:pPr>
              <w:jc w:val="right"/>
              <w:rPr>
                <w:rFonts w:ascii="Calibri Light" w:hAnsi="Calibri Light" w:cs="Calibri Light"/>
                <w:color w:val="000000"/>
                <w:sz w:val="16"/>
                <w:szCs w:val="16"/>
              </w:rPr>
            </w:pPr>
            <w:r>
              <w:rPr>
                <w:rFonts w:ascii="Calibri Light" w:hAnsi="Calibri Light"/>
                <w:color w:val="000000"/>
                <w:sz w:val="16"/>
              </w:rPr>
              <w:t>-</w:t>
            </w:r>
          </w:p>
        </w:tc>
        <w:tc>
          <w:tcPr>
            <w:tcW w:w="898" w:type="pct"/>
            <w:tcBorders>
              <w:top w:val="nil"/>
              <w:left w:val="nil"/>
              <w:bottom w:val="nil"/>
              <w:right w:val="nil"/>
            </w:tcBorders>
            <w:shd w:val="clear" w:color="auto" w:fill="auto"/>
            <w:noWrap/>
            <w:vAlign w:val="bottom"/>
            <w:hideMark/>
          </w:tcPr>
          <w:p w14:paraId="6406739C" w14:textId="77777777" w:rsidR="00C56737" w:rsidRPr="00A474E8" w:rsidRDefault="00C56737" w:rsidP="00C56737">
            <w:pPr>
              <w:jc w:val="right"/>
              <w:rPr>
                <w:rFonts w:ascii="Calibri Light" w:hAnsi="Calibri Light" w:cs="Calibri Light"/>
                <w:color w:val="000000"/>
                <w:sz w:val="16"/>
                <w:szCs w:val="16"/>
              </w:rPr>
            </w:pPr>
            <w:r>
              <w:rPr>
                <w:rFonts w:ascii="Calibri Light" w:hAnsi="Calibri Light"/>
                <w:color w:val="000000"/>
                <w:sz w:val="16"/>
              </w:rPr>
              <w:t>590 000</w:t>
            </w:r>
          </w:p>
        </w:tc>
      </w:tr>
      <w:tr w:rsidR="00A474E8" w:rsidRPr="00A474E8" w14:paraId="6B186479" w14:textId="77777777" w:rsidTr="0061181E">
        <w:trPr>
          <w:trHeight w:val="20"/>
        </w:trPr>
        <w:tc>
          <w:tcPr>
            <w:tcW w:w="2817" w:type="pct"/>
            <w:gridSpan w:val="2"/>
            <w:tcBorders>
              <w:top w:val="nil"/>
              <w:left w:val="nil"/>
              <w:right w:val="nil"/>
            </w:tcBorders>
            <w:shd w:val="clear" w:color="auto" w:fill="auto"/>
            <w:noWrap/>
            <w:vAlign w:val="bottom"/>
            <w:hideMark/>
          </w:tcPr>
          <w:p w14:paraId="22B3D359" w14:textId="77777777" w:rsidR="00A474E8" w:rsidRPr="00A474E8" w:rsidRDefault="00A474E8">
            <w:pPr>
              <w:rPr>
                <w:rFonts w:ascii="Calibri Light" w:hAnsi="Calibri Light" w:cs="Calibri Light"/>
                <w:color w:val="000000"/>
                <w:sz w:val="16"/>
                <w:szCs w:val="16"/>
              </w:rPr>
            </w:pPr>
            <w:r>
              <w:rPr>
                <w:rFonts w:ascii="Calibri Light" w:hAnsi="Calibri Light"/>
                <w:color w:val="000000"/>
                <w:sz w:val="16"/>
              </w:rPr>
              <w:t>Dividendes payés</w:t>
            </w:r>
          </w:p>
        </w:tc>
        <w:tc>
          <w:tcPr>
            <w:tcW w:w="496" w:type="pct"/>
            <w:tcBorders>
              <w:top w:val="nil"/>
              <w:left w:val="nil"/>
              <w:bottom w:val="nil"/>
              <w:right w:val="nil"/>
            </w:tcBorders>
            <w:shd w:val="clear" w:color="auto" w:fill="auto"/>
            <w:noWrap/>
            <w:vAlign w:val="bottom"/>
            <w:hideMark/>
          </w:tcPr>
          <w:p w14:paraId="67BFC749" w14:textId="77777777" w:rsidR="00A474E8" w:rsidRPr="00A474E8" w:rsidRDefault="00A474E8">
            <w:pPr>
              <w:jc w:val="center"/>
              <w:rPr>
                <w:rFonts w:ascii="Calibri Light" w:hAnsi="Calibri Light" w:cs="Calibri Light"/>
                <w:i/>
                <w:iCs/>
                <w:color w:val="000000"/>
                <w:sz w:val="16"/>
                <w:szCs w:val="16"/>
              </w:rPr>
            </w:pPr>
            <w:r>
              <w:rPr>
                <w:rFonts w:ascii="Calibri Light" w:hAnsi="Calibri Light"/>
                <w:i/>
                <w:color w:val="000000"/>
                <w:sz w:val="16"/>
              </w:rPr>
              <w:t>(17)</w:t>
            </w:r>
          </w:p>
        </w:tc>
        <w:tc>
          <w:tcPr>
            <w:tcW w:w="789" w:type="pct"/>
            <w:tcBorders>
              <w:top w:val="nil"/>
              <w:left w:val="nil"/>
              <w:bottom w:val="single" w:sz="4" w:space="0" w:color="auto"/>
              <w:right w:val="nil"/>
            </w:tcBorders>
            <w:shd w:val="clear" w:color="auto" w:fill="auto"/>
            <w:noWrap/>
            <w:vAlign w:val="bottom"/>
            <w:hideMark/>
          </w:tcPr>
          <w:p w14:paraId="434D2013"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(2 800 000)</w:t>
            </w:r>
          </w:p>
        </w:tc>
        <w:tc>
          <w:tcPr>
            <w:tcW w:w="898" w:type="pct"/>
            <w:tcBorders>
              <w:top w:val="nil"/>
              <w:left w:val="nil"/>
              <w:bottom w:val="single" w:sz="4" w:space="0" w:color="auto"/>
              <w:right w:val="nil"/>
            </w:tcBorders>
            <w:shd w:val="clear" w:color="000000" w:fill="FFFFFF"/>
            <w:noWrap/>
            <w:vAlign w:val="bottom"/>
            <w:hideMark/>
          </w:tcPr>
          <w:p w14:paraId="00D4499B" w14:textId="77777777" w:rsidR="00A474E8" w:rsidRPr="00A474E8" w:rsidRDefault="00A474E8">
            <w:pPr>
              <w:jc w:val="right"/>
              <w:rPr>
                <w:rFonts w:ascii="Calibri Light" w:hAnsi="Calibri Light" w:cs="Calibri Light"/>
                <w:color w:val="000000"/>
                <w:sz w:val="16"/>
                <w:szCs w:val="16"/>
              </w:rPr>
            </w:pPr>
            <w:r>
              <w:rPr>
                <w:rFonts w:ascii="Calibri Light" w:hAnsi="Calibri Light"/>
                <w:color w:val="000000"/>
                <w:sz w:val="16"/>
              </w:rPr>
              <w:t>(1 000 000)</w:t>
            </w:r>
          </w:p>
        </w:tc>
      </w:tr>
      <w:tr w:rsidR="00A474E8" w:rsidRPr="00A474E8" w14:paraId="7FD07962" w14:textId="77777777" w:rsidTr="0061181E">
        <w:trPr>
          <w:trHeight w:val="20"/>
        </w:trPr>
        <w:tc>
          <w:tcPr>
            <w:tcW w:w="2817" w:type="pct"/>
            <w:gridSpan w:val="2"/>
            <w:tcBorders>
              <w:left w:val="nil"/>
              <w:bottom w:val="nil"/>
              <w:right w:val="nil"/>
            </w:tcBorders>
            <w:shd w:val="clear" w:color="auto" w:fill="auto"/>
            <w:noWrap/>
            <w:vAlign w:val="bottom"/>
            <w:hideMark/>
          </w:tcPr>
          <w:p w14:paraId="21D35365" w14:textId="77777777" w:rsidR="00A474E8" w:rsidRPr="00A474E8" w:rsidRDefault="00A474E8">
            <w:pPr>
              <w:rPr>
                <w:rFonts w:ascii="Calibri Light" w:hAnsi="Calibri Light" w:cs="Calibri Light"/>
                <w:b/>
                <w:bCs/>
                <w:color w:val="000000"/>
                <w:sz w:val="16"/>
                <w:szCs w:val="16"/>
              </w:rPr>
            </w:pPr>
            <w:r>
              <w:rPr>
                <w:rFonts w:ascii="Calibri Light" w:hAnsi="Calibri Light"/>
                <w:b/>
                <w:color w:val="000000"/>
                <w:sz w:val="16"/>
              </w:rPr>
              <w:t>Flux de trésorerie net provenant d’activités de financement</w:t>
            </w:r>
          </w:p>
        </w:tc>
        <w:tc>
          <w:tcPr>
            <w:tcW w:w="496" w:type="pct"/>
            <w:tcBorders>
              <w:top w:val="nil"/>
              <w:left w:val="nil"/>
              <w:bottom w:val="nil"/>
              <w:right w:val="nil"/>
            </w:tcBorders>
            <w:shd w:val="clear" w:color="auto" w:fill="auto"/>
            <w:noWrap/>
            <w:vAlign w:val="bottom"/>
            <w:hideMark/>
          </w:tcPr>
          <w:p w14:paraId="43331C30" w14:textId="77777777" w:rsidR="00A474E8" w:rsidRPr="00A474E8" w:rsidRDefault="00A474E8">
            <w:pPr>
              <w:rPr>
                <w:rFonts w:ascii="Calibri Light" w:hAnsi="Calibri Light" w:cs="Calibri Light"/>
                <w:b/>
                <w:bCs/>
                <w:color w:val="000000"/>
                <w:sz w:val="16"/>
                <w:szCs w:val="16"/>
              </w:rPr>
            </w:pPr>
          </w:p>
        </w:tc>
        <w:tc>
          <w:tcPr>
            <w:tcW w:w="789" w:type="pct"/>
            <w:tcBorders>
              <w:top w:val="nil"/>
              <w:left w:val="nil"/>
              <w:right w:val="nil"/>
            </w:tcBorders>
            <w:shd w:val="clear" w:color="auto" w:fill="auto"/>
            <w:noWrap/>
            <w:vAlign w:val="bottom"/>
            <w:hideMark/>
          </w:tcPr>
          <w:p w14:paraId="1ACD36C1" w14:textId="77777777" w:rsidR="00A474E8" w:rsidRPr="00A474E8" w:rsidRDefault="00A474E8">
            <w:pPr>
              <w:jc w:val="right"/>
              <w:rPr>
                <w:rFonts w:ascii="Calibri Light" w:hAnsi="Calibri Light" w:cs="Calibri Light"/>
                <w:b/>
                <w:bCs/>
                <w:color w:val="000000"/>
                <w:sz w:val="16"/>
                <w:szCs w:val="16"/>
              </w:rPr>
            </w:pPr>
            <w:r>
              <w:rPr>
                <w:rFonts w:ascii="Calibri Light" w:hAnsi="Calibri Light"/>
                <w:b/>
                <w:color w:val="000000"/>
                <w:sz w:val="16"/>
              </w:rPr>
              <w:t>(2 471 690)</w:t>
            </w:r>
          </w:p>
        </w:tc>
        <w:tc>
          <w:tcPr>
            <w:tcW w:w="898" w:type="pct"/>
            <w:tcBorders>
              <w:top w:val="nil"/>
              <w:left w:val="nil"/>
              <w:right w:val="nil"/>
            </w:tcBorders>
            <w:shd w:val="clear" w:color="auto" w:fill="auto"/>
            <w:noWrap/>
            <w:vAlign w:val="bottom"/>
            <w:hideMark/>
          </w:tcPr>
          <w:p w14:paraId="4DBA515F" w14:textId="77777777" w:rsidR="00A474E8" w:rsidRPr="00A474E8" w:rsidRDefault="00A474E8">
            <w:pPr>
              <w:jc w:val="right"/>
              <w:rPr>
                <w:rFonts w:ascii="Calibri Light" w:hAnsi="Calibri Light" w:cs="Calibri Light"/>
                <w:b/>
                <w:bCs/>
                <w:color w:val="000000"/>
                <w:sz w:val="16"/>
                <w:szCs w:val="16"/>
              </w:rPr>
            </w:pPr>
            <w:r>
              <w:rPr>
                <w:rFonts w:ascii="Calibri Light" w:hAnsi="Calibri Light"/>
                <w:b/>
                <w:color w:val="000000"/>
                <w:sz w:val="16"/>
              </w:rPr>
              <w:t>918 882</w:t>
            </w:r>
          </w:p>
        </w:tc>
      </w:tr>
      <w:tr w:rsidR="00A474E8" w:rsidRPr="00A474E8" w14:paraId="1FD05D74" w14:textId="77777777" w:rsidTr="0061181E">
        <w:trPr>
          <w:trHeight w:val="20"/>
        </w:trPr>
        <w:tc>
          <w:tcPr>
            <w:tcW w:w="83" w:type="pct"/>
            <w:tcBorders>
              <w:top w:val="nil"/>
              <w:left w:val="nil"/>
              <w:right w:val="nil"/>
            </w:tcBorders>
            <w:shd w:val="clear" w:color="auto" w:fill="auto"/>
            <w:noWrap/>
            <w:vAlign w:val="bottom"/>
            <w:hideMark/>
          </w:tcPr>
          <w:p w14:paraId="7BCD9690" w14:textId="77777777" w:rsidR="00A474E8" w:rsidRPr="00A474E8" w:rsidRDefault="00A474E8">
            <w:pPr>
              <w:jc w:val="right"/>
              <w:rPr>
                <w:rFonts w:ascii="Calibri Light" w:hAnsi="Calibri Light" w:cs="Calibri Light"/>
                <w:b/>
                <w:bCs/>
                <w:color w:val="000000"/>
                <w:sz w:val="16"/>
                <w:szCs w:val="16"/>
              </w:rPr>
            </w:pPr>
          </w:p>
        </w:tc>
        <w:tc>
          <w:tcPr>
            <w:tcW w:w="2734" w:type="pct"/>
            <w:tcBorders>
              <w:top w:val="nil"/>
              <w:left w:val="nil"/>
              <w:right w:val="nil"/>
            </w:tcBorders>
            <w:shd w:val="clear" w:color="auto" w:fill="auto"/>
            <w:noWrap/>
            <w:vAlign w:val="bottom"/>
            <w:hideMark/>
          </w:tcPr>
          <w:p w14:paraId="19161D28" w14:textId="77777777" w:rsidR="00A474E8" w:rsidRPr="00A474E8" w:rsidRDefault="00A474E8">
            <w:pPr>
              <w:rPr>
                <w:sz w:val="16"/>
                <w:szCs w:val="16"/>
              </w:rPr>
            </w:pPr>
          </w:p>
        </w:tc>
        <w:tc>
          <w:tcPr>
            <w:tcW w:w="496" w:type="pct"/>
            <w:tcBorders>
              <w:top w:val="nil"/>
              <w:left w:val="nil"/>
              <w:right w:val="nil"/>
            </w:tcBorders>
            <w:shd w:val="clear" w:color="auto" w:fill="auto"/>
            <w:noWrap/>
            <w:vAlign w:val="bottom"/>
            <w:hideMark/>
          </w:tcPr>
          <w:p w14:paraId="00695157" w14:textId="77777777" w:rsidR="00A474E8" w:rsidRPr="00A474E8" w:rsidRDefault="00A474E8">
            <w:pPr>
              <w:rPr>
                <w:sz w:val="16"/>
                <w:szCs w:val="16"/>
              </w:rPr>
            </w:pPr>
          </w:p>
        </w:tc>
        <w:tc>
          <w:tcPr>
            <w:tcW w:w="789" w:type="pct"/>
            <w:tcBorders>
              <w:top w:val="nil"/>
              <w:left w:val="nil"/>
              <w:right w:val="nil"/>
            </w:tcBorders>
            <w:shd w:val="clear" w:color="auto" w:fill="auto"/>
            <w:noWrap/>
            <w:vAlign w:val="bottom"/>
            <w:hideMark/>
          </w:tcPr>
          <w:p w14:paraId="636226DC" w14:textId="77777777" w:rsidR="00A474E8" w:rsidRPr="00A474E8" w:rsidRDefault="00A474E8">
            <w:pPr>
              <w:rPr>
                <w:rFonts w:ascii="Calibri Light" w:hAnsi="Calibri Light" w:cs="Calibri Light"/>
                <w:color w:val="000000"/>
                <w:sz w:val="16"/>
                <w:szCs w:val="16"/>
              </w:rPr>
            </w:pPr>
            <w:r>
              <w:rPr>
                <w:rFonts w:ascii="Calibri Light" w:hAnsi="Calibri Light"/>
                <w:color w:val="000000"/>
                <w:sz w:val="16"/>
              </w:rPr>
              <w:t> </w:t>
            </w:r>
          </w:p>
        </w:tc>
        <w:tc>
          <w:tcPr>
            <w:tcW w:w="898" w:type="pct"/>
            <w:tcBorders>
              <w:top w:val="nil"/>
              <w:left w:val="nil"/>
              <w:right w:val="nil"/>
            </w:tcBorders>
            <w:shd w:val="clear" w:color="auto" w:fill="auto"/>
            <w:noWrap/>
            <w:vAlign w:val="bottom"/>
            <w:hideMark/>
          </w:tcPr>
          <w:p w14:paraId="47799EDD" w14:textId="77777777" w:rsidR="00A474E8" w:rsidRPr="00A474E8" w:rsidRDefault="00A474E8">
            <w:pPr>
              <w:rPr>
                <w:rFonts w:ascii="Calibri Light" w:hAnsi="Calibri Light" w:cs="Calibri Light"/>
                <w:color w:val="000000"/>
                <w:sz w:val="16"/>
                <w:szCs w:val="16"/>
              </w:rPr>
            </w:pPr>
            <w:r>
              <w:rPr>
                <w:rFonts w:ascii="Calibri Light" w:hAnsi="Calibri Light"/>
                <w:color w:val="000000"/>
                <w:sz w:val="16"/>
              </w:rPr>
              <w:t> </w:t>
            </w:r>
          </w:p>
        </w:tc>
      </w:tr>
      <w:tr w:rsidR="00A474E8" w:rsidRPr="00A474E8" w14:paraId="07A87481" w14:textId="77777777" w:rsidTr="0061181E">
        <w:trPr>
          <w:trHeight w:val="20"/>
        </w:trPr>
        <w:tc>
          <w:tcPr>
            <w:tcW w:w="3313" w:type="pct"/>
            <w:gridSpan w:val="3"/>
            <w:tcBorders>
              <w:top w:val="nil"/>
              <w:left w:val="nil"/>
              <w:right w:val="nil"/>
            </w:tcBorders>
            <w:shd w:val="clear" w:color="auto" w:fill="auto"/>
            <w:noWrap/>
            <w:vAlign w:val="bottom"/>
            <w:hideMark/>
          </w:tcPr>
          <w:p w14:paraId="179DE477" w14:textId="77777777" w:rsidR="00A474E8" w:rsidRPr="00A474E8" w:rsidRDefault="00A474E8">
            <w:pPr>
              <w:rPr>
                <w:rFonts w:ascii="Calibri Light" w:hAnsi="Calibri Light" w:cs="Calibri Light"/>
                <w:b/>
                <w:bCs/>
                <w:color w:val="000000"/>
                <w:sz w:val="16"/>
                <w:szCs w:val="16"/>
              </w:rPr>
            </w:pPr>
            <w:r>
              <w:rPr>
                <w:rFonts w:ascii="Calibri Light" w:hAnsi="Calibri Light"/>
                <w:b/>
                <w:color w:val="000000"/>
                <w:sz w:val="16"/>
              </w:rPr>
              <w:t xml:space="preserve">(Diminution)/Augmentation nette de la trésorerie, des équivalents de trésorerie et des dépôts à court terme </w:t>
            </w:r>
          </w:p>
        </w:tc>
        <w:tc>
          <w:tcPr>
            <w:tcW w:w="789" w:type="pct"/>
            <w:tcBorders>
              <w:left w:val="nil"/>
              <w:right w:val="nil"/>
            </w:tcBorders>
            <w:shd w:val="clear" w:color="auto" w:fill="auto"/>
            <w:noWrap/>
            <w:vAlign w:val="bottom"/>
            <w:hideMark/>
          </w:tcPr>
          <w:p w14:paraId="1F525AFC" w14:textId="77777777" w:rsidR="00A474E8" w:rsidRPr="00A474E8" w:rsidRDefault="00A474E8">
            <w:pPr>
              <w:jc w:val="right"/>
              <w:rPr>
                <w:rFonts w:ascii="Calibri Light" w:hAnsi="Calibri Light" w:cs="Calibri Light"/>
                <w:b/>
                <w:bCs/>
                <w:color w:val="000000"/>
                <w:sz w:val="16"/>
                <w:szCs w:val="16"/>
              </w:rPr>
            </w:pPr>
            <w:r>
              <w:rPr>
                <w:rFonts w:ascii="Calibri Light" w:hAnsi="Calibri Light"/>
                <w:b/>
                <w:color w:val="000000"/>
                <w:sz w:val="16"/>
              </w:rPr>
              <w:t>(952 809)</w:t>
            </w:r>
          </w:p>
        </w:tc>
        <w:tc>
          <w:tcPr>
            <w:tcW w:w="898" w:type="pct"/>
            <w:tcBorders>
              <w:left w:val="nil"/>
              <w:right w:val="nil"/>
            </w:tcBorders>
            <w:shd w:val="clear" w:color="auto" w:fill="auto"/>
            <w:noWrap/>
            <w:vAlign w:val="bottom"/>
            <w:hideMark/>
          </w:tcPr>
          <w:p w14:paraId="35794067" w14:textId="77777777" w:rsidR="00A474E8" w:rsidRPr="00A474E8" w:rsidRDefault="00A474E8">
            <w:pPr>
              <w:jc w:val="right"/>
              <w:rPr>
                <w:rFonts w:ascii="Calibri Light" w:hAnsi="Calibri Light" w:cs="Calibri Light"/>
                <w:b/>
                <w:bCs/>
                <w:color w:val="000000"/>
                <w:sz w:val="16"/>
                <w:szCs w:val="16"/>
              </w:rPr>
            </w:pPr>
            <w:r>
              <w:rPr>
                <w:rFonts w:ascii="Calibri Light" w:hAnsi="Calibri Light"/>
                <w:b/>
                <w:color w:val="000000"/>
                <w:sz w:val="16"/>
              </w:rPr>
              <w:t>(852 256)</w:t>
            </w:r>
          </w:p>
        </w:tc>
      </w:tr>
      <w:tr w:rsidR="00C56737" w:rsidRPr="00A474E8" w14:paraId="10D5EC74" w14:textId="77777777" w:rsidTr="006674F8">
        <w:trPr>
          <w:trHeight w:val="20"/>
        </w:trPr>
        <w:tc>
          <w:tcPr>
            <w:tcW w:w="2817" w:type="pct"/>
            <w:gridSpan w:val="2"/>
            <w:tcBorders>
              <w:left w:val="nil"/>
              <w:bottom w:val="nil"/>
              <w:right w:val="nil"/>
            </w:tcBorders>
            <w:shd w:val="clear" w:color="auto" w:fill="auto"/>
            <w:noWrap/>
            <w:vAlign w:val="bottom"/>
          </w:tcPr>
          <w:p w14:paraId="33ECED90" w14:textId="77777777" w:rsidR="00C56737" w:rsidRPr="00C56737" w:rsidRDefault="00C56737">
            <w:pPr>
              <w:rPr>
                <w:rFonts w:ascii="Calibri Light" w:hAnsi="Calibri Light" w:cs="Calibri Light"/>
                <w:color w:val="000000"/>
                <w:sz w:val="16"/>
                <w:szCs w:val="16"/>
              </w:rPr>
            </w:pPr>
          </w:p>
        </w:tc>
        <w:tc>
          <w:tcPr>
            <w:tcW w:w="496" w:type="pct"/>
            <w:tcBorders>
              <w:left w:val="nil"/>
              <w:bottom w:val="nil"/>
              <w:right w:val="nil"/>
            </w:tcBorders>
            <w:shd w:val="clear" w:color="auto" w:fill="auto"/>
            <w:noWrap/>
            <w:vAlign w:val="bottom"/>
          </w:tcPr>
          <w:p w14:paraId="23628EF2" w14:textId="77777777" w:rsidR="00C56737" w:rsidRPr="00C56737" w:rsidRDefault="00C56737">
            <w:pPr>
              <w:rPr>
                <w:rFonts w:ascii="Calibri Light" w:hAnsi="Calibri Light" w:cs="Calibri Light"/>
                <w:color w:val="000000"/>
                <w:sz w:val="16"/>
                <w:szCs w:val="16"/>
              </w:rPr>
            </w:pPr>
          </w:p>
        </w:tc>
        <w:tc>
          <w:tcPr>
            <w:tcW w:w="789" w:type="pct"/>
            <w:tcBorders>
              <w:top w:val="nil"/>
              <w:left w:val="nil"/>
              <w:right w:val="nil"/>
            </w:tcBorders>
            <w:shd w:val="clear" w:color="auto" w:fill="auto"/>
            <w:noWrap/>
            <w:vAlign w:val="bottom"/>
          </w:tcPr>
          <w:p w14:paraId="1712A765" w14:textId="77777777" w:rsidR="00C56737" w:rsidRPr="00C56737" w:rsidRDefault="00C56737">
            <w:pPr>
              <w:jc w:val="right"/>
              <w:rPr>
                <w:rFonts w:ascii="Calibri Light" w:hAnsi="Calibri Light" w:cs="Calibri Light"/>
                <w:color w:val="000000"/>
                <w:sz w:val="16"/>
                <w:szCs w:val="16"/>
              </w:rPr>
            </w:pPr>
          </w:p>
        </w:tc>
        <w:tc>
          <w:tcPr>
            <w:tcW w:w="898" w:type="pct"/>
            <w:tcBorders>
              <w:top w:val="nil"/>
              <w:left w:val="nil"/>
              <w:right w:val="nil"/>
            </w:tcBorders>
            <w:shd w:val="clear" w:color="auto" w:fill="auto"/>
            <w:noWrap/>
            <w:vAlign w:val="bottom"/>
          </w:tcPr>
          <w:p w14:paraId="41AC7A20" w14:textId="77777777" w:rsidR="00C56737" w:rsidRPr="00C56737" w:rsidRDefault="00C56737">
            <w:pPr>
              <w:jc w:val="right"/>
              <w:rPr>
                <w:rFonts w:ascii="Calibri Light" w:hAnsi="Calibri Light" w:cs="Calibri Light"/>
                <w:color w:val="000000"/>
                <w:sz w:val="16"/>
                <w:szCs w:val="16"/>
              </w:rPr>
            </w:pPr>
          </w:p>
        </w:tc>
      </w:tr>
      <w:tr w:rsidR="00A474E8" w:rsidRPr="00A474E8" w14:paraId="6F651A05" w14:textId="77777777" w:rsidTr="00C56737">
        <w:trPr>
          <w:trHeight w:val="20"/>
        </w:trPr>
        <w:tc>
          <w:tcPr>
            <w:tcW w:w="2817" w:type="pct"/>
            <w:gridSpan w:val="2"/>
            <w:tcBorders>
              <w:top w:val="nil"/>
              <w:left w:val="nil"/>
              <w:bottom w:val="nil"/>
              <w:right w:val="nil"/>
            </w:tcBorders>
            <w:shd w:val="clear" w:color="auto" w:fill="auto"/>
            <w:noWrap/>
            <w:vAlign w:val="bottom"/>
            <w:hideMark/>
          </w:tcPr>
          <w:p w14:paraId="648A3E78" w14:textId="77777777" w:rsidR="00A474E8" w:rsidRPr="0061181E" w:rsidRDefault="00A474E8">
            <w:pPr>
              <w:rPr>
                <w:rFonts w:ascii="Calibri Light" w:hAnsi="Calibri Light" w:cs="Calibri Light"/>
                <w:color w:val="000000"/>
                <w:sz w:val="16"/>
                <w:szCs w:val="16"/>
              </w:rPr>
            </w:pPr>
            <w:r>
              <w:rPr>
                <w:rFonts w:ascii="Calibri Light" w:hAnsi="Calibri Light"/>
                <w:color w:val="000000"/>
                <w:sz w:val="16"/>
              </w:rPr>
              <w:t>Trésorerie et équivalents de trésorerie et dépôts à court terme au début de la période</w:t>
            </w:r>
          </w:p>
        </w:tc>
        <w:tc>
          <w:tcPr>
            <w:tcW w:w="496" w:type="pct"/>
            <w:tcBorders>
              <w:top w:val="nil"/>
              <w:left w:val="nil"/>
              <w:bottom w:val="nil"/>
              <w:right w:val="nil"/>
            </w:tcBorders>
            <w:shd w:val="clear" w:color="auto" w:fill="auto"/>
            <w:noWrap/>
            <w:vAlign w:val="bottom"/>
            <w:hideMark/>
          </w:tcPr>
          <w:p w14:paraId="268B77FB" w14:textId="77777777" w:rsidR="00A474E8" w:rsidRPr="0061181E" w:rsidRDefault="00A474E8">
            <w:pPr>
              <w:rPr>
                <w:rFonts w:ascii="Calibri Light" w:hAnsi="Calibri Light" w:cs="Calibri Light"/>
                <w:color w:val="000000"/>
                <w:sz w:val="16"/>
                <w:szCs w:val="16"/>
              </w:rPr>
            </w:pPr>
          </w:p>
        </w:tc>
        <w:tc>
          <w:tcPr>
            <w:tcW w:w="789" w:type="pct"/>
            <w:tcBorders>
              <w:top w:val="nil"/>
              <w:left w:val="nil"/>
              <w:bottom w:val="nil"/>
              <w:right w:val="nil"/>
            </w:tcBorders>
            <w:shd w:val="clear" w:color="auto" w:fill="auto"/>
            <w:noWrap/>
            <w:vAlign w:val="bottom"/>
            <w:hideMark/>
          </w:tcPr>
          <w:p w14:paraId="4F86B1B9" w14:textId="77777777" w:rsidR="00A474E8" w:rsidRPr="0061181E" w:rsidRDefault="00A474E8">
            <w:pPr>
              <w:jc w:val="right"/>
              <w:rPr>
                <w:rFonts w:ascii="Calibri Light" w:hAnsi="Calibri Light" w:cs="Calibri Light"/>
                <w:color w:val="000000"/>
                <w:sz w:val="16"/>
                <w:szCs w:val="16"/>
              </w:rPr>
            </w:pPr>
            <w:r>
              <w:rPr>
                <w:rFonts w:ascii="Calibri Light" w:hAnsi="Calibri Light"/>
                <w:color w:val="000000"/>
                <w:sz w:val="16"/>
              </w:rPr>
              <w:t>15 405 808</w:t>
            </w:r>
          </w:p>
        </w:tc>
        <w:tc>
          <w:tcPr>
            <w:tcW w:w="898" w:type="pct"/>
            <w:tcBorders>
              <w:top w:val="nil"/>
              <w:left w:val="nil"/>
              <w:bottom w:val="nil"/>
              <w:right w:val="nil"/>
            </w:tcBorders>
            <w:shd w:val="clear" w:color="auto" w:fill="auto"/>
            <w:noWrap/>
            <w:vAlign w:val="bottom"/>
            <w:hideMark/>
          </w:tcPr>
          <w:p w14:paraId="7D5CE25E" w14:textId="77777777" w:rsidR="00A474E8" w:rsidRPr="0061181E" w:rsidRDefault="00A474E8">
            <w:pPr>
              <w:jc w:val="right"/>
              <w:rPr>
                <w:rFonts w:ascii="Calibri Light" w:hAnsi="Calibri Light" w:cs="Calibri Light"/>
                <w:color w:val="000000"/>
                <w:sz w:val="16"/>
                <w:szCs w:val="16"/>
              </w:rPr>
            </w:pPr>
            <w:r>
              <w:rPr>
                <w:rFonts w:ascii="Calibri Light" w:hAnsi="Calibri Light"/>
                <w:color w:val="000000"/>
                <w:sz w:val="16"/>
              </w:rPr>
              <w:t>12 602 274</w:t>
            </w:r>
          </w:p>
        </w:tc>
      </w:tr>
      <w:tr w:rsidR="00A474E8" w:rsidRPr="00A474E8" w14:paraId="479B15C7" w14:textId="77777777" w:rsidTr="006674F8">
        <w:trPr>
          <w:trHeight w:val="20"/>
        </w:trPr>
        <w:tc>
          <w:tcPr>
            <w:tcW w:w="2817" w:type="pct"/>
            <w:gridSpan w:val="2"/>
            <w:tcBorders>
              <w:top w:val="nil"/>
              <w:left w:val="nil"/>
              <w:bottom w:val="nil"/>
              <w:right w:val="nil"/>
            </w:tcBorders>
            <w:shd w:val="clear" w:color="auto" w:fill="auto"/>
            <w:noWrap/>
            <w:vAlign w:val="bottom"/>
            <w:hideMark/>
          </w:tcPr>
          <w:p w14:paraId="14A424FC" w14:textId="77777777" w:rsidR="00A474E8" w:rsidRPr="0061181E" w:rsidRDefault="00A474E8">
            <w:pPr>
              <w:rPr>
                <w:rFonts w:ascii="Calibri Light" w:hAnsi="Calibri Light" w:cs="Calibri Light"/>
                <w:color w:val="000000"/>
                <w:sz w:val="16"/>
                <w:szCs w:val="16"/>
              </w:rPr>
            </w:pPr>
            <w:r>
              <w:rPr>
                <w:rFonts w:ascii="Calibri Light" w:hAnsi="Calibri Light"/>
                <w:color w:val="000000"/>
                <w:sz w:val="16"/>
              </w:rPr>
              <w:t>Trésorerie et équivalents de trésorerie et dépôts à court terme à la fin de la période</w:t>
            </w:r>
          </w:p>
        </w:tc>
        <w:tc>
          <w:tcPr>
            <w:tcW w:w="496" w:type="pct"/>
            <w:tcBorders>
              <w:top w:val="nil"/>
              <w:left w:val="nil"/>
              <w:bottom w:val="nil"/>
              <w:right w:val="nil"/>
            </w:tcBorders>
            <w:shd w:val="clear" w:color="auto" w:fill="auto"/>
            <w:noWrap/>
            <w:vAlign w:val="bottom"/>
            <w:hideMark/>
          </w:tcPr>
          <w:p w14:paraId="782B9210" w14:textId="77777777" w:rsidR="00A474E8" w:rsidRPr="0061181E" w:rsidRDefault="00A474E8">
            <w:pPr>
              <w:rPr>
                <w:rFonts w:ascii="Calibri Light" w:hAnsi="Calibri Light" w:cs="Calibri Light"/>
                <w:color w:val="000000"/>
                <w:sz w:val="16"/>
                <w:szCs w:val="16"/>
              </w:rPr>
            </w:pPr>
          </w:p>
        </w:tc>
        <w:tc>
          <w:tcPr>
            <w:tcW w:w="789" w:type="pct"/>
            <w:tcBorders>
              <w:left w:val="nil"/>
              <w:right w:val="nil"/>
            </w:tcBorders>
            <w:shd w:val="clear" w:color="auto" w:fill="auto"/>
            <w:noWrap/>
            <w:vAlign w:val="bottom"/>
            <w:hideMark/>
          </w:tcPr>
          <w:p w14:paraId="3A8F6AB2" w14:textId="77777777" w:rsidR="00A474E8" w:rsidRPr="0061181E" w:rsidRDefault="00A474E8">
            <w:pPr>
              <w:jc w:val="right"/>
              <w:rPr>
                <w:rFonts w:ascii="Calibri Light" w:hAnsi="Calibri Light" w:cs="Calibri Light"/>
                <w:color w:val="000000"/>
                <w:sz w:val="16"/>
                <w:szCs w:val="16"/>
              </w:rPr>
            </w:pPr>
            <w:r>
              <w:rPr>
                <w:rFonts w:ascii="Calibri Light" w:hAnsi="Calibri Light"/>
                <w:color w:val="000000"/>
                <w:sz w:val="16"/>
              </w:rPr>
              <w:t>14 452 998</w:t>
            </w:r>
          </w:p>
        </w:tc>
        <w:tc>
          <w:tcPr>
            <w:tcW w:w="898" w:type="pct"/>
            <w:tcBorders>
              <w:left w:val="nil"/>
              <w:right w:val="nil"/>
            </w:tcBorders>
            <w:shd w:val="clear" w:color="auto" w:fill="auto"/>
            <w:noWrap/>
            <w:vAlign w:val="bottom"/>
            <w:hideMark/>
          </w:tcPr>
          <w:p w14:paraId="2AFD044F" w14:textId="77777777" w:rsidR="00A474E8" w:rsidRPr="0061181E" w:rsidRDefault="00A474E8">
            <w:pPr>
              <w:jc w:val="right"/>
              <w:rPr>
                <w:rFonts w:ascii="Calibri Light" w:hAnsi="Calibri Light" w:cs="Calibri Light"/>
                <w:color w:val="000000"/>
                <w:sz w:val="16"/>
                <w:szCs w:val="16"/>
              </w:rPr>
            </w:pPr>
            <w:r>
              <w:rPr>
                <w:rFonts w:ascii="Calibri Light" w:hAnsi="Calibri Light"/>
                <w:color w:val="000000"/>
                <w:sz w:val="16"/>
              </w:rPr>
              <w:t>11 750 018</w:t>
            </w:r>
          </w:p>
        </w:tc>
      </w:tr>
    </w:tbl>
    <w:p w14:paraId="684000B3" w14:textId="7A67C1C5" w:rsidR="00AF77E4" w:rsidRDefault="00AF77E4" w:rsidP="00AF77E4"/>
    <w:p w14:paraId="34695474" w14:textId="77777777" w:rsidR="00AF77E4" w:rsidRPr="00877A73" w:rsidRDefault="00AF77E4" w:rsidP="00877A73"/>
    <w:p w14:paraId="4F30D996" w14:textId="77777777" w:rsidR="00C03E07" w:rsidRDefault="00C03E07" w:rsidP="00C03E07"/>
    <w:p w14:paraId="254D6A0B" w14:textId="77777777" w:rsidR="00C03E07" w:rsidRPr="00C03E07" w:rsidRDefault="00C03E07" w:rsidP="00C03E07">
      <w:pPr>
        <w:sectPr w:rsidR="00C03E07" w:rsidRPr="00C03E07" w:rsidSect="009B741A">
          <w:footerReference w:type="first" r:id="rId21"/>
          <w:pgSz w:w="11906" w:h="16838" w:code="9"/>
          <w:pgMar w:top="397" w:right="1134" w:bottom="142" w:left="1134" w:header="851" w:footer="187" w:gutter="1134"/>
          <w:pgNumType w:start="10"/>
          <w:cols w:space="708"/>
          <w:titlePg/>
          <w:docGrid w:linePitch="360"/>
        </w:sectPr>
      </w:pPr>
    </w:p>
    <w:p w14:paraId="25E9E12B" w14:textId="75F2131D" w:rsidR="00E16D12" w:rsidRPr="00FC0C93" w:rsidRDefault="00A664B0" w:rsidP="00E16D12">
      <w:pPr>
        <w:rPr>
          <w:highlight w:val="green"/>
        </w:rPr>
        <w:sectPr w:rsidR="00E16D12" w:rsidRPr="00FC0C93" w:rsidSect="00A12AAA">
          <w:headerReference w:type="first" r:id="rId22"/>
          <w:footerReference w:type="first" r:id="rId23"/>
          <w:pgSz w:w="11906" w:h="16838" w:code="9"/>
          <w:pgMar w:top="819" w:right="1134" w:bottom="1134" w:left="1134" w:header="851" w:footer="709" w:gutter="1134"/>
          <w:cols w:space="708"/>
          <w:titlePg/>
          <w:docGrid w:linePitch="360"/>
        </w:sectPr>
      </w:pPr>
      <w:r>
        <w:rPr>
          <w:noProof/>
          <w:highlight w:val="green"/>
        </w:rPr>
        <w:lastRenderedPageBreak/>
        <mc:AlternateContent>
          <mc:Choice Requires="wps">
            <w:drawing>
              <wp:anchor distT="0" distB="0" distL="114300" distR="114300" simplePos="0" relativeHeight="251655680" behindDoc="0" locked="0" layoutInCell="1" allowOverlap="1" wp14:anchorId="221A9445" wp14:editId="011AA329">
                <wp:simplePos x="0" y="0"/>
                <wp:positionH relativeFrom="column">
                  <wp:posOffset>32385</wp:posOffset>
                </wp:positionH>
                <wp:positionV relativeFrom="paragraph">
                  <wp:posOffset>3343910</wp:posOffset>
                </wp:positionV>
                <wp:extent cx="6372225" cy="1076325"/>
                <wp:effectExtent l="0" t="0" r="0"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76325"/>
                        </a:xfrm>
                        <a:prstGeom prst="rect">
                          <a:avLst/>
                        </a:prstGeom>
                        <a:solidFill>
                          <a:srgbClr val="C00000"/>
                        </a:solidFill>
                        <a:ln>
                          <a:noFill/>
                        </a:ln>
                        <a:effectLst>
                          <a:outerShdw dist="23000" dir="5400000" rotWithShape="0">
                            <a:srgbClr val="000000">
                              <a:alpha val="34999"/>
                            </a:srgbClr>
                          </a:outerShdw>
                        </a:effectLst>
                      </wps:spPr>
                      <wps:txbx>
                        <w:txbxContent>
                          <w:p w14:paraId="5C4D3FD7" w14:textId="77777777" w:rsidR="00FB17B8" w:rsidRPr="00C17031" w:rsidRDefault="00FB17B8" w:rsidP="00E16D12">
                            <w:pPr>
                              <w:rPr>
                                <w:rFonts w:ascii="Cambria" w:hAnsi="Cambria"/>
                                <w:sz w:val="36"/>
                              </w:rPr>
                            </w:pPr>
                          </w:p>
                          <w:p w14:paraId="1A971145" w14:textId="29414838" w:rsidR="00FB17B8" w:rsidRPr="00C17031" w:rsidRDefault="00FB17B8" w:rsidP="00E16D12">
                            <w:pPr>
                              <w:jc w:val="center"/>
                              <w:rPr>
                                <w:rFonts w:ascii="Cambria" w:hAnsi="Cambria"/>
                                <w:sz w:val="40"/>
                              </w:rPr>
                            </w:pPr>
                            <w:r>
                              <w:rPr>
                                <w:rFonts w:ascii="Cambria" w:hAnsi="Cambria"/>
                                <w:sz w:val="40"/>
                              </w:rPr>
                              <w:t>Notes explicatives sur les états financiers intermédiaires agrégés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A9445" id="Text Box 6" o:spid="_x0000_s1031" type="#_x0000_t202" style="position:absolute;margin-left:2.55pt;margin-top:263.3pt;width:501.75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" fillcolor="#c00000" stroked="f">
                <v:shadow on="t" color="black" opacity="22936f" origin=",.5" offset="0,.63889mm"/>
                <v:textbox>
                  <w:txbxContent>
                    <w:p w14:paraId="5C4D3FD7" w14:textId="77777777" w:rsidR="00FB17B8" w:rsidRPr="00C17031" w:rsidRDefault="00FB17B8" w:rsidP="00E16D12">
                      <w:pPr>
                        <w:rPr>
                          <w:rFonts w:ascii="Cambria" w:hAnsi="Cambria"/>
                          <w:sz w:val="36"/>
                        </w:rPr>
                      </w:pPr>
                    </w:p>
                    <w:p w14:paraId="1A971145" w14:textId="29414838" w:rsidR="00FB17B8" w:rsidRPr="00C17031" w:rsidRDefault="00FB17B8" w:rsidP="00E16D12">
                      <w:pPr>
                        <w:jc w:val="center"/>
                        <w:rPr>
                          <w:rFonts w:ascii="Cambria" w:hAnsi="Cambria"/>
                          <w:sz w:val="40"/>
                        </w:rPr>
                      </w:pPr>
                      <w:r>
                        <w:rPr>
                          <w:rFonts w:ascii="Cambria" w:hAnsi="Cambria"/>
                          <w:sz w:val="40"/>
                        </w:rPr>
                        <w:t>Notes explicatives sur les états financiers intermédiaires agrégés</w:t>
                      </w:r>
                    </w:p>
                  </w:txbxContent>
                </v:textbox>
              </v:shape>
            </w:pict>
          </mc:Fallback>
        </mc:AlternateContent>
      </w:r>
    </w:p>
    <w:p w14:paraId="186FF8CE" w14:textId="181D67B8" w:rsidR="006F4A32" w:rsidRPr="0061181E" w:rsidRDefault="006F4A32" w:rsidP="0061181E">
      <w:pPr>
        <w:pStyle w:val="Titolo1"/>
        <w:spacing w:line="240" w:lineRule="auto"/>
        <w:ind w:left="0" w:right="0"/>
        <w:rPr>
          <w:i/>
        </w:rPr>
      </w:pPr>
      <w:bookmarkStart w:id="56" w:name="_Toc112768623"/>
      <w:r>
        <w:rPr>
          <w:sz w:val="28"/>
        </w:rPr>
        <w:lastRenderedPageBreak/>
        <w:t>Notes explicatives sur les états financiers agrégés intermédiaires condensés au 30 juin 2021.</w:t>
      </w:r>
      <w:bookmarkEnd w:id="56"/>
      <w:r>
        <w:rPr>
          <w:sz w:val="28"/>
        </w:rPr>
        <w:t xml:space="preserve"> </w:t>
      </w:r>
    </w:p>
    <w:p w14:paraId="1AA8A392" w14:textId="77777777" w:rsidR="00E16D12" w:rsidRPr="00C17031" w:rsidRDefault="00E16D12" w:rsidP="00E16D12">
      <w:pPr>
        <w:rPr>
          <w:rFonts w:ascii="Cambria" w:hAnsi="Cambria"/>
          <w:highlight w:val="green"/>
        </w:rPr>
      </w:pPr>
    </w:p>
    <w:p w14:paraId="5297DC5F" w14:textId="3299434C" w:rsidR="00E16D12" w:rsidRPr="00E52029" w:rsidRDefault="00E16D12" w:rsidP="00E16D12">
      <w:pPr>
        <w:pStyle w:val="Titolo2"/>
        <w:numPr>
          <w:ilvl w:val="0"/>
          <w:numId w:val="6"/>
        </w:numPr>
        <w:spacing w:line="360" w:lineRule="auto"/>
        <w:jc w:val="left"/>
        <w:rPr>
          <w:i w:val="0"/>
        </w:rPr>
      </w:pPr>
      <w:bookmarkStart w:id="57" w:name="_Toc112768624"/>
      <w:r>
        <w:rPr>
          <w:i w:val="0"/>
        </w:rPr>
        <w:t>Informations sur la société et structure des états financiers agrégés</w:t>
      </w:r>
      <w:bookmarkEnd w:id="57"/>
    </w:p>
    <w:p w14:paraId="41D7270B" w14:textId="77777777" w:rsidR="00E12398" w:rsidRPr="00E12398" w:rsidRDefault="00E12398" w:rsidP="00E12398">
      <w:pPr>
        <w:spacing w:after="200" w:line="276" w:lineRule="auto"/>
        <w:jc w:val="both"/>
        <w:rPr>
          <w:rFonts w:ascii="Cambria" w:hAnsi="Cambria"/>
          <w:sz w:val="22"/>
          <w:szCs w:val="22"/>
        </w:rPr>
      </w:pPr>
      <w:bookmarkStart w:id="58" w:name="_Hlk64994514"/>
      <w:r>
        <w:rPr>
          <w:rFonts w:ascii="Cambria" w:hAnsi="Cambria"/>
          <w:sz w:val="22"/>
        </w:rPr>
        <w:t xml:space="preserve">Take Off est une société anonyme constituée en Italie et inscrite au registre des sociétés de Rome sous le numéro 04509190759 (ci-après dénommée simplement « Take Off »). Le siège social est situé à ROME (RM), Via di Novella 22. </w:t>
      </w:r>
    </w:p>
    <w:p w14:paraId="7601A6C9" w14:textId="77777777" w:rsidR="00E12398" w:rsidRPr="00E12398" w:rsidRDefault="00E12398" w:rsidP="00E12398">
      <w:pPr>
        <w:spacing w:after="200" w:line="276" w:lineRule="auto"/>
        <w:jc w:val="both"/>
        <w:rPr>
          <w:rFonts w:ascii="Cambria" w:hAnsi="Cambria"/>
          <w:sz w:val="22"/>
          <w:szCs w:val="22"/>
        </w:rPr>
      </w:pPr>
      <w:r>
        <w:rPr>
          <w:rFonts w:ascii="Cambria" w:hAnsi="Cambria"/>
          <w:sz w:val="22"/>
        </w:rPr>
        <w:t>Take Off exerce son activité dans le secteur du commerce de détail d'articles d'habillement, sur la base du schéma de la chaîne de magasins d’usine (OUTLET), en utilisant différents points de vente situés sur tout le territoire national et en particulier dans le sud de l'Italie.</w:t>
      </w:r>
    </w:p>
    <w:p w14:paraId="38686C66" w14:textId="77777777" w:rsidR="00E12398" w:rsidRPr="00E12398" w:rsidRDefault="00E12398" w:rsidP="00E12398">
      <w:pPr>
        <w:spacing w:after="200" w:line="276" w:lineRule="auto"/>
        <w:jc w:val="both"/>
        <w:rPr>
          <w:rFonts w:ascii="Cambria" w:hAnsi="Cambria"/>
          <w:sz w:val="22"/>
          <w:szCs w:val="22"/>
        </w:rPr>
      </w:pPr>
      <w:r>
        <w:rPr>
          <w:rFonts w:ascii="Cambria" w:hAnsi="Cambria"/>
          <w:sz w:val="22"/>
        </w:rPr>
        <w:t xml:space="preserve"> Over est une société anonyme constituée en Italie et inscrite au registre des sociétés de Bari sous le numéro 05470340729 (ci-après dénommée « « Over). Son siège social est situé en Italie, à Castellana Grotte (BA), Via </w:t>
      </w:r>
      <w:proofErr w:type="spellStart"/>
      <w:r>
        <w:rPr>
          <w:rFonts w:ascii="Cambria" w:hAnsi="Cambria"/>
          <w:sz w:val="22"/>
        </w:rPr>
        <w:t>Turi</w:t>
      </w:r>
      <w:proofErr w:type="spellEnd"/>
      <w:r>
        <w:rPr>
          <w:rFonts w:ascii="Cambria" w:hAnsi="Cambria"/>
          <w:sz w:val="22"/>
        </w:rPr>
        <w:t xml:space="preserve"> </w:t>
      </w:r>
      <w:proofErr w:type="spellStart"/>
      <w:r>
        <w:rPr>
          <w:rFonts w:ascii="Cambria" w:hAnsi="Cambria"/>
          <w:sz w:val="22"/>
        </w:rPr>
        <w:t>Snc</w:t>
      </w:r>
      <w:proofErr w:type="spellEnd"/>
      <w:r>
        <w:rPr>
          <w:rFonts w:ascii="Cambria" w:hAnsi="Cambria"/>
          <w:sz w:val="22"/>
        </w:rPr>
        <w:t xml:space="preserve">.  </w:t>
      </w:r>
    </w:p>
    <w:p w14:paraId="133F737C" w14:textId="690CE5CC" w:rsidR="00E12398" w:rsidRDefault="00E12398" w:rsidP="00E12398">
      <w:pPr>
        <w:spacing w:after="200" w:line="276" w:lineRule="auto"/>
        <w:jc w:val="both"/>
        <w:rPr>
          <w:rFonts w:ascii="Cambria" w:hAnsi="Cambria"/>
          <w:sz w:val="22"/>
          <w:szCs w:val="22"/>
        </w:rPr>
      </w:pPr>
      <w:r>
        <w:rPr>
          <w:rFonts w:ascii="Cambria" w:hAnsi="Cambria"/>
          <w:sz w:val="22"/>
        </w:rPr>
        <w:t>Over est une société anonyme qui exerce son activité dans le secteur de la vente au détail de vêtements et d'accessoires pour enfants, avec la marque propre Overkids et son réseau de vente comprend 114 points de vente au 31 décembre 2020.</w:t>
      </w:r>
    </w:p>
    <w:p w14:paraId="2ED8C197" w14:textId="2FA63421" w:rsidR="00D85E02" w:rsidRPr="00E12398" w:rsidRDefault="00D85E02" w:rsidP="00E12398">
      <w:pPr>
        <w:spacing w:after="200" w:line="276" w:lineRule="auto"/>
        <w:jc w:val="both"/>
        <w:rPr>
          <w:rFonts w:ascii="Cambria" w:hAnsi="Cambria"/>
          <w:sz w:val="22"/>
          <w:szCs w:val="22"/>
        </w:rPr>
      </w:pPr>
      <w:r>
        <w:rPr>
          <w:rFonts w:ascii="Cambria" w:hAnsi="Cambria"/>
          <w:sz w:val="22"/>
        </w:rPr>
        <w:t>Take Off S.p.A. et Over S.p.A. sont toutes deux soumises à la gestion et à la coordination de la société mère Summit S.r.l., basée à Monopoli (BA), code fiscal et numéro de TVA 08274180721.</w:t>
      </w:r>
    </w:p>
    <w:p w14:paraId="73654DDE" w14:textId="15F5D6D5" w:rsidR="00992459" w:rsidRDefault="00F4004B" w:rsidP="00E12398">
      <w:pPr>
        <w:spacing w:after="200" w:line="276" w:lineRule="auto"/>
        <w:jc w:val="both"/>
        <w:rPr>
          <w:rFonts w:ascii="Cambria" w:hAnsi="Cambria"/>
          <w:sz w:val="22"/>
          <w:szCs w:val="22"/>
        </w:rPr>
      </w:pPr>
      <w:r>
        <w:rPr>
          <w:rFonts w:ascii="Cambria" w:hAnsi="Cambria"/>
          <w:sz w:val="22"/>
        </w:rPr>
        <w:t xml:space="preserve">Dans le cadre du processus envisagé pour l'admission des actions ordinaires de Take Off S.p.A. à la négociation sur le système multilatéral de négociation AIM Italia - Alternative Capital </w:t>
      </w:r>
      <w:proofErr w:type="spellStart"/>
      <w:r>
        <w:rPr>
          <w:rFonts w:ascii="Cambria" w:hAnsi="Cambria"/>
          <w:sz w:val="22"/>
        </w:rPr>
        <w:t>Market</w:t>
      </w:r>
      <w:proofErr w:type="spellEnd"/>
      <w:r>
        <w:rPr>
          <w:rFonts w:ascii="Cambria" w:hAnsi="Cambria"/>
          <w:sz w:val="22"/>
        </w:rPr>
        <w:t xml:space="preserve"> organisé et géré par </w:t>
      </w:r>
      <w:proofErr w:type="spellStart"/>
      <w:r>
        <w:rPr>
          <w:rFonts w:ascii="Cambria" w:hAnsi="Cambria"/>
          <w:sz w:val="22"/>
        </w:rPr>
        <w:t>Borsa</w:t>
      </w:r>
      <w:proofErr w:type="spellEnd"/>
      <w:r>
        <w:rPr>
          <w:rFonts w:ascii="Cambria" w:hAnsi="Cambria"/>
          <w:sz w:val="22"/>
        </w:rPr>
        <w:t xml:space="preserve"> Italiana S.p.A. (ci-après « AIM Italia »), Take Off a choisi de préparer les états financiers conformément aux normes comptables internationales (IAS/IFRS) publiées par l'International </w:t>
      </w:r>
      <w:proofErr w:type="spellStart"/>
      <w:r>
        <w:rPr>
          <w:rFonts w:ascii="Cambria" w:hAnsi="Cambria"/>
          <w:sz w:val="22"/>
        </w:rPr>
        <w:t>Accounting</w:t>
      </w:r>
      <w:proofErr w:type="spellEnd"/>
      <w:r>
        <w:rPr>
          <w:rFonts w:ascii="Cambria" w:hAnsi="Cambria"/>
          <w:sz w:val="22"/>
        </w:rPr>
        <w:t xml:space="preserve"> Standard </w:t>
      </w:r>
      <w:proofErr w:type="spellStart"/>
      <w:r>
        <w:rPr>
          <w:rFonts w:ascii="Cambria" w:hAnsi="Cambria"/>
          <w:sz w:val="22"/>
        </w:rPr>
        <w:t>Board</w:t>
      </w:r>
      <w:proofErr w:type="spellEnd"/>
      <w:r>
        <w:rPr>
          <w:rFonts w:ascii="Cambria" w:hAnsi="Cambria"/>
          <w:sz w:val="22"/>
        </w:rPr>
        <w:t xml:space="preserve"> (IASB) et adoptées par l'Union européenne, en exerçant l'option prévue par l'art. 4 alinéa 5 du décret législatif n. 38/2005.</w:t>
      </w:r>
    </w:p>
    <w:p w14:paraId="300EBBA8" w14:textId="22AA4D04" w:rsidR="00BA519C" w:rsidRDefault="00F4004B" w:rsidP="005D5DFD">
      <w:pPr>
        <w:spacing w:after="200" w:line="276" w:lineRule="auto"/>
        <w:jc w:val="both"/>
        <w:rPr>
          <w:rFonts w:ascii="Cambria" w:hAnsi="Cambria"/>
          <w:sz w:val="22"/>
          <w:szCs w:val="22"/>
        </w:rPr>
      </w:pPr>
      <w:r>
        <w:rPr>
          <w:rFonts w:ascii="Cambria" w:hAnsi="Cambria"/>
          <w:sz w:val="22"/>
        </w:rPr>
        <w:t xml:space="preserve">Les présents états financiers agrégés intermédiaires condensés au 30 juin 2021, établis conformément à la norme IAS 34 - Information financière intermédiaire, ont été rédigés uniquement dans le but d'être inclus dans le document d'admission à préparer dans le cadre du processus envisagé de cotation des actions de Take Off S.p.A. au système de négociation multilatéral de l'AIM Italia - Marché alternatif des capitaux organisé et géré par </w:t>
      </w:r>
      <w:proofErr w:type="spellStart"/>
      <w:r>
        <w:rPr>
          <w:rFonts w:ascii="Cambria" w:hAnsi="Cambria"/>
          <w:sz w:val="22"/>
        </w:rPr>
        <w:t>Borsa</w:t>
      </w:r>
      <w:proofErr w:type="spellEnd"/>
      <w:r>
        <w:rPr>
          <w:rFonts w:ascii="Cambria" w:hAnsi="Cambria"/>
          <w:sz w:val="22"/>
        </w:rPr>
        <w:t xml:space="preserve"> Italiana </w:t>
      </w:r>
      <w:r w:rsidR="00DC792B">
        <w:rPr>
          <w:rFonts w:ascii="Cambria" w:hAnsi="Cambria"/>
          <w:sz w:val="22"/>
        </w:rPr>
        <w:t>S.p.A.</w:t>
      </w:r>
    </w:p>
    <w:p w14:paraId="0D80F2A7" w14:textId="77777777" w:rsidR="005168F0" w:rsidRPr="005168F0" w:rsidRDefault="005168F0" w:rsidP="005168F0">
      <w:pPr>
        <w:spacing w:after="200" w:line="276" w:lineRule="auto"/>
        <w:jc w:val="both"/>
        <w:rPr>
          <w:rFonts w:ascii="Cambria" w:hAnsi="Cambria"/>
          <w:sz w:val="22"/>
          <w:szCs w:val="22"/>
        </w:rPr>
      </w:pPr>
      <w:r>
        <w:rPr>
          <w:rFonts w:ascii="Cambria" w:hAnsi="Cambria"/>
          <w:sz w:val="22"/>
        </w:rPr>
        <w:t>Les administrateurs considèrent qu'il n'y a pas d'incertitudes significatives qui pourraient donner lieu à des doutes concernant cette hypothèse. Ils ont évalué qu'il existe une attente raisonnable que le Groupe dispose de ressources adéquates pour poursuivre ses activités dans un avenir immédiat, soit au moins 12 mois après la date des états financiers.</w:t>
      </w:r>
    </w:p>
    <w:p w14:paraId="59AB0934" w14:textId="101336A5" w:rsidR="005168F0" w:rsidRDefault="005168F0" w:rsidP="005168F0">
      <w:pPr>
        <w:spacing w:after="200" w:line="276" w:lineRule="auto"/>
        <w:jc w:val="both"/>
        <w:rPr>
          <w:rFonts w:ascii="Cambria" w:hAnsi="Cambria"/>
          <w:sz w:val="22"/>
        </w:rPr>
      </w:pPr>
      <w:r>
        <w:rPr>
          <w:rFonts w:ascii="Cambria" w:hAnsi="Cambria"/>
          <w:sz w:val="22"/>
        </w:rPr>
        <w:t>Les états financiers agrégés intermédiaires condensés ne fournissent pas toutes les informations requises pour la préparation des états financiers agrégés annuels. Pour cette raison, il est nécessaire de lire les états financiers agrégés intermédiaires condensés conjointement avec les états financiers agrégés au 31 décembre 2020.</w:t>
      </w:r>
    </w:p>
    <w:p w14:paraId="4C240832" w14:textId="77777777" w:rsidR="008A28F5" w:rsidRDefault="008A28F5" w:rsidP="005168F0">
      <w:pPr>
        <w:spacing w:after="200" w:line="276" w:lineRule="auto"/>
        <w:jc w:val="both"/>
        <w:rPr>
          <w:rFonts w:ascii="Cambria" w:hAnsi="Cambria"/>
          <w:sz w:val="22"/>
          <w:szCs w:val="22"/>
        </w:rPr>
      </w:pPr>
    </w:p>
    <w:p w14:paraId="580CF334" w14:textId="3AE11EB1" w:rsidR="004F5BE0" w:rsidRDefault="004F5BE0" w:rsidP="005D5DFD">
      <w:pPr>
        <w:spacing w:after="200" w:line="276" w:lineRule="auto"/>
        <w:jc w:val="both"/>
        <w:rPr>
          <w:rFonts w:ascii="Cambria" w:hAnsi="Cambria"/>
          <w:sz w:val="22"/>
          <w:szCs w:val="22"/>
        </w:rPr>
      </w:pPr>
      <w:r>
        <w:rPr>
          <w:rFonts w:ascii="Cambria" w:hAnsi="Cambria"/>
          <w:sz w:val="22"/>
        </w:rPr>
        <w:lastRenderedPageBreak/>
        <w:t>Les états financiers agrégés intermédiaires condensés comprennent l'état de la situation financière, le compte de résultat et le tableau des flux de trésorerie de Take Off S.p.A. et Over S.p.A., conjointement identifiés comme le Groupe Take Off (ou le "Groupe"), au 30 juin 2021. Ces états financiers agrégés ont été préparés sur la base des situations comptables des sociétés individuelles, ajustées de manière appropriée pour les rendre homogènes et conformes aux normes IFRS.</w:t>
      </w:r>
    </w:p>
    <w:p w14:paraId="70ADFE43" w14:textId="7A110CBA" w:rsidR="00FB17B8" w:rsidRPr="009F4AE7" w:rsidRDefault="00FB17B8" w:rsidP="00FB17B8">
      <w:pPr>
        <w:spacing w:after="200" w:line="276" w:lineRule="auto"/>
        <w:jc w:val="both"/>
        <w:rPr>
          <w:rFonts w:ascii="Cambria" w:hAnsi="Cambria"/>
          <w:sz w:val="22"/>
          <w:szCs w:val="22"/>
        </w:rPr>
      </w:pPr>
      <w:r>
        <w:rPr>
          <w:rFonts w:ascii="Cambria" w:hAnsi="Cambria"/>
          <w:sz w:val="22"/>
        </w:rPr>
        <w:t>Comme décrit ci-dessus, Take Off S.p.A. n'a aucun contrôle sur Over S.p.A. et, par conséquent, en l'absence de relations d'actionnariat entre les deux sociétés, ces états financiers agrégés intermédiaires condensés ont été préparés dans le seul but d'être inclus dans le document d'admission à rédiger dans le cadre du processus prévu pour la cotation des actions de Take Off S.p.A. sur AIM Italia. Compte tenu de ce qui précède, il n'a pas été procédé à l'élimination des participations et la valeur de l'ensemble des capitaux propres est représentée par la somme algébrique des actifs nets des deux sociétés impliquées dans le regroupement. En outre, tous les soldes et les transactions inter-sociétés, y compris les profits et les pertes non réalisés découlant des relations entre les sociétés du groupe Take Off, sont éliminés.</w:t>
      </w:r>
    </w:p>
    <w:p w14:paraId="5E005077" w14:textId="77777777" w:rsidR="00FB17B8" w:rsidRDefault="00FB17B8" w:rsidP="00FB17B8">
      <w:pPr>
        <w:spacing w:after="200" w:line="276" w:lineRule="auto"/>
        <w:jc w:val="both"/>
        <w:rPr>
          <w:rFonts w:ascii="Cambria" w:hAnsi="Cambria"/>
          <w:sz w:val="22"/>
          <w:szCs w:val="22"/>
        </w:rPr>
      </w:pPr>
      <w:r>
        <w:rPr>
          <w:rFonts w:ascii="Cambria" w:hAnsi="Cambria"/>
          <w:sz w:val="22"/>
        </w:rPr>
        <w:t xml:space="preserve">Il convient également de rappeler que, toujours dans le cadre de l'opération de cotation prévue, la société Take Off a choisi de préparer les états financiers agrégés conformément aux normes comptables internationales (IAS/IFRS) publiées par l'International </w:t>
      </w:r>
      <w:proofErr w:type="spellStart"/>
      <w:r>
        <w:rPr>
          <w:rFonts w:ascii="Cambria" w:hAnsi="Cambria"/>
          <w:sz w:val="22"/>
        </w:rPr>
        <w:t>Accounting</w:t>
      </w:r>
      <w:proofErr w:type="spellEnd"/>
      <w:r>
        <w:rPr>
          <w:rFonts w:ascii="Cambria" w:hAnsi="Cambria"/>
          <w:sz w:val="22"/>
        </w:rPr>
        <w:t xml:space="preserve"> Standard </w:t>
      </w:r>
      <w:proofErr w:type="spellStart"/>
      <w:r>
        <w:rPr>
          <w:rFonts w:ascii="Cambria" w:hAnsi="Cambria"/>
          <w:sz w:val="22"/>
        </w:rPr>
        <w:t>Board</w:t>
      </w:r>
      <w:proofErr w:type="spellEnd"/>
      <w:r>
        <w:rPr>
          <w:rFonts w:ascii="Cambria" w:hAnsi="Cambria"/>
          <w:sz w:val="22"/>
        </w:rPr>
        <w:t xml:space="preserve"> (IASB) et adoptées par l'Union européenne, en exerçant l'option prévue par l'art. 4 alinéa 5 du décret législatif n. 38/2005.</w:t>
      </w:r>
    </w:p>
    <w:p w14:paraId="0DDD2534" w14:textId="77777777" w:rsidR="00FB17B8" w:rsidRDefault="00FB17B8" w:rsidP="00FB17B8">
      <w:pPr>
        <w:spacing w:after="200" w:line="276" w:lineRule="auto"/>
        <w:jc w:val="both"/>
        <w:rPr>
          <w:rFonts w:ascii="Cambria" w:hAnsi="Cambria"/>
          <w:sz w:val="22"/>
          <w:szCs w:val="22"/>
        </w:rPr>
      </w:pPr>
      <w:r>
        <w:rPr>
          <w:rFonts w:ascii="Cambria" w:hAnsi="Cambria"/>
          <w:sz w:val="22"/>
        </w:rPr>
        <w:t>La publication des états financiers agrégés pour l'exercice clos le 30 juin 2021 a été autorisée par le Conseil d'administration le 7 septembre 2021.</w:t>
      </w:r>
    </w:p>
    <w:bookmarkEnd w:id="58"/>
    <w:p w14:paraId="2AD20AE4" w14:textId="2C7BCBD4" w:rsidR="00E16D12" w:rsidRPr="00F4004B" w:rsidRDefault="00E16D12" w:rsidP="00E16D12">
      <w:pPr>
        <w:spacing w:after="200" w:line="276" w:lineRule="auto"/>
        <w:jc w:val="both"/>
        <w:rPr>
          <w:rFonts w:ascii="Cambria" w:hAnsi="Cambria"/>
          <w:sz w:val="22"/>
          <w:szCs w:val="22"/>
        </w:rPr>
      </w:pPr>
      <w:r>
        <w:rPr>
          <w:rFonts w:ascii="Cambria" w:hAnsi="Cambria"/>
          <w:sz w:val="22"/>
        </w:rPr>
        <w:t xml:space="preserve">Ces états financiers intermédiaires sont établis en euros, monnaie fonctionnelle du Groupe, de même que les notes explicatives, sauf indication contraire. </w:t>
      </w:r>
    </w:p>
    <w:p w14:paraId="56F896EE" w14:textId="77777777" w:rsidR="00E16D12" w:rsidRPr="00F4004B" w:rsidRDefault="00E16D12" w:rsidP="00E16D12">
      <w:pPr>
        <w:spacing w:after="200" w:line="276" w:lineRule="auto"/>
        <w:jc w:val="both"/>
        <w:rPr>
          <w:rFonts w:ascii="Cambria" w:hAnsi="Cambria"/>
          <w:sz w:val="22"/>
          <w:szCs w:val="22"/>
        </w:rPr>
      </w:pPr>
      <w:r>
        <w:rPr>
          <w:rFonts w:ascii="Cambria" w:hAnsi="Cambria"/>
          <w:sz w:val="22"/>
        </w:rPr>
        <w:t>Les formats d'états financiers adoptés sont conformes à ceux prévus par les normes comptables de référence et en particulier :</w:t>
      </w:r>
    </w:p>
    <w:p w14:paraId="19C31AF4" w14:textId="77777777" w:rsidR="00E16D12" w:rsidRPr="00F4004B" w:rsidRDefault="00E16D12" w:rsidP="00E16D12">
      <w:pPr>
        <w:pStyle w:val="Paragrafoelenco"/>
        <w:numPr>
          <w:ilvl w:val="0"/>
          <w:numId w:val="2"/>
        </w:numPr>
        <w:spacing w:after="200" w:line="276" w:lineRule="auto"/>
        <w:jc w:val="both"/>
        <w:rPr>
          <w:rFonts w:ascii="Cambria" w:hAnsi="Cambria"/>
          <w:sz w:val="22"/>
          <w:szCs w:val="22"/>
        </w:rPr>
      </w:pPr>
      <w:proofErr w:type="gramStart"/>
      <w:r>
        <w:rPr>
          <w:rFonts w:ascii="Cambria" w:hAnsi="Cambria"/>
          <w:sz w:val="22"/>
        </w:rPr>
        <w:t>l'état</w:t>
      </w:r>
      <w:proofErr w:type="gramEnd"/>
      <w:r>
        <w:rPr>
          <w:rFonts w:ascii="Cambria" w:hAnsi="Cambria"/>
          <w:sz w:val="22"/>
        </w:rPr>
        <w:t xml:space="preserve"> de la situation financière a été préparé en classant les actifs et les passifs selon le critère « court ou long terme » ;</w:t>
      </w:r>
    </w:p>
    <w:p w14:paraId="6CEDCB18" w14:textId="77777777" w:rsidR="00E16D12" w:rsidRPr="00F4004B" w:rsidRDefault="00F94B18" w:rsidP="00E16D12">
      <w:pPr>
        <w:pStyle w:val="Paragrafoelenco"/>
        <w:numPr>
          <w:ilvl w:val="0"/>
          <w:numId w:val="2"/>
        </w:numPr>
        <w:spacing w:after="200" w:line="276" w:lineRule="auto"/>
        <w:jc w:val="both"/>
        <w:rPr>
          <w:rFonts w:ascii="Cambria" w:hAnsi="Cambria"/>
          <w:sz w:val="22"/>
          <w:szCs w:val="22"/>
        </w:rPr>
      </w:pPr>
      <w:proofErr w:type="gramStart"/>
      <w:r>
        <w:rPr>
          <w:rFonts w:ascii="Cambria" w:hAnsi="Cambria"/>
          <w:sz w:val="22"/>
        </w:rPr>
        <w:t>le</w:t>
      </w:r>
      <w:proofErr w:type="gramEnd"/>
      <w:r>
        <w:rPr>
          <w:rFonts w:ascii="Cambria" w:hAnsi="Cambria"/>
          <w:sz w:val="22"/>
        </w:rPr>
        <w:t xml:space="preserve"> compte de résultat a été préparé en classant les coûts d'exploitation par nature ;</w:t>
      </w:r>
    </w:p>
    <w:p w14:paraId="79954A5B" w14:textId="77777777" w:rsidR="00E16D12" w:rsidRPr="00F4004B" w:rsidRDefault="00E16D12" w:rsidP="00E16D12">
      <w:pPr>
        <w:pStyle w:val="Paragrafoelenco"/>
        <w:numPr>
          <w:ilvl w:val="0"/>
          <w:numId w:val="2"/>
        </w:numPr>
        <w:spacing w:after="200" w:line="276" w:lineRule="auto"/>
        <w:jc w:val="both"/>
        <w:rPr>
          <w:rFonts w:ascii="Cambria" w:hAnsi="Cambria"/>
          <w:sz w:val="22"/>
          <w:szCs w:val="22"/>
        </w:rPr>
      </w:pPr>
      <w:proofErr w:type="gramStart"/>
      <w:r>
        <w:rPr>
          <w:rFonts w:ascii="Cambria" w:hAnsi="Cambria"/>
          <w:sz w:val="22"/>
        </w:rPr>
        <w:t>le</w:t>
      </w:r>
      <w:proofErr w:type="gramEnd"/>
      <w:r>
        <w:rPr>
          <w:rFonts w:ascii="Cambria" w:hAnsi="Cambria"/>
          <w:sz w:val="22"/>
        </w:rPr>
        <w:t xml:space="preserve"> compte de résultat global comprend non seulement le résultat de la période selon le compte de résultat, mais aussi les variations des capitaux propres autres que celles avec les actionnaires ;</w:t>
      </w:r>
    </w:p>
    <w:p w14:paraId="6F5281F6" w14:textId="77777777" w:rsidR="00E16D12" w:rsidRPr="00F4004B" w:rsidRDefault="00E16D12" w:rsidP="00E16D12">
      <w:pPr>
        <w:pStyle w:val="Paragrafoelenco"/>
        <w:numPr>
          <w:ilvl w:val="0"/>
          <w:numId w:val="2"/>
        </w:numPr>
        <w:spacing w:after="200" w:line="276" w:lineRule="auto"/>
        <w:jc w:val="both"/>
        <w:rPr>
          <w:rFonts w:ascii="Cambria" w:hAnsi="Cambria"/>
          <w:sz w:val="22"/>
          <w:szCs w:val="22"/>
        </w:rPr>
      </w:pPr>
      <w:proofErr w:type="gramStart"/>
      <w:r>
        <w:rPr>
          <w:rFonts w:ascii="Cambria" w:hAnsi="Cambria"/>
          <w:sz w:val="22"/>
        </w:rPr>
        <w:t>le</w:t>
      </w:r>
      <w:proofErr w:type="gramEnd"/>
      <w:r>
        <w:rPr>
          <w:rFonts w:ascii="Cambria" w:hAnsi="Cambria"/>
          <w:sz w:val="22"/>
        </w:rPr>
        <w:t xml:space="preserve"> tableau des flux de trésorerie a été préparé en présentant les flux de trésorerie provenant des activités opérationnelles selon la « méthode indirecte », comme le permet la norme IAS 7 (Tableau des flux de trésorerie). Dans ce contexte, la décision a été prise de présenter le montant des intérêts payés et perçus comme faisant partie des flux de trésorerie provenant des activités opérationnelles</w:t>
      </w:r>
    </w:p>
    <w:p w14:paraId="4B50B2C7" w14:textId="77777777" w:rsidR="00E16D12" w:rsidRPr="00F4004B" w:rsidRDefault="00B60359" w:rsidP="00E16D12">
      <w:pPr>
        <w:pStyle w:val="Paragrafoelenco"/>
        <w:numPr>
          <w:ilvl w:val="0"/>
          <w:numId w:val="2"/>
        </w:numPr>
        <w:spacing w:after="200" w:line="276" w:lineRule="auto"/>
        <w:jc w:val="both"/>
        <w:rPr>
          <w:rFonts w:ascii="Cambria" w:hAnsi="Cambria"/>
          <w:sz w:val="22"/>
          <w:szCs w:val="22"/>
        </w:rPr>
      </w:pPr>
      <w:proofErr w:type="gramStart"/>
      <w:r>
        <w:rPr>
          <w:rFonts w:ascii="Cambria" w:hAnsi="Cambria"/>
          <w:sz w:val="22"/>
        </w:rPr>
        <w:t>l'état</w:t>
      </w:r>
      <w:proofErr w:type="gramEnd"/>
      <w:r>
        <w:rPr>
          <w:rFonts w:ascii="Cambria" w:hAnsi="Cambria"/>
          <w:sz w:val="22"/>
        </w:rPr>
        <w:t xml:space="preserve"> des variations des capitaux propres a été préparé en fournissant des preuves séparées des autres éléments du compte de résultat global.</w:t>
      </w:r>
    </w:p>
    <w:p w14:paraId="71E7523C" w14:textId="7BF12674" w:rsidR="00E16D12" w:rsidRPr="00F4004B" w:rsidRDefault="00E16D12" w:rsidP="00E16D12">
      <w:pPr>
        <w:spacing w:after="200" w:line="276" w:lineRule="auto"/>
        <w:jc w:val="both"/>
        <w:rPr>
          <w:rFonts w:ascii="Cambria" w:hAnsi="Cambria"/>
          <w:sz w:val="22"/>
          <w:szCs w:val="22"/>
        </w:rPr>
      </w:pPr>
      <w:r>
        <w:rPr>
          <w:rFonts w:ascii="Cambria" w:hAnsi="Cambria"/>
          <w:sz w:val="22"/>
        </w:rPr>
        <w:t>Compte tenu des exigences des normes comptables de référence, la comparaison des postes de l'état de la situation financière est effectuée avec les valeurs agrégées au 31 décembre 2020, tandis que la comparaison des postes du compte de résultat est effectuée avec les valeurs agrégées au 30 juin 2020 retraitées sur la base des normes comptables internationales.</w:t>
      </w:r>
    </w:p>
    <w:p w14:paraId="524AAEBF" w14:textId="77777777" w:rsidR="00E16D12" w:rsidRPr="00F4004B" w:rsidRDefault="00E16D12" w:rsidP="008A28F5">
      <w:pPr>
        <w:spacing w:line="276" w:lineRule="auto"/>
        <w:jc w:val="both"/>
        <w:rPr>
          <w:rFonts w:ascii="Cambria" w:hAnsi="Cambria"/>
          <w:sz w:val="22"/>
          <w:szCs w:val="22"/>
        </w:rPr>
      </w:pPr>
      <w:r>
        <w:rPr>
          <w:rFonts w:ascii="Cambria" w:hAnsi="Cambria"/>
          <w:sz w:val="22"/>
        </w:rPr>
        <w:lastRenderedPageBreak/>
        <w:t>Les notes explicatives montrent, par rapport aux différents postes, les changements intervenus au cours de la période.</w:t>
      </w:r>
    </w:p>
    <w:p w14:paraId="71FB023C" w14:textId="7379698C" w:rsidR="00431400" w:rsidRDefault="00431400" w:rsidP="008A28F5">
      <w:pPr>
        <w:spacing w:line="276" w:lineRule="auto"/>
        <w:jc w:val="both"/>
        <w:rPr>
          <w:rFonts w:ascii="Cambria" w:hAnsi="Cambria"/>
          <w:sz w:val="22"/>
          <w:szCs w:val="22"/>
        </w:rPr>
      </w:pPr>
      <w:r>
        <w:rPr>
          <w:rFonts w:ascii="Cambria" w:hAnsi="Cambria"/>
          <w:sz w:val="22"/>
        </w:rPr>
        <w:t>Il convient de noter que Take Off, bien qu'ayant détenu des participations de contrôle en 2020 et 2019, ne prépare pas les états financiers consolidés étant donné que les limites prévues par l'art. 27 du décret législatif n. 127/91 ne sont pas dépassées.</w:t>
      </w:r>
    </w:p>
    <w:p w14:paraId="3AFA630D" w14:textId="77777777" w:rsidR="00E16D12" w:rsidRDefault="00E16D12" w:rsidP="008A28F5">
      <w:pPr>
        <w:pStyle w:val="Titolo2"/>
        <w:numPr>
          <w:ilvl w:val="0"/>
          <w:numId w:val="6"/>
        </w:numPr>
        <w:spacing w:line="240" w:lineRule="auto"/>
        <w:ind w:left="357" w:right="0" w:hanging="357"/>
        <w:jc w:val="left"/>
        <w:rPr>
          <w:i w:val="0"/>
        </w:rPr>
      </w:pPr>
      <w:bookmarkStart w:id="59" w:name="_Toc112768625"/>
      <w:r>
        <w:rPr>
          <w:i w:val="0"/>
        </w:rPr>
        <w:t>Normes comptables et critères d'évaluation adoptés</w:t>
      </w:r>
      <w:bookmarkEnd w:id="59"/>
    </w:p>
    <w:p w14:paraId="32B6B3C1" w14:textId="77777777" w:rsidR="003069F2" w:rsidRPr="003069F2" w:rsidRDefault="003069F2" w:rsidP="008A28F5"/>
    <w:p w14:paraId="261AB846" w14:textId="5CBDFC35" w:rsidR="00F84247" w:rsidRPr="00C17031" w:rsidRDefault="00CF3172" w:rsidP="008A28F5">
      <w:pPr>
        <w:spacing w:line="276" w:lineRule="auto"/>
        <w:jc w:val="both"/>
        <w:rPr>
          <w:rFonts w:ascii="Cambria" w:hAnsi="Cambria"/>
          <w:sz w:val="22"/>
          <w:szCs w:val="22"/>
        </w:rPr>
      </w:pPr>
      <w:r>
        <w:rPr>
          <w:rFonts w:ascii="Cambria" w:hAnsi="Cambria"/>
          <w:sz w:val="22"/>
        </w:rPr>
        <w:t>Les états financiers agrégés intermédiaires condensés au 30 juin 2021 ont été établis sur la base du principe du coût historique. Se référer aux paragraphes spécifiques commentant les postes de l'état de la situation financière et du compte de résultat pour plus de détails sur les critères adoptés.</w:t>
      </w:r>
    </w:p>
    <w:p w14:paraId="6A1C2201" w14:textId="77777777" w:rsidR="00E16D12" w:rsidRPr="00C17031" w:rsidRDefault="00F84247" w:rsidP="008A28F5">
      <w:pPr>
        <w:spacing w:line="276" w:lineRule="auto"/>
        <w:jc w:val="both"/>
        <w:rPr>
          <w:rFonts w:ascii="Cambria" w:hAnsi="Cambria"/>
          <w:sz w:val="22"/>
          <w:szCs w:val="22"/>
        </w:rPr>
      </w:pPr>
      <w:r>
        <w:rPr>
          <w:rFonts w:ascii="Cambria" w:hAnsi="Cambria"/>
          <w:b/>
          <w:sz w:val="22"/>
        </w:rPr>
        <w:t>2.1 Évaluations discrétionnaires et estimations comptables significatives</w:t>
      </w:r>
    </w:p>
    <w:p w14:paraId="545172A1" w14:textId="37FB0339" w:rsidR="00E16D12" w:rsidRDefault="005D5DFD" w:rsidP="008A28F5">
      <w:pPr>
        <w:spacing w:line="276" w:lineRule="auto"/>
        <w:jc w:val="both"/>
        <w:rPr>
          <w:rFonts w:ascii="Cambria" w:hAnsi="Cambria"/>
          <w:sz w:val="22"/>
          <w:szCs w:val="22"/>
        </w:rPr>
      </w:pPr>
      <w:r>
        <w:rPr>
          <w:rFonts w:ascii="Cambria" w:hAnsi="Cambria"/>
          <w:sz w:val="22"/>
        </w:rPr>
        <w:t>La préparation des états financiers de Take Off and Over nécessite la préparation d'évaluations discrétionnaires, d'estimations et d'hypothèses qui influencent la valeur des revenus, des coûts, des actifs et des passifs et l'indication des passifs éventuels à la date de clôture. Les résultats définitifs pourraient différer de ces estimations. L'incertitude entourant ces hypothèses et estimations pourrait conduire à des résultats qui nécessiteraient, dans le futur, un ajustement significatif de la valeur comptable de ces actifs et/ou passifs. Les estimations et les hypothèses sont revues périodiquement et les effets de toute modification apportée à celles-ci sont reflétés dans le compte de résultat de la période au cours de laquelle l'estimation est révisée. Les principaux processus d'estimation et d'évaluation discrétionnaires concernent la comptabilisation et l'évaluation des éléments des états financiers indiqués ci-dessous.</w:t>
      </w:r>
    </w:p>
    <w:p w14:paraId="53A76467" w14:textId="77777777" w:rsidR="00F219B0" w:rsidRPr="00C17031" w:rsidRDefault="00F219B0" w:rsidP="008A28F5">
      <w:pPr>
        <w:spacing w:line="360" w:lineRule="auto"/>
        <w:jc w:val="both"/>
        <w:rPr>
          <w:rFonts w:ascii="Cambria" w:hAnsi="Cambria"/>
          <w:b/>
          <w:bCs/>
          <w:iCs/>
          <w:sz w:val="22"/>
          <w:szCs w:val="22"/>
        </w:rPr>
      </w:pPr>
      <w:r>
        <w:rPr>
          <w:rFonts w:ascii="Cambria" w:hAnsi="Cambria"/>
          <w:b/>
          <w:sz w:val="22"/>
        </w:rPr>
        <w:t>Estimations et hypothèses</w:t>
      </w:r>
    </w:p>
    <w:p w14:paraId="57C39C0F" w14:textId="2FA9C0F2" w:rsidR="002047F2" w:rsidRPr="00C17031" w:rsidRDefault="00F219B0" w:rsidP="008A28F5">
      <w:pPr>
        <w:spacing w:line="276" w:lineRule="auto"/>
        <w:jc w:val="both"/>
        <w:rPr>
          <w:rFonts w:ascii="Cambria" w:hAnsi="Cambria"/>
          <w:sz w:val="22"/>
          <w:szCs w:val="22"/>
        </w:rPr>
      </w:pPr>
      <w:r>
        <w:rPr>
          <w:rFonts w:ascii="Cambria" w:hAnsi="Cambria"/>
          <w:sz w:val="22"/>
        </w:rPr>
        <w:t>Les principales hypothèses concernant l'avenir et les autres principales causes d'incertitude d'évaluation qui, à la date de référence, présentent le risque considérable de donner lieu à des ajustements significatifs des valeurs comptables des actifs et des passifs au cours de l'année sont illustrées ci-dessous. Le Groupe a fondé ses estimations et hypothèses sur les paramètres disponibles au moment de la préparation des états financiers intermédiaires. Toutefois, les circonstances actuelles et les hypothèses relatives aux événements futurs peuvent changer en raison de l'évolution du marché ou d'événements indépendants de sa volonté. Si ces changements se produisent, ils sont reflétés dans les hypothèses au moment où ils se produisent.</w:t>
      </w:r>
    </w:p>
    <w:p w14:paraId="0646C0B9" w14:textId="77777777" w:rsidR="00E16D12" w:rsidRPr="00C17031" w:rsidRDefault="004346F6" w:rsidP="008A28F5">
      <w:pPr>
        <w:spacing w:line="360" w:lineRule="auto"/>
        <w:jc w:val="both"/>
        <w:rPr>
          <w:rFonts w:ascii="Cambria" w:hAnsi="Cambria"/>
          <w:i/>
          <w:sz w:val="22"/>
          <w:szCs w:val="22"/>
        </w:rPr>
      </w:pPr>
      <w:r>
        <w:rPr>
          <w:rFonts w:ascii="Cambria" w:hAnsi="Cambria"/>
          <w:i/>
          <w:sz w:val="22"/>
        </w:rPr>
        <w:t>Dépréciation d'actifs non financiers</w:t>
      </w:r>
    </w:p>
    <w:p w14:paraId="635C2171" w14:textId="77777777" w:rsidR="005049B7" w:rsidRPr="00C17031" w:rsidRDefault="005049B7" w:rsidP="008A28F5">
      <w:pPr>
        <w:spacing w:line="276" w:lineRule="auto"/>
        <w:jc w:val="both"/>
        <w:rPr>
          <w:rFonts w:ascii="Cambria" w:hAnsi="Cambria"/>
          <w:sz w:val="22"/>
          <w:szCs w:val="22"/>
        </w:rPr>
      </w:pPr>
      <w:r>
        <w:rPr>
          <w:rFonts w:ascii="Cambria" w:hAnsi="Cambria"/>
          <w:sz w:val="22"/>
        </w:rPr>
        <w:t xml:space="preserve">Les actifs tels que les immobilisations corporelles, les immobilisations incorporelles, les actifs consistant en un droit d'utilisation d'un actif sous-jacent subissent une réduction de valeur lorsque leur valeur comptable est supérieure à la valeur recouvrable, représentée par le plus élevé de la juste valeur, diminuée des coûts de cession, et de la valeur d'utilité. </w:t>
      </w:r>
    </w:p>
    <w:p w14:paraId="607BDAA5" w14:textId="78C57373" w:rsidR="00310C1A" w:rsidRPr="00C17031" w:rsidRDefault="00310C1A" w:rsidP="008A28F5">
      <w:pPr>
        <w:spacing w:line="276" w:lineRule="auto"/>
        <w:jc w:val="both"/>
        <w:rPr>
          <w:rFonts w:ascii="Cambria" w:hAnsi="Cambria"/>
          <w:sz w:val="22"/>
          <w:szCs w:val="22"/>
        </w:rPr>
      </w:pPr>
      <w:r>
        <w:rPr>
          <w:rFonts w:ascii="Cambria" w:hAnsi="Cambria"/>
          <w:sz w:val="22"/>
        </w:rPr>
        <w:t>Conformément à la norme IAS 36, les sociétés ont identifié les Unités Génératrices de Trésorerie (« UGT ») qui représentent le plus petit groupe identifiable capable de générer des flux de trésorerie largement indépendants ; ces UGT correspondent aux points de vente des sociétés.</w:t>
      </w:r>
    </w:p>
    <w:p w14:paraId="0A7FC9AE" w14:textId="4F38E0AE" w:rsidR="00310C1A" w:rsidRDefault="00310C1A" w:rsidP="008A28F5">
      <w:pPr>
        <w:spacing w:line="276" w:lineRule="auto"/>
        <w:jc w:val="both"/>
        <w:rPr>
          <w:rFonts w:ascii="Cambria" w:hAnsi="Cambria"/>
          <w:sz w:val="22"/>
          <w:szCs w:val="22"/>
        </w:rPr>
      </w:pPr>
      <w:r>
        <w:rPr>
          <w:rFonts w:ascii="Cambria" w:hAnsi="Cambria"/>
          <w:sz w:val="22"/>
        </w:rPr>
        <w:t xml:space="preserve">En raison du changement significatif du contexte économique, qui a également affecté le secteur dans lequel les sociétés opèrent et en considération des recommandations de l'ESMA (Déclaration publique « Implications de l'épidémie COVID-19 sur les rapports financiers semestriels » du 20 mai 2020) et des directives de la </w:t>
      </w:r>
      <w:proofErr w:type="spellStart"/>
      <w:r>
        <w:rPr>
          <w:rFonts w:ascii="Cambria" w:hAnsi="Cambria"/>
          <w:sz w:val="22"/>
        </w:rPr>
        <w:t>Consob</w:t>
      </w:r>
      <w:proofErr w:type="spellEnd"/>
      <w:r>
        <w:rPr>
          <w:rFonts w:ascii="Cambria" w:hAnsi="Cambria"/>
          <w:sz w:val="22"/>
        </w:rPr>
        <w:t xml:space="preserve"> (Mise en garde n°. 8/20 du 16-7-2020), la Direction a jugé opportun de procéder à une analyse spécifique afin d'identifier les points de vente qui, à la clôture des comptes au 30 juin 2021, pourraient présenter des indicateurs de dépréciation à la lumière des effets de la pandémie, ainsi qu'en référence à leurs actifs sociaux.</w:t>
      </w:r>
    </w:p>
    <w:p w14:paraId="194352E7" w14:textId="01A065FC" w:rsidR="004D6981" w:rsidRDefault="006E27B0" w:rsidP="007C6746">
      <w:pPr>
        <w:spacing w:after="200" w:line="276" w:lineRule="auto"/>
        <w:jc w:val="both"/>
        <w:rPr>
          <w:rFonts w:ascii="Cambria" w:hAnsi="Cambria"/>
          <w:sz w:val="22"/>
          <w:szCs w:val="22"/>
        </w:rPr>
      </w:pPr>
      <w:r>
        <w:rPr>
          <w:rFonts w:ascii="Cambria" w:hAnsi="Cambria"/>
          <w:sz w:val="22"/>
        </w:rPr>
        <w:lastRenderedPageBreak/>
        <w:t xml:space="preserve">L'analyse est effectuée en vérifiant l'existence d'indicateurs de dépréciation au niveau de chaque point de vente, en déterminant la rentabilité relative, tant finale que prévisionnelle, en leur attribuant les revenus et les coûts directs encourus pour la commercialisation des marchandises, y compris l'amortissement des droits d'utilisation et à l'exclusion des coûts attribuables aux Actifs Sociaux (Logistique et Siège), à la vente en gros et aux résultats d'éventuelles opérations extraordinaires. </w:t>
      </w:r>
    </w:p>
    <w:p w14:paraId="4EC6FE9F" w14:textId="04DD4B2E" w:rsidR="001521AC" w:rsidRDefault="004D6981" w:rsidP="007C6746">
      <w:pPr>
        <w:spacing w:after="200" w:line="276" w:lineRule="auto"/>
        <w:jc w:val="both"/>
        <w:rPr>
          <w:rFonts w:ascii="Cambria" w:hAnsi="Cambria"/>
          <w:sz w:val="22"/>
          <w:szCs w:val="22"/>
        </w:rPr>
      </w:pPr>
      <w:r>
        <w:rPr>
          <w:rFonts w:ascii="Cambria" w:hAnsi="Cambria"/>
          <w:sz w:val="22"/>
        </w:rPr>
        <w:t xml:space="preserve">La rentabilité globale des points de vente et du commerce de gros (groupe d'UGT) a été vérifiée par la suite, de manière définitive et prospective, afin de vérifier la </w:t>
      </w:r>
      <w:proofErr w:type="spellStart"/>
      <w:r>
        <w:rPr>
          <w:rFonts w:ascii="Cambria" w:hAnsi="Cambria"/>
          <w:sz w:val="22"/>
        </w:rPr>
        <w:t>recouvrabilité</w:t>
      </w:r>
      <w:proofErr w:type="spellEnd"/>
      <w:r>
        <w:rPr>
          <w:rFonts w:ascii="Cambria" w:hAnsi="Cambria"/>
          <w:sz w:val="22"/>
        </w:rPr>
        <w:t xml:space="preserve"> des coûts d'exploitation attribuables aux actifs du groupe.</w:t>
      </w:r>
    </w:p>
    <w:p w14:paraId="448359A5" w14:textId="7F90CD3D" w:rsidR="006E27B0" w:rsidRDefault="001521AC" w:rsidP="007C6746">
      <w:pPr>
        <w:spacing w:after="200" w:line="276" w:lineRule="auto"/>
        <w:jc w:val="both"/>
        <w:rPr>
          <w:rFonts w:ascii="Cambria" w:hAnsi="Cambria"/>
          <w:sz w:val="22"/>
          <w:szCs w:val="22"/>
        </w:rPr>
      </w:pPr>
      <w:r>
        <w:rPr>
          <w:rFonts w:ascii="Cambria" w:hAnsi="Cambria"/>
          <w:sz w:val="22"/>
        </w:rPr>
        <w:t xml:space="preserve">La capacité prospective du groupe d'UGT à assurer la </w:t>
      </w:r>
      <w:proofErr w:type="spellStart"/>
      <w:r>
        <w:rPr>
          <w:rFonts w:ascii="Cambria" w:hAnsi="Cambria"/>
          <w:sz w:val="22"/>
        </w:rPr>
        <w:t>recouvrabilité</w:t>
      </w:r>
      <w:proofErr w:type="spellEnd"/>
      <w:r>
        <w:rPr>
          <w:rFonts w:ascii="Cambria" w:hAnsi="Cambria"/>
          <w:sz w:val="22"/>
        </w:rPr>
        <w:t xml:space="preserve"> totale de la valeur comptable nette du groupe d'UGT et des actifs de l'entreprise, représentée par le capital net investi (CIN) de la société, a ensuite été vérifiée.</w:t>
      </w:r>
    </w:p>
    <w:p w14:paraId="60E63EF3" w14:textId="7BD92609" w:rsidR="00F403F5" w:rsidRDefault="00F403F5" w:rsidP="007C6746">
      <w:pPr>
        <w:spacing w:after="200" w:line="276" w:lineRule="auto"/>
        <w:jc w:val="both"/>
        <w:rPr>
          <w:rFonts w:ascii="Cambria" w:hAnsi="Cambria"/>
          <w:sz w:val="22"/>
          <w:szCs w:val="22"/>
        </w:rPr>
      </w:pPr>
      <w:r>
        <w:rPr>
          <w:rFonts w:ascii="Cambria" w:hAnsi="Cambria"/>
          <w:sz w:val="22"/>
        </w:rPr>
        <w:t>L'existence d'indicateurs de dépréciation au niveau du point de vente entraîne la réalisation d'un test de dépréciation. En l'absence d'indicateurs de dépréciation, le test de dépréciation est effectué au niveau du groupe d'UGT.</w:t>
      </w:r>
    </w:p>
    <w:p w14:paraId="47B10138" w14:textId="711E8C5A" w:rsidR="005049B7" w:rsidRPr="00C17031" w:rsidRDefault="005049B7" w:rsidP="005049B7">
      <w:pPr>
        <w:spacing w:after="200" w:line="276" w:lineRule="auto"/>
        <w:jc w:val="both"/>
        <w:rPr>
          <w:rFonts w:ascii="Cambria" w:hAnsi="Cambria"/>
          <w:sz w:val="22"/>
          <w:szCs w:val="22"/>
        </w:rPr>
      </w:pPr>
      <w:r>
        <w:rPr>
          <w:rFonts w:ascii="Cambria" w:hAnsi="Cambria"/>
          <w:sz w:val="22"/>
        </w:rPr>
        <w:t>Les contrôles de la valeur recouvrable sont effectués selon les critères prévus par la norme IAS 36 et décrits plus en détail dans la note suivante g) Pertes de valeur sur actifs non financiers.</w:t>
      </w:r>
    </w:p>
    <w:p w14:paraId="6C88A30C" w14:textId="77777777" w:rsidR="005049B7" w:rsidRPr="00C17031" w:rsidRDefault="005049B7" w:rsidP="005049B7">
      <w:pPr>
        <w:spacing w:after="200" w:line="276" w:lineRule="auto"/>
        <w:jc w:val="both"/>
        <w:rPr>
          <w:rFonts w:ascii="Cambria" w:hAnsi="Cambria"/>
          <w:sz w:val="22"/>
          <w:szCs w:val="22"/>
        </w:rPr>
      </w:pPr>
      <w:r>
        <w:rPr>
          <w:rFonts w:ascii="Cambria" w:hAnsi="Cambria"/>
          <w:sz w:val="22"/>
        </w:rPr>
        <w:t xml:space="preserve">Pour déterminer la valeur recouvrable, la direction applique le critère de la valeur d'utilité. La valeur d'utilité est la valeur actuelle des flux de trésorerie futurs qui devraient provenir de l'actif évalué, actualisés à l'aide d'un taux d'actualisation, brut d'impôts, qui reflète les évaluations actuelles du marché de la valeur temporelle de l'argent et les risques spécifiques de l'activité. </w:t>
      </w:r>
    </w:p>
    <w:p w14:paraId="50E3FE2B" w14:textId="19B5B843" w:rsidR="005049B7" w:rsidRPr="00C17031" w:rsidRDefault="005049B7" w:rsidP="005049B7">
      <w:pPr>
        <w:spacing w:after="200" w:line="276" w:lineRule="auto"/>
        <w:jc w:val="both"/>
        <w:rPr>
          <w:rFonts w:ascii="Cambria" w:hAnsi="Cambria"/>
          <w:sz w:val="22"/>
          <w:szCs w:val="22"/>
        </w:rPr>
      </w:pPr>
      <w:r>
        <w:rPr>
          <w:rFonts w:ascii="Cambria" w:hAnsi="Cambria"/>
          <w:sz w:val="22"/>
        </w:rPr>
        <w:t>Les flux de trésorerie futurs attendus utilisés pour déterminer la valeur d'utilité sont basés sur le plan d'affaires le plus récent pour la période 2021-2025, approuvé par la direction, et contenant des prévisions de volumes, de revenus, de coûts d'exploitation, de flux de trésorerie et d'investissements.</w:t>
      </w:r>
    </w:p>
    <w:p w14:paraId="559A865F" w14:textId="4EA6F99F" w:rsidR="00444E1A" w:rsidRDefault="00444E1A" w:rsidP="00444E1A">
      <w:pPr>
        <w:spacing w:after="200" w:line="276" w:lineRule="auto"/>
        <w:jc w:val="both"/>
        <w:rPr>
          <w:rFonts w:ascii="Cambria" w:hAnsi="Cambria"/>
          <w:sz w:val="22"/>
          <w:szCs w:val="22"/>
        </w:rPr>
      </w:pPr>
      <w:r>
        <w:rPr>
          <w:rFonts w:ascii="Cambria" w:hAnsi="Cambria"/>
          <w:sz w:val="22"/>
        </w:rPr>
        <w:t>Ces prévisions couvrent la période des 5 prochaines années ; par conséquent, les flux de trésorerie relatifs aux années suivantes sont déterminés sur la base d'un taux de croissance à long terme qui ne dépasse pas le taux de croissance moyen à long terme attendu pour le secteur et le pays.</w:t>
      </w:r>
    </w:p>
    <w:p w14:paraId="2421C0AE" w14:textId="77777777" w:rsidR="00B77FC4" w:rsidRPr="00C17031" w:rsidRDefault="00E16D12" w:rsidP="00E16D12">
      <w:pPr>
        <w:spacing w:line="360" w:lineRule="auto"/>
        <w:jc w:val="both"/>
        <w:rPr>
          <w:rFonts w:ascii="Cambria" w:hAnsi="Cambria"/>
          <w:i/>
          <w:sz w:val="22"/>
          <w:szCs w:val="22"/>
        </w:rPr>
      </w:pPr>
      <w:r>
        <w:rPr>
          <w:rFonts w:ascii="Cambria" w:hAnsi="Cambria"/>
          <w:i/>
          <w:sz w:val="22"/>
        </w:rPr>
        <w:t xml:space="preserve">Impôts sur le revenu </w:t>
      </w:r>
    </w:p>
    <w:p w14:paraId="3DE9A8B4" w14:textId="77777777" w:rsidR="00E16D12" w:rsidRPr="00C17031" w:rsidRDefault="003F37E0" w:rsidP="00E16D12">
      <w:pPr>
        <w:spacing w:line="360" w:lineRule="auto"/>
        <w:jc w:val="both"/>
        <w:rPr>
          <w:rFonts w:ascii="Cambria" w:hAnsi="Cambria"/>
          <w:i/>
          <w:sz w:val="22"/>
          <w:szCs w:val="22"/>
        </w:rPr>
      </w:pPr>
      <w:r>
        <w:rPr>
          <w:rFonts w:ascii="Cambria" w:hAnsi="Cambria"/>
          <w:i/>
          <w:sz w:val="22"/>
        </w:rPr>
        <w:t>Impôts sur le revenu différés et payés d'avance</w:t>
      </w:r>
    </w:p>
    <w:p w14:paraId="47F9E4E5" w14:textId="77777777" w:rsidR="006C0A71" w:rsidRPr="00C17031" w:rsidRDefault="00E16D12" w:rsidP="000627CD">
      <w:pPr>
        <w:spacing w:after="200" w:line="276" w:lineRule="auto"/>
        <w:jc w:val="both"/>
        <w:rPr>
          <w:rFonts w:ascii="Cambria" w:hAnsi="Cambria"/>
          <w:sz w:val="22"/>
          <w:szCs w:val="22"/>
        </w:rPr>
      </w:pPr>
      <w:r>
        <w:rPr>
          <w:rFonts w:ascii="Cambria" w:hAnsi="Cambria"/>
          <w:sz w:val="22"/>
        </w:rPr>
        <w:t>Les actifs et passifs d'impôt différé sont comptabilisés sur les différences temporelles entre les actifs enregistrés dans les états financiers et les valeurs correspondantes comptabilisées à des fins fiscales, en appliquant le taux d'imposition en vigueur à la date à laquelle la différence temporelle s'inversera, déterminé sur la base des taux d'imposition prévus par les mesures adoptées ou quasi adoptées à la date de référence. Un passif d'impôt différé est comptabilisé pour toutes les différences temporelles imposables, des actifs d'impôt différé pour toutes les différences temporelles imposables, les pertes fiscales ou les crédits d'impôt non utilisés sont comptabilisés lorsque leur récupération est probable, c'est-à-dire lorsqu'il est prévu qu'un revenu imposable suffisant sera disponible à l'avenir pour récupérer l'actif.</w:t>
      </w:r>
    </w:p>
    <w:p w14:paraId="58CF076C" w14:textId="4849B865" w:rsidR="0044299B" w:rsidRPr="00C17031" w:rsidRDefault="0044299B" w:rsidP="008A28F5">
      <w:pPr>
        <w:spacing w:line="276" w:lineRule="auto"/>
        <w:jc w:val="both"/>
        <w:rPr>
          <w:rFonts w:ascii="Cambria" w:hAnsi="Cambria"/>
          <w:sz w:val="22"/>
          <w:szCs w:val="22"/>
        </w:rPr>
      </w:pPr>
      <w:r>
        <w:rPr>
          <w:rFonts w:ascii="Cambria" w:hAnsi="Cambria"/>
          <w:sz w:val="22"/>
        </w:rPr>
        <w:t xml:space="preserve">Les états financiers intermédiaires du Groupe comprennent des actifs d'impôt différé, liés à la comptabilisation des éléments de revenu soumis à la déductibilité de l'impôt différé, pour un montant </w:t>
      </w:r>
      <w:r>
        <w:rPr>
          <w:rFonts w:ascii="Cambria" w:hAnsi="Cambria"/>
          <w:sz w:val="22"/>
        </w:rPr>
        <w:lastRenderedPageBreak/>
        <w:t xml:space="preserve">dont le recouvrement dans les années futures est considéré comme hautement probable par les administrateurs. Le recouvrement des actifs d'impôts différés susmentionnés est subordonné à la réalisation de bénéfices imposables futurs suffisamment importants pour absorber les pertes fiscales susmentionnées et pour utiliser les avantages des autres actifs d'impôts différés. Des jugements importants de la part de la direction sont nécessaires pour évaluer la probabilité de recouvrement des actifs d'impôt différé, en tenant compte de toutes les preuves possibles, tant négatives que positives, et pour déterminer le montant qui peut être comptabilisé dans les états financiers, en fonction de l'échéancier et du montant des bénéfices imposables futurs, des stratégies de planification fiscale futures ainsi que des taux d'imposition en vigueur au moment de leur reprise. Toutefois, lorsqu'il s'avère que les sociétés ne sont pas en mesure de récupérer tout ou partie des actifs d'impôts différés comptabilisés dans les années à venir, l'ajustement qui en résulte sera imputé au compte de résultat de l'année au cours de laquelle cette circonstance se produit.  </w:t>
      </w:r>
    </w:p>
    <w:p w14:paraId="195C9919" w14:textId="77777777" w:rsidR="000627CD" w:rsidRPr="00C17031" w:rsidRDefault="000627CD" w:rsidP="008A28F5">
      <w:pPr>
        <w:spacing w:line="276" w:lineRule="auto"/>
        <w:jc w:val="both"/>
        <w:rPr>
          <w:rFonts w:ascii="Cambria" w:hAnsi="Cambria"/>
          <w:sz w:val="22"/>
          <w:szCs w:val="22"/>
        </w:rPr>
      </w:pPr>
      <w:r>
        <w:rPr>
          <w:rFonts w:ascii="Cambria" w:hAnsi="Cambria"/>
          <w:sz w:val="22"/>
        </w:rPr>
        <w:t>Les impôts sur le revenu différés et payés d’avance sont comptabilisés dans le compte de résultat, à l'exception de ceux relatifs à des éléments comptabilisés en dehors du compte de résultat, qui sont comptabilisés directement dans les capitaux propres.</w:t>
      </w:r>
    </w:p>
    <w:p w14:paraId="106A05EA" w14:textId="77777777" w:rsidR="000627CD" w:rsidRPr="00C17031" w:rsidRDefault="000627CD" w:rsidP="008A28F5">
      <w:pPr>
        <w:spacing w:line="276" w:lineRule="auto"/>
        <w:jc w:val="both"/>
        <w:rPr>
          <w:rFonts w:ascii="Cambria" w:hAnsi="Cambria"/>
          <w:sz w:val="22"/>
          <w:szCs w:val="22"/>
        </w:rPr>
      </w:pPr>
      <w:r>
        <w:rPr>
          <w:rFonts w:ascii="Cambria" w:hAnsi="Cambria"/>
          <w:sz w:val="22"/>
        </w:rPr>
        <w:t>Les impôts sur le revenu différés et les impôts sur le revenu payés d'avance, appliqués par la même autorité fiscale, sont compensés s'il existe un droit légalement exerçable de compenser les actifs d'impôts courants avec les passifs d'impôts courants qui seront générés au moment de leur renversement.</w:t>
      </w:r>
    </w:p>
    <w:p w14:paraId="4E718D77" w14:textId="77777777" w:rsidR="002047F2" w:rsidRPr="00C17031" w:rsidRDefault="001626A5" w:rsidP="008A28F5">
      <w:pPr>
        <w:spacing w:line="360" w:lineRule="auto"/>
        <w:jc w:val="both"/>
        <w:rPr>
          <w:rFonts w:ascii="Cambria" w:hAnsi="Cambria"/>
          <w:i/>
          <w:sz w:val="22"/>
          <w:szCs w:val="22"/>
        </w:rPr>
      </w:pPr>
      <w:r>
        <w:rPr>
          <w:rFonts w:ascii="Cambria" w:hAnsi="Cambria"/>
          <w:i/>
          <w:sz w:val="22"/>
        </w:rPr>
        <w:t>Incertitude relative aux traitements fiscaux</w:t>
      </w:r>
    </w:p>
    <w:p w14:paraId="754CF58E" w14:textId="7187F5B2" w:rsidR="000D5A0C" w:rsidRPr="00C17031" w:rsidRDefault="000D5A0C" w:rsidP="008A28F5">
      <w:pPr>
        <w:spacing w:line="276" w:lineRule="auto"/>
        <w:jc w:val="both"/>
        <w:rPr>
          <w:rFonts w:ascii="Cambria" w:hAnsi="Cambria"/>
          <w:sz w:val="22"/>
          <w:szCs w:val="22"/>
        </w:rPr>
      </w:pPr>
      <w:r>
        <w:rPr>
          <w:rFonts w:ascii="Cambria" w:hAnsi="Cambria"/>
          <w:sz w:val="22"/>
        </w:rPr>
        <w:t xml:space="preserve">Pour définir l'incertitude, le Groupe considère si un traitement fiscal donné sera acceptable pour l'autorité fiscale. S'il est considéré qu'il est probable que l'administration fiscale accepte le traitement fiscal (le terme probable étant compris comme « plus probable qu'improbable »), alors les sociétés comptabilisent et évaluent leurs actifs et passifs d'impôts courants ou différés en appliquant les dispositions de l'IAS 12. </w:t>
      </w:r>
    </w:p>
    <w:p w14:paraId="247534EF" w14:textId="2F4CEADF" w:rsidR="000D5A0C" w:rsidRPr="00C17031" w:rsidRDefault="000D5A0C" w:rsidP="008A28F5">
      <w:pPr>
        <w:spacing w:line="276" w:lineRule="auto"/>
        <w:jc w:val="both"/>
        <w:rPr>
          <w:rFonts w:ascii="Cambria" w:hAnsi="Cambria"/>
          <w:sz w:val="22"/>
          <w:szCs w:val="22"/>
        </w:rPr>
      </w:pPr>
      <w:r>
        <w:rPr>
          <w:rFonts w:ascii="Cambria" w:hAnsi="Cambria"/>
          <w:sz w:val="22"/>
        </w:rPr>
        <w:t>En revanche, s'il existe une incertitude sur les traitements fiscaux, les entreprises reflètent l'effet de cette incertitude en utilisant la méthode qui permet le mieux de résoudre le traitement fiscal incertain. Pour évaluer si et comment l'incertitude affecte le traitement fiscal, les sociétés supposent que l'Administration fiscale accepte ou non le traitement fiscal incertain, en supposant qu'elle vérifiera, dans la phase de vérification, les montants qu'elle a le droit d'examiner et qu'elle aura pleinement connaissance de toutes les informations pertinentes. Lorsqu'elle conclut qu'il est peu probable que l'Administration fiscale accepte un traitement fiscal incertain, les sociétés reflètent l'effet de l'incertitude dans la détermination des impôts courants et différés, en utilisant la méthode de la valeur attendue ou du montant le plus probable, selon la méthode qui permet le mieux de résoudre l'incertitude.</w:t>
      </w:r>
    </w:p>
    <w:p w14:paraId="3F7C817A" w14:textId="77777777" w:rsidR="000D5A0C" w:rsidRPr="00C17031" w:rsidRDefault="000D5A0C" w:rsidP="008A28F5">
      <w:pPr>
        <w:spacing w:line="276" w:lineRule="auto"/>
        <w:jc w:val="both"/>
        <w:rPr>
          <w:rFonts w:ascii="Cambria" w:hAnsi="Cambria"/>
          <w:sz w:val="22"/>
          <w:szCs w:val="22"/>
        </w:rPr>
      </w:pPr>
      <w:r>
        <w:rPr>
          <w:rFonts w:ascii="Cambria" w:hAnsi="Cambria"/>
          <w:sz w:val="22"/>
        </w:rPr>
        <w:t>La direction fait un usage important de son jugement professionnel pour identifier les incertitudes relatives aux traitements fiscaux et revoit les jugements et estimations réalisés en présence d'un changement de faits et de circonstances qui modifient ses prévisions quant à l'acceptabilité d'un traitement fiscal donné ou les estimations préparées sur les effets de l'incertitude, ou les deux.</w:t>
      </w:r>
    </w:p>
    <w:p w14:paraId="267FF831" w14:textId="01FE98A7" w:rsidR="000D5A0C" w:rsidRPr="00C17031" w:rsidRDefault="000D5A0C" w:rsidP="008A28F5">
      <w:pPr>
        <w:spacing w:line="276" w:lineRule="auto"/>
        <w:jc w:val="both"/>
        <w:rPr>
          <w:rFonts w:ascii="Cambria" w:hAnsi="Cambria"/>
          <w:sz w:val="22"/>
          <w:szCs w:val="22"/>
        </w:rPr>
      </w:pPr>
      <w:r>
        <w:rPr>
          <w:rFonts w:ascii="Cambria" w:hAnsi="Cambria"/>
          <w:sz w:val="22"/>
        </w:rPr>
        <w:t>Étant donné que les positions fiscales incertaines se réfèrent à la définition des impôts sur le revenu, le Groupe présente les actifs/passifs fiscaux incertains comme des impôts courants ou des impôts différés.</w:t>
      </w:r>
    </w:p>
    <w:p w14:paraId="16614599" w14:textId="77777777" w:rsidR="00E16D12" w:rsidRPr="00C17031" w:rsidRDefault="00EE7F7A" w:rsidP="00E16D12">
      <w:pPr>
        <w:spacing w:line="360" w:lineRule="auto"/>
        <w:jc w:val="both"/>
        <w:rPr>
          <w:rFonts w:ascii="Cambria" w:hAnsi="Cambria"/>
          <w:i/>
          <w:sz w:val="22"/>
          <w:szCs w:val="22"/>
        </w:rPr>
      </w:pPr>
      <w:r>
        <w:rPr>
          <w:rFonts w:ascii="Cambria" w:hAnsi="Cambria"/>
          <w:i/>
          <w:sz w:val="22"/>
        </w:rPr>
        <w:t>Pertes attendues sur les créances commerciales</w:t>
      </w:r>
    </w:p>
    <w:p w14:paraId="2CB7B13C" w14:textId="5A55BC11" w:rsidR="004E3A3A" w:rsidRPr="00C17031" w:rsidRDefault="004E3A3A" w:rsidP="00E16D12">
      <w:pPr>
        <w:spacing w:after="200" w:line="276" w:lineRule="auto"/>
        <w:jc w:val="both"/>
        <w:rPr>
          <w:rFonts w:ascii="Cambria" w:hAnsi="Cambria"/>
          <w:sz w:val="22"/>
          <w:szCs w:val="22"/>
        </w:rPr>
      </w:pPr>
      <w:r>
        <w:rPr>
          <w:rFonts w:ascii="Cambria" w:hAnsi="Cambria"/>
          <w:sz w:val="22"/>
        </w:rPr>
        <w:t>A la date des états financiers, le Groupe estime l'existence possible de pertes attendues sur les créances commerciales.</w:t>
      </w:r>
    </w:p>
    <w:p w14:paraId="1E171C8C" w14:textId="09CA5144" w:rsidR="00FD5BBB" w:rsidRPr="00C17031" w:rsidRDefault="00FD5BBB" w:rsidP="008A28F5">
      <w:pPr>
        <w:spacing w:line="276" w:lineRule="auto"/>
        <w:jc w:val="both"/>
        <w:rPr>
          <w:rFonts w:ascii="Cambria" w:hAnsi="Cambria"/>
          <w:sz w:val="22"/>
          <w:szCs w:val="22"/>
        </w:rPr>
      </w:pPr>
      <w:r>
        <w:rPr>
          <w:rFonts w:ascii="Cambria" w:hAnsi="Cambria"/>
          <w:sz w:val="22"/>
        </w:rPr>
        <w:lastRenderedPageBreak/>
        <w:t xml:space="preserve">Les provisions pour pertes attendues sur les actifs financiers sont basées sur des hypothèses concernant le risque de défaut et les pertes attendues correspondantes si le défaut se produit. Pour formuler ces hypothèses et sélectionner les données permettant de calculer la perte attendue, la direction utilise son propre jugement professionnel, basé sur son expérience historique, sur les conditions actuelles du marché, ainsi que sur des estimations prévisionnelles à la fin de chaque période de </w:t>
      </w:r>
      <w:proofErr w:type="spellStart"/>
      <w:r>
        <w:rPr>
          <w:rFonts w:ascii="Cambria" w:hAnsi="Cambria"/>
          <w:sz w:val="22"/>
        </w:rPr>
        <w:t>reporting</w:t>
      </w:r>
      <w:proofErr w:type="spellEnd"/>
      <w:r>
        <w:rPr>
          <w:rFonts w:ascii="Cambria" w:hAnsi="Cambria"/>
          <w:sz w:val="22"/>
        </w:rPr>
        <w:t>.</w:t>
      </w:r>
    </w:p>
    <w:p w14:paraId="77AEE0DA" w14:textId="7518EC8A" w:rsidR="00861E0F" w:rsidRPr="00C17031" w:rsidRDefault="00E16D12" w:rsidP="008A28F5">
      <w:pPr>
        <w:spacing w:line="276" w:lineRule="auto"/>
        <w:jc w:val="both"/>
        <w:rPr>
          <w:rFonts w:ascii="Cambria" w:hAnsi="Cambria"/>
          <w:sz w:val="22"/>
          <w:szCs w:val="22"/>
        </w:rPr>
      </w:pPr>
      <w:r>
        <w:rPr>
          <w:rFonts w:ascii="Cambria" w:hAnsi="Cambria"/>
          <w:sz w:val="22"/>
        </w:rPr>
        <w:t>La provision pour créances douteuses est déterminée sur la base de la prévision de perte déterminée par le modèle de prévision de la perte de crédit attendue (</w:t>
      </w:r>
      <w:proofErr w:type="spellStart"/>
      <w:r>
        <w:rPr>
          <w:rFonts w:ascii="Cambria" w:hAnsi="Cambria"/>
          <w:sz w:val="22"/>
        </w:rPr>
        <w:t>expected</w:t>
      </w:r>
      <w:proofErr w:type="spellEnd"/>
      <w:r>
        <w:rPr>
          <w:rFonts w:ascii="Cambria" w:hAnsi="Cambria"/>
          <w:sz w:val="22"/>
        </w:rPr>
        <w:t xml:space="preserve"> </w:t>
      </w:r>
      <w:proofErr w:type="spellStart"/>
      <w:r>
        <w:rPr>
          <w:rFonts w:ascii="Cambria" w:hAnsi="Cambria"/>
          <w:sz w:val="22"/>
        </w:rPr>
        <w:t>credit</w:t>
      </w:r>
      <w:proofErr w:type="spellEnd"/>
      <w:r>
        <w:rPr>
          <w:rFonts w:ascii="Cambria" w:hAnsi="Cambria"/>
          <w:sz w:val="22"/>
        </w:rPr>
        <w:t xml:space="preserve"> </w:t>
      </w:r>
      <w:proofErr w:type="spellStart"/>
      <w:r>
        <w:rPr>
          <w:rFonts w:ascii="Cambria" w:hAnsi="Cambria"/>
          <w:sz w:val="22"/>
        </w:rPr>
        <w:t>loss</w:t>
      </w:r>
      <w:proofErr w:type="spellEnd"/>
      <w:r>
        <w:rPr>
          <w:rFonts w:ascii="Cambria" w:hAnsi="Cambria"/>
          <w:sz w:val="22"/>
        </w:rPr>
        <w:t>, ECL). L'ECL, calculée à partir de la probabilité de défaut (PD), de la perte en cas de défaut (</w:t>
      </w:r>
      <w:proofErr w:type="spellStart"/>
      <w:r>
        <w:rPr>
          <w:rFonts w:ascii="Cambria" w:hAnsi="Cambria"/>
          <w:sz w:val="22"/>
        </w:rPr>
        <w:t>loss</w:t>
      </w:r>
      <w:proofErr w:type="spellEnd"/>
      <w:r>
        <w:rPr>
          <w:rFonts w:ascii="Cambria" w:hAnsi="Cambria"/>
          <w:sz w:val="22"/>
        </w:rPr>
        <w:t xml:space="preserve"> </w:t>
      </w:r>
      <w:proofErr w:type="spellStart"/>
      <w:r>
        <w:rPr>
          <w:rFonts w:ascii="Cambria" w:hAnsi="Cambria"/>
          <w:sz w:val="22"/>
        </w:rPr>
        <w:t>given</w:t>
      </w:r>
      <w:proofErr w:type="spellEnd"/>
      <w:r>
        <w:rPr>
          <w:rFonts w:ascii="Cambria" w:hAnsi="Cambria"/>
          <w:sz w:val="22"/>
        </w:rPr>
        <w:t xml:space="preserve"> default, LGD) et de l'exposition au risque en cas de défaut (EAD), est la différence entre les flux de trésorerie dus en vertu du contrat et les flux de trésorerie attendus des actifs financiers (y compris les recouvrements manqués) actualisés en utilisant le taux d'intérêt effectif d'origine.</w:t>
      </w:r>
    </w:p>
    <w:p w14:paraId="0AF4FBAB" w14:textId="77777777" w:rsidR="00861E0F" w:rsidRPr="00C17031" w:rsidRDefault="00861E0F" w:rsidP="008A28F5">
      <w:pPr>
        <w:spacing w:line="276" w:lineRule="auto"/>
        <w:jc w:val="both"/>
        <w:rPr>
          <w:rFonts w:ascii="Cambria" w:hAnsi="Cambria"/>
          <w:sz w:val="22"/>
          <w:szCs w:val="22"/>
        </w:rPr>
      </w:pPr>
      <w:r>
        <w:rPr>
          <w:rFonts w:ascii="Cambria" w:hAnsi="Cambria"/>
          <w:sz w:val="22"/>
        </w:rPr>
        <w:t>Les pertes dues à la dépréciation des créances commerciales sont présentées comme des pertes de valeur nettes dans le résultat d'exploitation, de même que les reprises ultérieures.</w:t>
      </w:r>
    </w:p>
    <w:p w14:paraId="736774F5" w14:textId="77777777" w:rsidR="00E16D12" w:rsidRPr="00C17031" w:rsidRDefault="00E16D12" w:rsidP="008A28F5">
      <w:pPr>
        <w:spacing w:line="360" w:lineRule="auto"/>
        <w:jc w:val="both"/>
        <w:rPr>
          <w:rFonts w:ascii="Cambria" w:hAnsi="Cambria"/>
          <w:i/>
          <w:sz w:val="22"/>
          <w:szCs w:val="22"/>
        </w:rPr>
      </w:pPr>
      <w:r>
        <w:rPr>
          <w:rFonts w:ascii="Cambria" w:hAnsi="Cambria"/>
          <w:i/>
          <w:sz w:val="22"/>
        </w:rPr>
        <w:t>Avantages sociaux pour les employés</w:t>
      </w:r>
    </w:p>
    <w:p w14:paraId="62FED0CA" w14:textId="77777777" w:rsidR="00081927" w:rsidRPr="00C17031" w:rsidRDefault="00E16D12" w:rsidP="008A28F5">
      <w:pPr>
        <w:spacing w:line="276" w:lineRule="auto"/>
        <w:jc w:val="both"/>
        <w:rPr>
          <w:rFonts w:ascii="Cambria" w:hAnsi="Cambria"/>
          <w:sz w:val="22"/>
          <w:szCs w:val="22"/>
        </w:rPr>
      </w:pPr>
      <w:r>
        <w:rPr>
          <w:rFonts w:ascii="Cambria" w:hAnsi="Cambria"/>
          <w:sz w:val="22"/>
        </w:rPr>
        <w:t xml:space="preserve">Le coût des régimes de retraite à prestations définies est déterminé à l'aide d'évaluations actuarielles. </w:t>
      </w:r>
    </w:p>
    <w:p w14:paraId="649CC3E6" w14:textId="77777777" w:rsidR="00E16D12" w:rsidRPr="00C17031" w:rsidRDefault="00081927" w:rsidP="008A28F5">
      <w:pPr>
        <w:spacing w:line="276" w:lineRule="auto"/>
        <w:jc w:val="both"/>
        <w:rPr>
          <w:rFonts w:ascii="Cambria" w:hAnsi="Cambria"/>
          <w:sz w:val="22"/>
          <w:szCs w:val="22"/>
        </w:rPr>
      </w:pPr>
      <w:r>
        <w:rPr>
          <w:rFonts w:ascii="Cambria" w:hAnsi="Cambria"/>
          <w:sz w:val="22"/>
        </w:rPr>
        <w:t xml:space="preserve">Les calculs des coûts et des engagements liés à ces plans sont basés sur des estimations faites par des consultants actuariels, qui utilisent une combinaison de facteurs </w:t>
      </w:r>
      <w:proofErr w:type="spellStart"/>
      <w:r>
        <w:rPr>
          <w:rFonts w:ascii="Cambria" w:hAnsi="Cambria"/>
          <w:sz w:val="22"/>
        </w:rPr>
        <w:t>statistico</w:t>
      </w:r>
      <w:proofErr w:type="spellEnd"/>
      <w:r>
        <w:rPr>
          <w:rFonts w:ascii="Cambria" w:hAnsi="Cambria"/>
          <w:sz w:val="22"/>
        </w:rPr>
        <w:t xml:space="preserve">-actuariels, notamment des données statistiques relatives aux années passées et des prévisions de coûts futurs. Les taux d'actualisation, le taux de rendement attendu des prêts, les futures augmentations de salaire, les taux de mortalité et l'augmentation future des pensions sont également considérés comme des éléments d'estimation. En raison de la nature à long terme de ces plans, ces estimations sont soumises à un degré important d'incertitude. </w:t>
      </w:r>
    </w:p>
    <w:p w14:paraId="6D144BAF" w14:textId="77777777" w:rsidR="002047F2" w:rsidRPr="00C17031" w:rsidRDefault="006F0752" w:rsidP="008A28F5">
      <w:pPr>
        <w:spacing w:line="360" w:lineRule="auto"/>
        <w:jc w:val="both"/>
        <w:rPr>
          <w:rFonts w:ascii="Cambria" w:hAnsi="Cambria"/>
          <w:i/>
          <w:sz w:val="22"/>
          <w:szCs w:val="22"/>
        </w:rPr>
      </w:pPr>
      <w:r>
        <w:rPr>
          <w:rFonts w:ascii="Cambria" w:hAnsi="Cambria"/>
          <w:i/>
          <w:sz w:val="22"/>
        </w:rPr>
        <w:t>Passif éventuel</w:t>
      </w:r>
    </w:p>
    <w:p w14:paraId="3EA85F74" w14:textId="094A886B" w:rsidR="006F0752" w:rsidRPr="00C17031" w:rsidRDefault="006F0752" w:rsidP="008A28F5">
      <w:pPr>
        <w:spacing w:line="276" w:lineRule="auto"/>
        <w:jc w:val="both"/>
        <w:rPr>
          <w:rFonts w:ascii="Cambria" w:hAnsi="Cambria"/>
          <w:sz w:val="22"/>
          <w:szCs w:val="22"/>
        </w:rPr>
      </w:pPr>
      <w:r>
        <w:rPr>
          <w:rFonts w:ascii="Cambria" w:hAnsi="Cambria"/>
          <w:sz w:val="22"/>
        </w:rPr>
        <w:t>Dans le cours normal de ses activités, le Groupe peut être exposé à des passifs d'un montant significatif, pour lesquels il n'est pas toujours objectivement possible de prévoir le résultat final. L'évaluation des risques associés à ces procédures est basée sur des éléments complexes qui, par leur nature, impliquent le recours au jugement des administrateurs, en tenant également compte des éléments acquis par les consultants externes qui assistent les sociétés du Groupe, en ce qui concerne leur classification parmi les passifs éventuels ou au titre des passifs.</w:t>
      </w:r>
    </w:p>
    <w:p w14:paraId="5C62A7C0" w14:textId="77777777" w:rsidR="00FB3742" w:rsidRPr="00C17031" w:rsidRDefault="00FB3742" w:rsidP="008A28F5">
      <w:pPr>
        <w:spacing w:line="276" w:lineRule="auto"/>
        <w:jc w:val="both"/>
        <w:rPr>
          <w:rFonts w:ascii="Cambria" w:hAnsi="Cambria"/>
          <w:i/>
          <w:iCs/>
          <w:sz w:val="22"/>
          <w:szCs w:val="22"/>
        </w:rPr>
      </w:pPr>
      <w:r>
        <w:rPr>
          <w:rFonts w:ascii="Cambria" w:hAnsi="Cambria"/>
          <w:i/>
          <w:sz w:val="22"/>
        </w:rPr>
        <w:t>Leasing</w:t>
      </w:r>
    </w:p>
    <w:p w14:paraId="4FCA5CF2" w14:textId="77777777" w:rsidR="006F0752" w:rsidRPr="00C17031" w:rsidRDefault="006F0752" w:rsidP="008A28F5">
      <w:pPr>
        <w:spacing w:line="276" w:lineRule="auto"/>
        <w:jc w:val="both"/>
        <w:rPr>
          <w:rFonts w:ascii="Cambria" w:hAnsi="Cambria"/>
          <w:sz w:val="22"/>
          <w:szCs w:val="22"/>
        </w:rPr>
      </w:pPr>
      <w:r>
        <w:rPr>
          <w:rFonts w:ascii="Cambria" w:hAnsi="Cambria"/>
          <w:sz w:val="22"/>
        </w:rPr>
        <w:t>La comptabilisation des contrats de crédit-bail selon le critère envisagé par la norme IFRS 16 nécessite la réalisation de certaines estimations, se référant notamment à :</w:t>
      </w:r>
    </w:p>
    <w:p w14:paraId="215C94D8" w14:textId="3FFB263B" w:rsidR="002047F2" w:rsidRPr="00C17031" w:rsidRDefault="001626A5" w:rsidP="008A28F5">
      <w:pPr>
        <w:pStyle w:val="Paragrafoelenco"/>
        <w:numPr>
          <w:ilvl w:val="0"/>
          <w:numId w:val="49"/>
        </w:numPr>
        <w:spacing w:line="276" w:lineRule="auto"/>
        <w:jc w:val="both"/>
        <w:rPr>
          <w:rFonts w:ascii="Cambria" w:hAnsi="Cambria"/>
          <w:sz w:val="22"/>
          <w:szCs w:val="22"/>
        </w:rPr>
      </w:pPr>
      <w:proofErr w:type="gramStart"/>
      <w:r>
        <w:rPr>
          <w:rFonts w:ascii="Cambria" w:hAnsi="Cambria"/>
          <w:sz w:val="22"/>
        </w:rPr>
        <w:t>l'estimation</w:t>
      </w:r>
      <w:proofErr w:type="gramEnd"/>
      <w:r>
        <w:rPr>
          <w:rFonts w:ascii="Cambria" w:hAnsi="Cambria"/>
          <w:sz w:val="22"/>
        </w:rPr>
        <w:t xml:space="preserve"> de la durée d'un contrat de location en présence d'options de renouvellement ou de résiliation anticipée ;</w:t>
      </w:r>
    </w:p>
    <w:p w14:paraId="77C6EFA4" w14:textId="10EB68E8" w:rsidR="002047F2" w:rsidRPr="00C17031" w:rsidRDefault="001626A5" w:rsidP="008A28F5">
      <w:pPr>
        <w:pStyle w:val="Paragrafoelenco"/>
        <w:numPr>
          <w:ilvl w:val="0"/>
          <w:numId w:val="49"/>
        </w:numPr>
        <w:spacing w:line="276" w:lineRule="auto"/>
        <w:jc w:val="both"/>
        <w:rPr>
          <w:rFonts w:ascii="Cambria" w:hAnsi="Cambria"/>
          <w:sz w:val="22"/>
          <w:szCs w:val="22"/>
        </w:rPr>
      </w:pPr>
      <w:proofErr w:type="gramStart"/>
      <w:r>
        <w:rPr>
          <w:rFonts w:ascii="Cambria" w:hAnsi="Cambria"/>
          <w:sz w:val="22"/>
        </w:rPr>
        <w:t>l'estimation</w:t>
      </w:r>
      <w:proofErr w:type="gramEnd"/>
      <w:r>
        <w:rPr>
          <w:rFonts w:ascii="Cambria" w:hAnsi="Cambria"/>
          <w:sz w:val="22"/>
        </w:rPr>
        <w:t xml:space="preserve"> du taux d'actualisation correspondant.</w:t>
      </w:r>
    </w:p>
    <w:p w14:paraId="25E46A3B" w14:textId="77777777" w:rsidR="00422BB8" w:rsidRPr="00C17031" w:rsidRDefault="001626A5" w:rsidP="008A28F5">
      <w:pPr>
        <w:spacing w:line="276" w:lineRule="auto"/>
        <w:jc w:val="both"/>
        <w:rPr>
          <w:rFonts w:ascii="Cambria" w:hAnsi="Cambria"/>
          <w:i/>
          <w:iCs/>
          <w:sz w:val="22"/>
          <w:szCs w:val="22"/>
        </w:rPr>
      </w:pPr>
      <w:r>
        <w:rPr>
          <w:rFonts w:ascii="Cambria" w:hAnsi="Cambria"/>
          <w:i/>
          <w:sz w:val="22"/>
        </w:rPr>
        <w:t>Estimation de la durée d'un contrat de crédit-bail</w:t>
      </w:r>
    </w:p>
    <w:p w14:paraId="46CC1274" w14:textId="02F6A4FF" w:rsidR="006F0752" w:rsidRPr="00C17031" w:rsidRDefault="008E161B" w:rsidP="008A28F5">
      <w:pPr>
        <w:spacing w:line="276" w:lineRule="auto"/>
        <w:jc w:val="both"/>
        <w:rPr>
          <w:rFonts w:ascii="Cambria" w:hAnsi="Cambria"/>
          <w:sz w:val="22"/>
          <w:szCs w:val="22"/>
        </w:rPr>
      </w:pPr>
      <w:r>
        <w:rPr>
          <w:rFonts w:ascii="Cambria" w:hAnsi="Cambria"/>
          <w:sz w:val="22"/>
        </w:rPr>
        <w:t>Le Groupe détermine la durée du contrat de crédit-bail comme la période non résiliable du contrat de crédit-bail à laquelle il faut ajouter à la fois les périodes couvertes par l'option de prolongation du contrat de crédit-bail, s'il existe une certitude raisonnable d'exercer cette option, et les périodes couvertes par l'option de résiliation du contrat de crédit-bail s'il existe une certitude raisonnable de ne pas exercer cette option.</w:t>
      </w:r>
    </w:p>
    <w:p w14:paraId="1DECCEC0" w14:textId="3C14E2CF" w:rsidR="006F0752" w:rsidRPr="00C17031" w:rsidRDefault="008E161B" w:rsidP="006F0752">
      <w:pPr>
        <w:spacing w:after="200" w:line="276" w:lineRule="auto"/>
        <w:jc w:val="both"/>
        <w:rPr>
          <w:rFonts w:ascii="Cambria" w:hAnsi="Cambria"/>
          <w:sz w:val="22"/>
          <w:szCs w:val="22"/>
        </w:rPr>
      </w:pPr>
      <w:r>
        <w:rPr>
          <w:rFonts w:ascii="Cambria" w:hAnsi="Cambria"/>
          <w:sz w:val="22"/>
        </w:rPr>
        <w:t xml:space="preserve">Le Groupe a la possibilité, pour certains de ses contrats de location, de prolonger le contrat de location ou de le résilier de manière anticipée. Le Groupe applique son jugement pour évaluer s'il existe une certitude raisonnable d'exercer les options de renouvellement. Cela dit, tous les facteurs pertinents </w:t>
      </w:r>
      <w:r>
        <w:rPr>
          <w:rFonts w:ascii="Cambria" w:hAnsi="Cambria"/>
          <w:sz w:val="22"/>
        </w:rPr>
        <w:lastRenderedPageBreak/>
        <w:t xml:space="preserve">susceptibles d'entraîner une incitation économique à exercer les options de renouvellement ou à conclure le contrat sont pris en considération. </w:t>
      </w:r>
    </w:p>
    <w:p w14:paraId="20C450BA" w14:textId="36EB5BDB" w:rsidR="006D03D4" w:rsidRPr="00C17031" w:rsidRDefault="00422BB8" w:rsidP="00422BB8">
      <w:pPr>
        <w:spacing w:after="200" w:line="276" w:lineRule="auto"/>
        <w:jc w:val="both"/>
        <w:rPr>
          <w:rFonts w:ascii="Cambria" w:hAnsi="Cambria"/>
          <w:sz w:val="22"/>
          <w:szCs w:val="22"/>
        </w:rPr>
      </w:pPr>
      <w:r>
        <w:rPr>
          <w:rFonts w:ascii="Cambria" w:hAnsi="Cambria"/>
          <w:sz w:val="22"/>
        </w:rPr>
        <w:t>En présence d'options de renouvellement qui peuvent être exercées par les deux parties contractantes, le Groupe a pris en compte l'existence ou non de facteurs économiques dissuasifs importants pour refuser la demande de renouvellement, comme l'exige le paragraphe B34 de la norme IFRS 16. En présence d'options qui ne peuvent être exercées que par l'une des deux parties, les sociétés du Groupe ont considéré le paragraphe B35 de l'IFRS 16. L'application de ce qui précède, en tenant compte des faits et des circonstances spécifiques ainsi que de l'estimation de la probabilité d'exercice de l'option, a conduit à considérer généralement la durée initiale du bail (en moyenne égale à 6 ans), sans prévoir l'exercice d'options de renouvellement. Ce n'est que pour les biens considérés comme stratégiques par les sociétés que l'option de renouvellement de 6 ans prévue contractuellement a été prise en compte dans la durée du bail et donc dans le calcul de la durée de vie utile des biens. Ces prévisions sont conformes aux hypothèses formulées dans le plan d'affaires le plus récent pour la période 2021-2025, approuvé par la direction.</w:t>
      </w:r>
    </w:p>
    <w:p w14:paraId="2659B328" w14:textId="1F7DC23D" w:rsidR="00422BB8" w:rsidRDefault="00422BB8" w:rsidP="00422BB8">
      <w:pPr>
        <w:spacing w:after="200" w:line="276" w:lineRule="auto"/>
        <w:jc w:val="both"/>
        <w:rPr>
          <w:rFonts w:ascii="Cambria" w:hAnsi="Cambria"/>
          <w:sz w:val="22"/>
          <w:szCs w:val="22"/>
        </w:rPr>
      </w:pPr>
      <w:r>
        <w:rPr>
          <w:rFonts w:ascii="Cambria" w:hAnsi="Cambria"/>
          <w:sz w:val="22"/>
        </w:rPr>
        <w:t xml:space="preserve">Après la date d'entrée en vigueur de l'accord, le Groupe revoit sa durée si un événement majeur ou un changement significatif de circonstances se produit qui, selon la volonté des sociétés du Groupe, a un impact sur la certitude raisonnable du preneur d'exercer une option non incluse précédemment dans sa détermination de la durée du bail ou de ne pas exercer une option incluse précédemment dans sa détermination de la durée du bail. En novembre 2019, une décision a été publiée qui clarifie la manière dont les concepts de période non résiliable, de durée du contrat de location (considérée aux fins de la comptabilisation du passif) et de période d'exigibilité (" période d'exigibilité " utile pour identifier le moment où le contrat ne génère plus de droits et d'obligations exigibles) sont interprétés et liés les uns aux autres aux fins de l'application de la norme IFRS 16. La décision a permis de clarifier que, aux fins de l'identification de la période exécutoire, le preneur doit considérer le moment contractuel où les deux parties impliquées peuvent exercer leur droit de résilier le contrat sans encourir de pénalités qui ne sont pas sans importance ; le concept de pénalité ne doit pas avoir un sens purement contractuel mais doit être interprété en considérant tous les aspects économiques du contrat. Une fois la période exécutoire identifiée, le bailleur évalue en présence d'options de renouvellement ou de résiliation pour quelle période il est raisonnablement certain de contrôler le droit d'utilisation de l'actif et détermine donc la durée du bail. A la date de préparation de ces états financiers, le Groupe a pris en compte ces discussions et conclusions et continuera à suivre leur évolution dans le temps. </w:t>
      </w:r>
    </w:p>
    <w:p w14:paraId="5A3AD93A" w14:textId="77777777" w:rsidR="00422BB8" w:rsidRPr="00C17031" w:rsidRDefault="001626A5" w:rsidP="006F0752">
      <w:pPr>
        <w:spacing w:after="200" w:line="276" w:lineRule="auto"/>
        <w:jc w:val="both"/>
        <w:rPr>
          <w:rFonts w:ascii="Cambria" w:hAnsi="Cambria"/>
          <w:i/>
          <w:iCs/>
          <w:sz w:val="22"/>
          <w:szCs w:val="22"/>
        </w:rPr>
      </w:pPr>
      <w:r>
        <w:rPr>
          <w:rFonts w:ascii="Cambria" w:hAnsi="Cambria"/>
          <w:i/>
          <w:sz w:val="22"/>
        </w:rPr>
        <w:t>Estimation du taux d'actualisation</w:t>
      </w:r>
    </w:p>
    <w:p w14:paraId="1EAC5BCA" w14:textId="5B539FC3" w:rsidR="002047F2" w:rsidRPr="00C17031" w:rsidRDefault="008E161B" w:rsidP="00B04152">
      <w:pPr>
        <w:spacing w:after="200" w:line="276" w:lineRule="auto"/>
        <w:jc w:val="both"/>
        <w:rPr>
          <w:rFonts w:ascii="Cambria" w:hAnsi="Cambria"/>
          <w:sz w:val="22"/>
          <w:szCs w:val="22"/>
        </w:rPr>
      </w:pPr>
      <w:r>
        <w:rPr>
          <w:rFonts w:ascii="Cambria" w:hAnsi="Cambria"/>
          <w:sz w:val="22"/>
        </w:rPr>
        <w:t>Le Groupe ne peut pas facilement déterminer le taux d'intérêt implicite des contrats de location et utilise donc le taux d'emprunt marginal pour évaluer les dettes de location. Ce taux correspond à ce que le preneur devrait payer pour un prêt d'une durée et d'une garantie similaires, qui est nécessaire pour obtenir un actif d'une valeur similaire à l'actif du droit d'utilisation dans un environnement économique similaire et peut être déterminé au niveau du contrat individuel ou du portefeuille de contrats. Les sociétés estiment le taux d'emprunt marginal en utilisant des données observables (telles que les taux d'intérêt du marché) si elles sont disponibles.</w:t>
      </w:r>
    </w:p>
    <w:p w14:paraId="31CBCA15" w14:textId="6C1E060E" w:rsidR="005F1DDF" w:rsidRDefault="005F1DDF" w:rsidP="000B4F11">
      <w:pPr>
        <w:spacing w:after="100" w:line="276" w:lineRule="auto"/>
        <w:jc w:val="both"/>
        <w:rPr>
          <w:rFonts w:ascii="Cambria" w:hAnsi="Cambria"/>
          <w:bCs/>
          <w:iCs/>
          <w:sz w:val="22"/>
          <w:szCs w:val="22"/>
        </w:rPr>
      </w:pPr>
    </w:p>
    <w:p w14:paraId="56DB3AED" w14:textId="3370690B" w:rsidR="00717185" w:rsidRDefault="00717185" w:rsidP="000B4F11">
      <w:pPr>
        <w:spacing w:after="100" w:line="276" w:lineRule="auto"/>
        <w:jc w:val="both"/>
        <w:rPr>
          <w:rFonts w:ascii="Cambria" w:hAnsi="Cambria"/>
          <w:bCs/>
          <w:iCs/>
          <w:sz w:val="22"/>
          <w:szCs w:val="22"/>
        </w:rPr>
      </w:pPr>
    </w:p>
    <w:p w14:paraId="7D4E34B0" w14:textId="77777777" w:rsidR="00717185" w:rsidRPr="00C17031" w:rsidRDefault="00717185" w:rsidP="008A28F5">
      <w:pPr>
        <w:spacing w:line="276" w:lineRule="auto"/>
        <w:jc w:val="both"/>
        <w:rPr>
          <w:rFonts w:ascii="Cambria" w:hAnsi="Cambria"/>
          <w:bCs/>
          <w:iCs/>
          <w:sz w:val="22"/>
          <w:szCs w:val="22"/>
        </w:rPr>
      </w:pPr>
    </w:p>
    <w:p w14:paraId="72145D1F" w14:textId="19AB3E73" w:rsidR="00E16D12" w:rsidRDefault="00E16D12" w:rsidP="008A28F5">
      <w:pPr>
        <w:pStyle w:val="Titolo2"/>
        <w:numPr>
          <w:ilvl w:val="0"/>
          <w:numId w:val="6"/>
        </w:numPr>
        <w:spacing w:line="240" w:lineRule="auto"/>
        <w:ind w:left="357" w:right="0" w:hanging="357"/>
        <w:jc w:val="left"/>
        <w:rPr>
          <w:i w:val="0"/>
        </w:rPr>
      </w:pPr>
      <w:bookmarkStart w:id="60" w:name="_Toc112768626"/>
      <w:r>
        <w:rPr>
          <w:i w:val="0"/>
        </w:rPr>
        <w:lastRenderedPageBreak/>
        <w:t>Nouvelles normes et interprétations comptables en vigueur à partir du 1er janvier 2021 et normes et interprétations comptables publiées mais non encore entrées en vigueur.</w:t>
      </w:r>
      <w:bookmarkEnd w:id="60"/>
    </w:p>
    <w:p w14:paraId="124551C5" w14:textId="77777777" w:rsidR="003069F2" w:rsidRPr="003069F2" w:rsidRDefault="003069F2" w:rsidP="008A28F5"/>
    <w:p w14:paraId="085EAE70" w14:textId="1090D0B0" w:rsidR="00E16D12" w:rsidRDefault="00C720C5" w:rsidP="008A28F5">
      <w:pPr>
        <w:spacing w:line="276" w:lineRule="auto"/>
        <w:jc w:val="both"/>
        <w:rPr>
          <w:rFonts w:ascii="Cambria" w:hAnsi="Cambria"/>
          <w:sz w:val="22"/>
          <w:szCs w:val="22"/>
        </w:rPr>
      </w:pPr>
      <w:r>
        <w:rPr>
          <w:rFonts w:ascii="Cambria" w:hAnsi="Cambria"/>
          <w:sz w:val="22"/>
        </w:rPr>
        <w:t xml:space="preserve">Les principes comptables adoptés pour la préparation des états financiers agrégés intermédiaires sont conformes à ceux utilisés pour la préparation des états financiers au 31 décembre 2020, à l'exception de l'adoption des nouvelles normes et amendements en vigueur à partir du 1er janvier 2021. Le Groupe n'a pris aucune disposition pour l'adoption anticipée d'une autre norme, interprétation ou amendement publié mais non encore entré en vigueur. </w:t>
      </w:r>
    </w:p>
    <w:p w14:paraId="1EA2A4EA" w14:textId="2B68E396" w:rsidR="00754ABD" w:rsidRDefault="00754ABD" w:rsidP="008A28F5">
      <w:pPr>
        <w:spacing w:line="276" w:lineRule="auto"/>
        <w:jc w:val="both"/>
        <w:rPr>
          <w:rFonts w:ascii="Cambria" w:hAnsi="Cambria"/>
          <w:sz w:val="22"/>
          <w:szCs w:val="22"/>
        </w:rPr>
      </w:pPr>
      <w:r>
        <w:t>Au cours du premier semestre 2021, aucun changement et aucune interprétation n'ont eu d'impact significatif sur les états financiers consolidés du Groupe.</w:t>
      </w:r>
    </w:p>
    <w:p w14:paraId="11D0E1FB" w14:textId="2273EC2D" w:rsidR="00754ABD" w:rsidRPr="00C17031" w:rsidRDefault="00754ABD" w:rsidP="008A28F5">
      <w:pPr>
        <w:spacing w:line="276" w:lineRule="auto"/>
        <w:jc w:val="both"/>
        <w:rPr>
          <w:rFonts w:ascii="Cambria" w:hAnsi="Cambria"/>
          <w:sz w:val="22"/>
          <w:szCs w:val="22"/>
        </w:rPr>
      </w:pPr>
      <w:r>
        <w:t>Il n'y a pas de normes comptables, d'amendements et d'interprétations publiés mais pas encore en vigueur qui pourraient avoir un impact significatif sur ces états financiers agrégés intermédiaires condensés.</w:t>
      </w:r>
    </w:p>
    <w:p w14:paraId="07ADD6ED" w14:textId="77777777" w:rsidR="00F94B18" w:rsidRPr="0038700D" w:rsidRDefault="00F94B18" w:rsidP="008A28F5">
      <w:pPr>
        <w:spacing w:line="276" w:lineRule="auto"/>
        <w:jc w:val="both"/>
        <w:rPr>
          <w:rFonts w:ascii="Cambria" w:hAnsi="Cambria"/>
          <w:sz w:val="22"/>
          <w:szCs w:val="22"/>
        </w:rPr>
      </w:pPr>
    </w:p>
    <w:p w14:paraId="162850BF" w14:textId="77777777" w:rsidR="00B540AC" w:rsidRDefault="00B540AC" w:rsidP="008A28F5">
      <w:pPr>
        <w:pStyle w:val="Titolo2"/>
        <w:numPr>
          <w:ilvl w:val="0"/>
          <w:numId w:val="6"/>
        </w:numPr>
        <w:spacing w:line="240" w:lineRule="auto"/>
        <w:ind w:left="357" w:right="0" w:hanging="357"/>
        <w:jc w:val="left"/>
        <w:rPr>
          <w:i w:val="0"/>
        </w:rPr>
      </w:pPr>
      <w:bookmarkStart w:id="61" w:name="_Toc112768627"/>
      <w:r>
        <w:rPr>
          <w:i w:val="0"/>
        </w:rPr>
        <w:t>Impacts de l'urgence Covid-19</w:t>
      </w:r>
      <w:bookmarkEnd w:id="61"/>
    </w:p>
    <w:p w14:paraId="23AE6E2E" w14:textId="77777777" w:rsidR="00B540AC" w:rsidRDefault="00B540AC" w:rsidP="008A28F5"/>
    <w:p w14:paraId="75C5966D" w14:textId="15DB1294" w:rsidR="005812D1" w:rsidRPr="00485029" w:rsidRDefault="00B540AC" w:rsidP="008A28F5">
      <w:pPr>
        <w:spacing w:line="276" w:lineRule="auto"/>
        <w:jc w:val="both"/>
        <w:rPr>
          <w:rFonts w:ascii="Cambria" w:hAnsi="Cambria"/>
          <w:sz w:val="22"/>
          <w:szCs w:val="22"/>
        </w:rPr>
      </w:pPr>
      <w:r>
        <w:rPr>
          <w:rFonts w:ascii="Cambria" w:hAnsi="Cambria"/>
          <w:sz w:val="22"/>
        </w:rPr>
        <w:t>L'urgence sanitaire Covid-19 a incité les gouvernements de tous les États concernés à prendre des décisions de restrictions, d'interdictions et de suspensions des activités commerciales, de la circulation des personnes et du trafic international (ce qu'on appelle le confinement), avec un impact exceptionnellement négatif sur les flux touristiques dans le monde entier, ce qui a entraîné la fermeture temporaire des points de vente du Groupe.</w:t>
      </w:r>
    </w:p>
    <w:p w14:paraId="3828CAE2" w14:textId="77777777" w:rsidR="005812D1" w:rsidRPr="00485029" w:rsidRDefault="005812D1" w:rsidP="008A28F5">
      <w:pPr>
        <w:spacing w:line="276" w:lineRule="auto"/>
        <w:jc w:val="both"/>
        <w:rPr>
          <w:rFonts w:ascii="Cambria" w:hAnsi="Cambria"/>
          <w:sz w:val="22"/>
          <w:szCs w:val="22"/>
        </w:rPr>
      </w:pPr>
    </w:p>
    <w:p w14:paraId="0FFC208A" w14:textId="7A0B1456" w:rsidR="005812D1" w:rsidRPr="00485029" w:rsidRDefault="00B540AC" w:rsidP="008A28F5">
      <w:pPr>
        <w:spacing w:line="276" w:lineRule="auto"/>
        <w:jc w:val="both"/>
        <w:rPr>
          <w:rFonts w:ascii="Cambria" w:hAnsi="Cambria"/>
          <w:sz w:val="22"/>
          <w:szCs w:val="22"/>
        </w:rPr>
      </w:pPr>
      <w:r>
        <w:rPr>
          <w:rFonts w:ascii="Cambria" w:hAnsi="Cambria"/>
          <w:sz w:val="22"/>
        </w:rPr>
        <w:t>En 2021, le Groupe a encouru des coûts directs pour faire face à cette situation de crise, en particulier les coûts relatifs aux mesures adoptées pour protéger la santé des employés tant dans les bureaux que dans les magasins directs et a bénéficié, dans la mesure du possible, des subventions et concessions des différentes autorités gouvernementales, telles que le CIGS (fonds extraordinaire de garantie des salaires), en maintenant les niveaux d'emploi et de salaire de tous ses employés.</w:t>
      </w:r>
    </w:p>
    <w:p w14:paraId="5678F8D7" w14:textId="77777777" w:rsidR="005812D1" w:rsidRPr="00485029" w:rsidRDefault="005812D1" w:rsidP="008A28F5">
      <w:pPr>
        <w:spacing w:line="276" w:lineRule="auto"/>
        <w:jc w:val="both"/>
        <w:rPr>
          <w:rFonts w:ascii="Cambria" w:hAnsi="Cambria"/>
          <w:sz w:val="22"/>
          <w:szCs w:val="22"/>
        </w:rPr>
      </w:pPr>
    </w:p>
    <w:p w14:paraId="79EF3E79" w14:textId="050F0D95" w:rsidR="005812D1" w:rsidRPr="00485029" w:rsidRDefault="00B540AC" w:rsidP="008A28F5">
      <w:pPr>
        <w:spacing w:line="276" w:lineRule="auto"/>
        <w:jc w:val="both"/>
        <w:rPr>
          <w:rFonts w:ascii="Cambria" w:hAnsi="Cambria"/>
          <w:sz w:val="22"/>
          <w:szCs w:val="22"/>
        </w:rPr>
      </w:pPr>
      <w:r>
        <w:rPr>
          <w:rFonts w:ascii="Cambria" w:hAnsi="Cambria"/>
          <w:sz w:val="22"/>
        </w:rPr>
        <w:t xml:space="preserve">En ce qui concerne les contrats de location existants, en coopérant étroitement et avec succès avec les propriétaires et dans l'esprit de renforcer les relations avec eux, également en vue des développements futurs (nouvelles ouvertures, renouvellements de contrats à venir, etc.), des réductions de loyers ont été convenues pour 2020 et 2021. </w:t>
      </w:r>
    </w:p>
    <w:p w14:paraId="6A3C9726" w14:textId="77777777" w:rsidR="005812D1" w:rsidRPr="00485029" w:rsidRDefault="005812D1" w:rsidP="008A28F5">
      <w:pPr>
        <w:spacing w:line="276" w:lineRule="auto"/>
        <w:jc w:val="both"/>
        <w:rPr>
          <w:rFonts w:ascii="Cambria" w:hAnsi="Cambria"/>
          <w:sz w:val="22"/>
          <w:szCs w:val="22"/>
        </w:rPr>
      </w:pPr>
    </w:p>
    <w:p w14:paraId="317F7BED" w14:textId="38CF24F0" w:rsidR="005812D1" w:rsidRDefault="00207D62" w:rsidP="008A28F5">
      <w:pPr>
        <w:spacing w:line="276" w:lineRule="auto"/>
        <w:jc w:val="both"/>
        <w:rPr>
          <w:rFonts w:ascii="Cambria" w:hAnsi="Cambria"/>
          <w:sz w:val="22"/>
          <w:szCs w:val="22"/>
        </w:rPr>
      </w:pPr>
      <w:r>
        <w:rPr>
          <w:rFonts w:ascii="Cambria" w:hAnsi="Cambria"/>
          <w:sz w:val="22"/>
        </w:rPr>
        <w:t>Pour renforcer sa structure et sa solidité capitalistique, le Groupe a jugé opportun d'augmenter le recours à la dette bancaire, en contractant un nouvel emprunt à moyen/long terme pour un montant de 750 000 euros.</w:t>
      </w:r>
    </w:p>
    <w:p w14:paraId="7DC8DE0E" w14:textId="2415E9C1" w:rsidR="00DA5170" w:rsidRPr="008A28F5" w:rsidRDefault="00DA5170" w:rsidP="008A28F5">
      <w:pPr>
        <w:spacing w:line="276" w:lineRule="auto"/>
        <w:jc w:val="both"/>
        <w:rPr>
          <w:rFonts w:ascii="Cambria" w:hAnsi="Cambria"/>
          <w:sz w:val="6"/>
          <w:szCs w:val="6"/>
        </w:rPr>
      </w:pPr>
    </w:p>
    <w:p w14:paraId="27D3CFC2" w14:textId="12DBD1B1" w:rsidR="00EE1B12" w:rsidRPr="0061181E" w:rsidRDefault="00EE1B12" w:rsidP="008A28F5">
      <w:pPr>
        <w:rPr>
          <w:u w:val="single"/>
        </w:rPr>
      </w:pPr>
      <w:r>
        <w:rPr>
          <w:i/>
          <w:u w:val="single"/>
        </w:rPr>
        <w:t>Vérification de la réduction de la valeur des actifs incorporels (test de dépréciation)</w:t>
      </w:r>
    </w:p>
    <w:p w14:paraId="7AA0E1AD" w14:textId="77777777" w:rsidR="00DA5170" w:rsidRPr="0061181E" w:rsidRDefault="00DA5170" w:rsidP="008A28F5"/>
    <w:p w14:paraId="21292EDB" w14:textId="0C7790FA" w:rsidR="0044346B" w:rsidRDefault="0044346B" w:rsidP="008A28F5">
      <w:pPr>
        <w:spacing w:line="276" w:lineRule="auto"/>
        <w:jc w:val="both"/>
        <w:rPr>
          <w:rFonts w:ascii="Cambria" w:hAnsi="Cambria"/>
          <w:sz w:val="22"/>
          <w:szCs w:val="22"/>
        </w:rPr>
      </w:pPr>
      <w:r>
        <w:rPr>
          <w:rFonts w:ascii="Cambria" w:hAnsi="Cambria"/>
          <w:sz w:val="22"/>
        </w:rPr>
        <w:t xml:space="preserve">Le Groupe effectue le test de dépréciation annuellement au 31 décembre et lorsque les circonstances indiquent la possibilité d'une réduction de la valeur recouvrable du goodwill. Le test sur la réduction durable de la valeur des immobilisations incorporelles à durée de vie indéterminée est basé sur le calcul de la valeur d'utilité. Les hypothèses clés utilisées pour déterminer la valeur recouvrable des différentes unités génératrices de trésorerie (UGT) ont été illustrées dans les états financiers agrégés au 31 décembre 2020.  </w:t>
      </w:r>
    </w:p>
    <w:p w14:paraId="65DC6E5F" w14:textId="2C9EECB0" w:rsidR="005812D1" w:rsidRDefault="00C11C9D" w:rsidP="008A28F5">
      <w:pPr>
        <w:spacing w:line="18" w:lineRule="atLeast"/>
        <w:jc w:val="both"/>
        <w:rPr>
          <w:rFonts w:ascii="Cambria" w:hAnsi="Cambria"/>
          <w:sz w:val="22"/>
          <w:szCs w:val="22"/>
        </w:rPr>
      </w:pPr>
      <w:r>
        <w:rPr>
          <w:rFonts w:ascii="Cambria" w:hAnsi="Cambria"/>
          <w:sz w:val="22"/>
        </w:rPr>
        <w:lastRenderedPageBreak/>
        <w:t xml:space="preserve">Les administrateurs ont procédé aux évaluations appropriées de l'existence d'indications selon lesquelles un actif pourrait avoir subi une réduction de valeur (dépréciation), en examinant attentivement les effets de l'épidémie COVID-19 à la lumière des exigences de la norme IAS 36. Cette analyse, dans le contexte actuel d'incertitude, a nécessité une évaluation minutieuse de la part de la direction, qui a conclu que, compte tenu de l'augmentation des ventes par rapport à la même période de l'année précédente en raison d'un impact moindre des actions gouvernementales visant à contenir la pandémie, et de l'amélioration des niveaux de marge, au niveau des points de vente individuels ainsi que du groupe d'UGT, il n'a pas été jugé nécessaire de réaliser à nouveau le test de dépréciation effectué au 31 décembre 2020. </w:t>
      </w:r>
    </w:p>
    <w:p w14:paraId="171932A3" w14:textId="3CB84AB1" w:rsidR="00010B78" w:rsidRDefault="00010B78" w:rsidP="008A28F5">
      <w:pPr>
        <w:spacing w:line="18" w:lineRule="atLeast"/>
        <w:jc w:val="both"/>
        <w:rPr>
          <w:rFonts w:ascii="Cambria" w:hAnsi="Cambria"/>
          <w:sz w:val="22"/>
          <w:szCs w:val="22"/>
        </w:rPr>
      </w:pPr>
    </w:p>
    <w:p w14:paraId="5C03F90E" w14:textId="3DDBBB02" w:rsidR="00010B78" w:rsidRDefault="0030264E" w:rsidP="008A28F5">
      <w:pPr>
        <w:pStyle w:val="Titolo2"/>
        <w:numPr>
          <w:ilvl w:val="0"/>
          <w:numId w:val="6"/>
        </w:numPr>
        <w:spacing w:line="18" w:lineRule="atLeast"/>
        <w:ind w:left="357" w:right="0" w:hanging="357"/>
        <w:jc w:val="left"/>
        <w:rPr>
          <w:i w:val="0"/>
        </w:rPr>
      </w:pPr>
      <w:bookmarkStart w:id="62" w:name="_Toc112768628"/>
      <w:r>
        <w:rPr>
          <w:i w:val="0"/>
        </w:rPr>
        <w:t>Saisonnalité ou cyclicité des opérations intermédiaires</w:t>
      </w:r>
      <w:bookmarkEnd w:id="62"/>
    </w:p>
    <w:p w14:paraId="3B1FFD01" w14:textId="77777777" w:rsidR="0030264E" w:rsidRDefault="0030264E" w:rsidP="008A28F5">
      <w:pPr>
        <w:spacing w:line="18" w:lineRule="atLeast"/>
        <w:jc w:val="both"/>
        <w:rPr>
          <w:rFonts w:ascii="Cambria" w:hAnsi="Cambria"/>
          <w:sz w:val="22"/>
          <w:szCs w:val="22"/>
        </w:rPr>
      </w:pPr>
    </w:p>
    <w:p w14:paraId="569BF278" w14:textId="5F6B5F2E" w:rsidR="0030264E" w:rsidRPr="0030264E" w:rsidRDefault="0030264E" w:rsidP="008A28F5">
      <w:pPr>
        <w:spacing w:line="18" w:lineRule="atLeast"/>
        <w:jc w:val="both"/>
        <w:rPr>
          <w:rFonts w:ascii="Cambria" w:hAnsi="Cambria"/>
          <w:sz w:val="22"/>
          <w:szCs w:val="22"/>
        </w:rPr>
      </w:pPr>
      <w:r>
        <w:rPr>
          <w:rFonts w:ascii="Cambria" w:hAnsi="Cambria"/>
          <w:sz w:val="22"/>
        </w:rPr>
        <w:t xml:space="preserve">L'activité du Groupe, bien que ne présentant pas de profondes variations saisonnières ou cycliques du chiffre d'affaires annuel global, est affectée, au cours des différents mois de l'année, par l'imparfaite homogénéité des flux de revenus et de coûts découlant principalement des collections (automne/hiver vs printemps/été). </w:t>
      </w:r>
    </w:p>
    <w:p w14:paraId="2F45F5EE" w14:textId="77777777" w:rsidR="00B42936" w:rsidRPr="0061181E" w:rsidRDefault="00B42936" w:rsidP="008A28F5">
      <w:pPr>
        <w:spacing w:line="18" w:lineRule="atLeast"/>
        <w:jc w:val="both"/>
        <w:rPr>
          <w:rFonts w:ascii="Cambria" w:hAnsi="Cambria"/>
          <w:sz w:val="22"/>
          <w:szCs w:val="22"/>
        </w:rPr>
      </w:pPr>
      <w:r>
        <w:rPr>
          <w:rFonts w:ascii="Cambria" w:hAnsi="Cambria"/>
          <w:sz w:val="22"/>
        </w:rPr>
        <w:t xml:space="preserve">Le chiffre d'affaires du Groupe se concentre principalement sur les derniers mois de chaque semestre, une période caractérisée par la vente de marchandises ayant une valeur unitaire plus élevée. Les initiatives promotionnelles avec les remises relatives pour les marchandises sont appliquées par la direction, en fait, progressivement au cours des saisons de vente individuelles (automne/hiver vs printemps/été). </w:t>
      </w:r>
    </w:p>
    <w:p w14:paraId="29F8732B" w14:textId="77777777" w:rsidR="00B42936" w:rsidRPr="0061181E" w:rsidRDefault="00B42936" w:rsidP="008A28F5">
      <w:pPr>
        <w:spacing w:line="18" w:lineRule="atLeast"/>
        <w:jc w:val="both"/>
        <w:rPr>
          <w:rFonts w:ascii="Cambria" w:hAnsi="Cambria"/>
          <w:sz w:val="22"/>
          <w:szCs w:val="22"/>
        </w:rPr>
      </w:pPr>
      <w:r>
        <w:rPr>
          <w:rFonts w:ascii="Cambria" w:hAnsi="Cambria"/>
          <w:sz w:val="22"/>
        </w:rPr>
        <w:t>Il en résulte, sur la base de ce qui précède, que les résultats intermédiaires du Groupe peuvent ne pas contribuer uniformément à la formation des résultats économiques et financiers de chaque exercice.</w:t>
      </w:r>
    </w:p>
    <w:p w14:paraId="051639FA" w14:textId="0FB8AC76" w:rsidR="00010B78" w:rsidRPr="00C17031" w:rsidRDefault="0030264E" w:rsidP="008A28F5">
      <w:pPr>
        <w:spacing w:line="18" w:lineRule="atLeast"/>
        <w:jc w:val="both"/>
        <w:rPr>
          <w:rFonts w:ascii="Cambria" w:hAnsi="Cambria"/>
          <w:sz w:val="22"/>
          <w:szCs w:val="22"/>
        </w:rPr>
      </w:pPr>
      <w:r>
        <w:rPr>
          <w:rFonts w:ascii="Cambria" w:hAnsi="Cambria"/>
          <w:sz w:val="22"/>
        </w:rPr>
        <w:t>Il en résulte, sur la base de ce qui précède, que les résultats intermédiaires du Groupe peuvent ne pas contribuer uniformément à la formation des résultats économiques et financiers de chaque exercice.</w:t>
      </w:r>
    </w:p>
    <w:p w14:paraId="45328234" w14:textId="77777777" w:rsidR="00B540AC" w:rsidRPr="007C6746" w:rsidRDefault="00B540AC" w:rsidP="008A28F5">
      <w:pPr>
        <w:spacing w:line="18" w:lineRule="atLeast"/>
        <w:rPr>
          <w:i/>
        </w:rPr>
      </w:pPr>
    </w:p>
    <w:p w14:paraId="3DB9D97C" w14:textId="77777777" w:rsidR="00082ABB" w:rsidRDefault="00082ABB" w:rsidP="008A28F5">
      <w:pPr>
        <w:pStyle w:val="Titolo2"/>
        <w:numPr>
          <w:ilvl w:val="0"/>
          <w:numId w:val="6"/>
        </w:numPr>
        <w:spacing w:line="18" w:lineRule="atLeast"/>
        <w:ind w:left="357" w:right="0" w:hanging="357"/>
        <w:jc w:val="left"/>
        <w:rPr>
          <w:i w:val="0"/>
        </w:rPr>
      </w:pPr>
      <w:bookmarkStart w:id="63" w:name="_Toc112768629"/>
      <w:r>
        <w:rPr>
          <w:i w:val="0"/>
        </w:rPr>
        <w:t>Transactions "sous contrôle commun »</w:t>
      </w:r>
      <w:bookmarkEnd w:id="63"/>
    </w:p>
    <w:p w14:paraId="1DD946A9" w14:textId="77777777" w:rsidR="00082ABB" w:rsidRDefault="00082ABB" w:rsidP="008A28F5">
      <w:pPr>
        <w:spacing w:line="18" w:lineRule="atLeast"/>
      </w:pPr>
    </w:p>
    <w:p w14:paraId="3378885A" w14:textId="24A7C2D6" w:rsidR="005812D1" w:rsidRPr="000B3836" w:rsidRDefault="00082ABB" w:rsidP="008A28F5">
      <w:pPr>
        <w:spacing w:line="18" w:lineRule="atLeast"/>
        <w:jc w:val="both"/>
        <w:rPr>
          <w:rFonts w:ascii="Cambria" w:hAnsi="Cambria"/>
          <w:sz w:val="22"/>
          <w:szCs w:val="22"/>
        </w:rPr>
      </w:pPr>
      <w:r>
        <w:rPr>
          <w:rFonts w:ascii="Cambria" w:hAnsi="Cambria"/>
          <w:sz w:val="22"/>
        </w:rPr>
        <w:t>Le 28 mai 2020, l'assemblée des actionnaires de Take Off a approuvé la scission partielle de la Société en faveur de la société mère Summit S.r.l. et de la partie liée Horizon S.r.l., dans le cadre d'un projet de restructuration des activités du groupe auquel Take Off appartient.</w:t>
      </w:r>
    </w:p>
    <w:p w14:paraId="3213BF0F" w14:textId="77777777" w:rsidR="005812D1" w:rsidRPr="000B3836" w:rsidRDefault="005812D1" w:rsidP="008A28F5">
      <w:pPr>
        <w:spacing w:line="18" w:lineRule="atLeast"/>
        <w:jc w:val="both"/>
        <w:rPr>
          <w:rFonts w:ascii="Cambria" w:hAnsi="Cambria"/>
          <w:sz w:val="22"/>
          <w:szCs w:val="22"/>
        </w:rPr>
      </w:pPr>
    </w:p>
    <w:p w14:paraId="3A957E89" w14:textId="77777777" w:rsidR="005812D1" w:rsidRPr="000B3836" w:rsidRDefault="00082ABB" w:rsidP="008A28F5">
      <w:pPr>
        <w:spacing w:line="18" w:lineRule="atLeast"/>
        <w:jc w:val="both"/>
        <w:rPr>
          <w:rFonts w:ascii="Cambria" w:hAnsi="Cambria"/>
          <w:sz w:val="22"/>
          <w:szCs w:val="22"/>
        </w:rPr>
      </w:pPr>
      <w:r>
        <w:rPr>
          <w:rFonts w:ascii="Cambria" w:hAnsi="Cambria"/>
          <w:sz w:val="22"/>
        </w:rPr>
        <w:t>En particulier, l'objectif de la scission était de séparer de l'activité principale les activités plus strictement liées à la gestion de propriétés et de participations dans des sociétés opérant dans des secteurs relevant d'activités différentes de celles de la Société.</w:t>
      </w:r>
    </w:p>
    <w:p w14:paraId="142430AE" w14:textId="77777777" w:rsidR="005812D1" w:rsidRPr="000B3836" w:rsidRDefault="005812D1" w:rsidP="008A28F5">
      <w:pPr>
        <w:spacing w:line="18" w:lineRule="atLeast"/>
        <w:jc w:val="both"/>
        <w:rPr>
          <w:rFonts w:ascii="Cambria" w:hAnsi="Cambria"/>
          <w:sz w:val="22"/>
          <w:szCs w:val="22"/>
        </w:rPr>
      </w:pPr>
    </w:p>
    <w:p w14:paraId="4B6C2DB2" w14:textId="2DD46C8F" w:rsidR="005812D1" w:rsidRPr="000B3836" w:rsidRDefault="00082ABB" w:rsidP="008A28F5">
      <w:pPr>
        <w:spacing w:line="18" w:lineRule="atLeast"/>
        <w:jc w:val="both"/>
        <w:rPr>
          <w:rFonts w:ascii="Cambria" w:hAnsi="Cambria"/>
          <w:sz w:val="22"/>
          <w:szCs w:val="22"/>
        </w:rPr>
      </w:pPr>
      <w:r>
        <w:rPr>
          <w:rFonts w:ascii="Cambria" w:hAnsi="Cambria"/>
          <w:sz w:val="22"/>
        </w:rPr>
        <w:t>La scission a donc poursuivi les objectifs suivants :</w:t>
      </w:r>
    </w:p>
    <w:p w14:paraId="1021DF22" w14:textId="77777777" w:rsidR="005812D1" w:rsidRPr="000B3836" w:rsidRDefault="0067491F" w:rsidP="008A28F5">
      <w:pPr>
        <w:pStyle w:val="Paragrafoelenco"/>
        <w:numPr>
          <w:ilvl w:val="0"/>
          <w:numId w:val="56"/>
        </w:numPr>
        <w:spacing w:line="18" w:lineRule="atLeast"/>
        <w:jc w:val="both"/>
        <w:rPr>
          <w:rFonts w:ascii="Cambria" w:hAnsi="Cambria"/>
          <w:sz w:val="22"/>
          <w:szCs w:val="22"/>
        </w:rPr>
      </w:pPr>
      <w:proofErr w:type="gramStart"/>
      <w:r>
        <w:rPr>
          <w:rFonts w:ascii="Cambria" w:hAnsi="Cambria"/>
          <w:sz w:val="22"/>
        </w:rPr>
        <w:t>séparer</w:t>
      </w:r>
      <w:proofErr w:type="gramEnd"/>
      <w:r>
        <w:rPr>
          <w:rFonts w:ascii="Cambria" w:hAnsi="Cambria"/>
          <w:sz w:val="22"/>
        </w:rPr>
        <w:t xml:space="preserve"> l'activité opérationnelle de gestion des points de vente, qui continue à être exercée par la société à scinder (Take Off), de celle de la gestion immobilière et de la restauration ;</w:t>
      </w:r>
    </w:p>
    <w:p w14:paraId="7E79CA2E" w14:textId="77777777" w:rsidR="005812D1" w:rsidRPr="000B3836" w:rsidRDefault="0067491F" w:rsidP="008A28F5">
      <w:pPr>
        <w:pStyle w:val="Paragrafoelenco"/>
        <w:numPr>
          <w:ilvl w:val="0"/>
          <w:numId w:val="56"/>
        </w:numPr>
        <w:spacing w:line="18" w:lineRule="atLeast"/>
        <w:jc w:val="both"/>
        <w:rPr>
          <w:rFonts w:ascii="Cambria" w:hAnsi="Cambria"/>
          <w:sz w:val="22"/>
          <w:szCs w:val="22"/>
        </w:rPr>
      </w:pPr>
      <w:proofErr w:type="gramStart"/>
      <w:r>
        <w:rPr>
          <w:rFonts w:ascii="Cambria" w:hAnsi="Cambria"/>
          <w:sz w:val="22"/>
        </w:rPr>
        <w:t>transférer</w:t>
      </w:r>
      <w:proofErr w:type="gramEnd"/>
      <w:r>
        <w:rPr>
          <w:rFonts w:ascii="Cambria" w:hAnsi="Cambria"/>
          <w:sz w:val="22"/>
        </w:rPr>
        <w:t xml:space="preserve"> la branche affectée à l'activité immobilière, composée de biens immobiliers et d'autres actifs représentatifs de cette activité, actuellement présents dans la Société, en faveur de la partie liée Horizon S.r.l. ;</w:t>
      </w:r>
    </w:p>
    <w:p w14:paraId="214E34B5" w14:textId="77777777" w:rsidR="005812D1" w:rsidRPr="000B3836" w:rsidRDefault="0067491F" w:rsidP="008A28F5">
      <w:pPr>
        <w:pStyle w:val="Paragrafoelenco"/>
        <w:numPr>
          <w:ilvl w:val="0"/>
          <w:numId w:val="56"/>
        </w:numPr>
        <w:spacing w:line="18" w:lineRule="atLeast"/>
        <w:jc w:val="both"/>
        <w:rPr>
          <w:rFonts w:ascii="Cambria" w:hAnsi="Cambria"/>
          <w:sz w:val="22"/>
          <w:szCs w:val="22"/>
        </w:rPr>
      </w:pPr>
      <w:proofErr w:type="gramStart"/>
      <w:r>
        <w:rPr>
          <w:rFonts w:ascii="Cambria" w:hAnsi="Cambria"/>
          <w:sz w:val="22"/>
        </w:rPr>
        <w:t>transférer</w:t>
      </w:r>
      <w:proofErr w:type="gramEnd"/>
      <w:r>
        <w:rPr>
          <w:rFonts w:ascii="Cambria" w:hAnsi="Cambria"/>
          <w:sz w:val="22"/>
        </w:rPr>
        <w:t xml:space="preserve"> la branche affectée à l'activité de restauration détenue par la Société à travers la participation dans </w:t>
      </w:r>
      <w:proofErr w:type="spellStart"/>
      <w:r>
        <w:rPr>
          <w:rFonts w:ascii="Cambria" w:hAnsi="Cambria"/>
          <w:sz w:val="22"/>
        </w:rPr>
        <w:t>Vistamare</w:t>
      </w:r>
      <w:proofErr w:type="spellEnd"/>
      <w:r>
        <w:rPr>
          <w:rFonts w:ascii="Cambria" w:hAnsi="Cambria"/>
          <w:sz w:val="22"/>
        </w:rPr>
        <w:t xml:space="preserve"> S.r.l. à la société mère Summit S.r.l.</w:t>
      </w:r>
    </w:p>
    <w:p w14:paraId="5048D01B" w14:textId="77777777" w:rsidR="005812D1" w:rsidRPr="000B3836" w:rsidRDefault="005812D1" w:rsidP="008A28F5">
      <w:pPr>
        <w:spacing w:line="18" w:lineRule="atLeast"/>
        <w:jc w:val="both"/>
        <w:rPr>
          <w:rFonts w:ascii="Cambria" w:hAnsi="Cambria"/>
          <w:sz w:val="22"/>
          <w:szCs w:val="22"/>
        </w:rPr>
      </w:pPr>
    </w:p>
    <w:p w14:paraId="1464792C" w14:textId="77777777" w:rsidR="005812D1" w:rsidRPr="000B3836" w:rsidRDefault="00082ABB" w:rsidP="008A28F5">
      <w:pPr>
        <w:spacing w:line="18" w:lineRule="atLeast"/>
        <w:jc w:val="both"/>
        <w:rPr>
          <w:rFonts w:ascii="Cambria" w:hAnsi="Cambria"/>
          <w:sz w:val="22"/>
          <w:szCs w:val="22"/>
        </w:rPr>
      </w:pPr>
      <w:r>
        <w:rPr>
          <w:rFonts w:ascii="Cambria" w:hAnsi="Cambria"/>
          <w:sz w:val="22"/>
        </w:rPr>
        <w:t>L'acte de scission a été établi le 8 octobre 2020.</w:t>
      </w:r>
    </w:p>
    <w:p w14:paraId="6D894CE5" w14:textId="77777777" w:rsidR="005812D1" w:rsidRPr="000B3836" w:rsidRDefault="005812D1" w:rsidP="001B6BD6">
      <w:pPr>
        <w:spacing w:line="276" w:lineRule="auto"/>
        <w:jc w:val="both"/>
        <w:rPr>
          <w:rFonts w:ascii="Cambria" w:hAnsi="Cambria"/>
          <w:sz w:val="22"/>
          <w:szCs w:val="22"/>
        </w:rPr>
      </w:pPr>
    </w:p>
    <w:p w14:paraId="4757EB12" w14:textId="0E13727F" w:rsidR="005812D1" w:rsidRPr="000B3836" w:rsidRDefault="003E4F0C" w:rsidP="001B6BD6">
      <w:pPr>
        <w:spacing w:line="276" w:lineRule="auto"/>
        <w:jc w:val="both"/>
        <w:rPr>
          <w:rFonts w:ascii="Cambria" w:hAnsi="Cambria"/>
          <w:sz w:val="22"/>
          <w:szCs w:val="22"/>
        </w:rPr>
      </w:pPr>
      <w:r>
        <w:rPr>
          <w:rFonts w:ascii="Cambria" w:hAnsi="Cambria"/>
          <w:sz w:val="22"/>
        </w:rPr>
        <w:t>À la suite de la scission, les capitaux propres de Take Off' au 31 décembre 2020 ont subi une réduction égale à la valeur comptable de la branche scindée (3 343 916 euros), obtenue par l'utilisation de la réserve extraordinaire et sans aucune modification du capital social.</w:t>
      </w:r>
    </w:p>
    <w:p w14:paraId="19156827" w14:textId="2ECBF578" w:rsidR="000B3836" w:rsidRPr="000B3836" w:rsidRDefault="00AA7D3C" w:rsidP="001B6BD6">
      <w:pPr>
        <w:spacing w:line="276" w:lineRule="auto"/>
        <w:jc w:val="both"/>
        <w:rPr>
          <w:rFonts w:ascii="Cambria" w:hAnsi="Cambria"/>
          <w:sz w:val="22"/>
          <w:szCs w:val="22"/>
        </w:rPr>
      </w:pPr>
      <w:r>
        <w:rPr>
          <w:rFonts w:ascii="Cambria" w:hAnsi="Cambria"/>
          <w:sz w:val="22"/>
        </w:rPr>
        <w:t>Le tableau suivant met en évidence les catégories d'actifs faisant l'objet de la scission :</w:t>
      </w:r>
    </w:p>
    <w:tbl>
      <w:tblPr>
        <w:tblW w:w="6900" w:type="dxa"/>
        <w:tblCellMar>
          <w:left w:w="70" w:type="dxa"/>
          <w:right w:w="70" w:type="dxa"/>
        </w:tblCellMar>
        <w:tblLook w:val="04A0" w:firstRow="1" w:lastRow="0" w:firstColumn="1" w:lastColumn="0" w:noHBand="0" w:noVBand="1"/>
      </w:tblPr>
      <w:tblGrid>
        <w:gridCol w:w="5140"/>
        <w:gridCol w:w="1760"/>
      </w:tblGrid>
      <w:tr w:rsidR="001D63E5" w14:paraId="7AE56D24" w14:textId="77777777" w:rsidTr="00D11FCC">
        <w:trPr>
          <w:trHeight w:val="735"/>
        </w:trPr>
        <w:tc>
          <w:tcPr>
            <w:tcW w:w="5140" w:type="dxa"/>
            <w:tcBorders>
              <w:top w:val="single" w:sz="4" w:space="0" w:color="0070C0"/>
              <w:left w:val="nil"/>
              <w:bottom w:val="single" w:sz="8" w:space="0" w:color="0070C0"/>
              <w:right w:val="nil"/>
            </w:tcBorders>
            <w:shd w:val="clear" w:color="auto" w:fill="auto"/>
            <w:noWrap/>
            <w:vAlign w:val="bottom"/>
            <w:hideMark/>
          </w:tcPr>
          <w:p w14:paraId="751F143A" w14:textId="77777777" w:rsidR="001D63E5" w:rsidRDefault="001D63E5" w:rsidP="00D11FCC">
            <w:pPr>
              <w:rPr>
                <w:rFonts w:ascii="Cambria" w:hAnsi="Cambria" w:cs="Arial"/>
                <w:color w:val="000000"/>
                <w:sz w:val="18"/>
                <w:szCs w:val="18"/>
              </w:rPr>
            </w:pPr>
            <w:r>
              <w:rPr>
                <w:rFonts w:ascii="Cambria" w:hAnsi="Cambria"/>
                <w:color w:val="000000"/>
                <w:sz w:val="18"/>
              </w:rPr>
              <w:lastRenderedPageBreak/>
              <w:t>(</w:t>
            </w:r>
            <w:proofErr w:type="gramStart"/>
            <w:r>
              <w:rPr>
                <w:rFonts w:ascii="Cambria" w:hAnsi="Cambria"/>
                <w:color w:val="000000"/>
                <w:sz w:val="18"/>
              </w:rPr>
              <w:t>en</w:t>
            </w:r>
            <w:proofErr w:type="gramEnd"/>
            <w:r>
              <w:rPr>
                <w:rFonts w:ascii="Cambria" w:hAnsi="Cambria"/>
                <w:color w:val="000000"/>
                <w:sz w:val="18"/>
              </w:rPr>
              <w:t xml:space="preserve"> euros)</w:t>
            </w:r>
          </w:p>
        </w:tc>
        <w:tc>
          <w:tcPr>
            <w:tcW w:w="1760" w:type="dxa"/>
            <w:tcBorders>
              <w:top w:val="single" w:sz="4" w:space="0" w:color="0070C0"/>
              <w:left w:val="nil"/>
              <w:bottom w:val="single" w:sz="8" w:space="0" w:color="0070C0"/>
              <w:right w:val="nil"/>
            </w:tcBorders>
            <w:shd w:val="clear" w:color="auto" w:fill="auto"/>
            <w:vAlign w:val="bottom"/>
            <w:hideMark/>
          </w:tcPr>
          <w:p w14:paraId="4457E47D" w14:textId="77777777" w:rsidR="001D63E5" w:rsidRDefault="001D63E5" w:rsidP="00D11FCC">
            <w:pPr>
              <w:jc w:val="center"/>
              <w:rPr>
                <w:rFonts w:ascii="Cambria" w:hAnsi="Cambria" w:cs="Arial"/>
                <w:b/>
                <w:bCs/>
                <w:color w:val="000000"/>
                <w:sz w:val="18"/>
                <w:szCs w:val="18"/>
              </w:rPr>
            </w:pPr>
            <w:r>
              <w:rPr>
                <w:rFonts w:ascii="Cambria" w:hAnsi="Cambria"/>
                <w:b/>
                <w:color w:val="000000"/>
                <w:sz w:val="18"/>
              </w:rPr>
              <w:t>Valeur comptable nette à la date de la scission</w:t>
            </w:r>
          </w:p>
        </w:tc>
      </w:tr>
      <w:tr w:rsidR="001D63E5" w14:paraId="62285422" w14:textId="77777777" w:rsidTr="00D11FCC">
        <w:trPr>
          <w:trHeight w:val="240"/>
        </w:trPr>
        <w:tc>
          <w:tcPr>
            <w:tcW w:w="5140" w:type="dxa"/>
            <w:tcBorders>
              <w:top w:val="nil"/>
              <w:left w:val="nil"/>
              <w:bottom w:val="nil"/>
              <w:right w:val="nil"/>
            </w:tcBorders>
            <w:shd w:val="clear" w:color="auto" w:fill="auto"/>
            <w:noWrap/>
            <w:vAlign w:val="bottom"/>
            <w:hideMark/>
          </w:tcPr>
          <w:p w14:paraId="4E990732" w14:textId="77777777" w:rsidR="001D63E5" w:rsidRDefault="001D63E5" w:rsidP="00D11FCC">
            <w:pPr>
              <w:rPr>
                <w:rFonts w:ascii="Cambria" w:hAnsi="Cambria" w:cs="Arial"/>
                <w:color w:val="000000"/>
                <w:sz w:val="18"/>
                <w:szCs w:val="18"/>
              </w:rPr>
            </w:pPr>
            <w:r>
              <w:rPr>
                <w:rFonts w:ascii="Cambria" w:hAnsi="Cambria"/>
                <w:color w:val="000000"/>
                <w:sz w:val="18"/>
              </w:rPr>
              <w:t>Immobilisations corporelles</w:t>
            </w:r>
          </w:p>
        </w:tc>
        <w:tc>
          <w:tcPr>
            <w:tcW w:w="1760" w:type="dxa"/>
            <w:tcBorders>
              <w:top w:val="nil"/>
              <w:left w:val="nil"/>
              <w:bottom w:val="nil"/>
              <w:right w:val="nil"/>
            </w:tcBorders>
            <w:shd w:val="clear" w:color="auto" w:fill="auto"/>
            <w:noWrap/>
            <w:vAlign w:val="bottom"/>
            <w:hideMark/>
          </w:tcPr>
          <w:p w14:paraId="5FB5F296" w14:textId="77777777" w:rsidR="001D63E5" w:rsidRDefault="001D63E5" w:rsidP="00D11FCC">
            <w:pPr>
              <w:jc w:val="right"/>
              <w:rPr>
                <w:rFonts w:ascii="Cambria" w:hAnsi="Cambria" w:cs="Arial"/>
                <w:color w:val="000000"/>
                <w:sz w:val="18"/>
                <w:szCs w:val="18"/>
              </w:rPr>
            </w:pPr>
            <w:r>
              <w:rPr>
                <w:rFonts w:ascii="Cambria" w:hAnsi="Cambria"/>
                <w:color w:val="000000"/>
                <w:sz w:val="18"/>
              </w:rPr>
              <w:t>3 234 416</w:t>
            </w:r>
          </w:p>
        </w:tc>
      </w:tr>
      <w:tr w:rsidR="001D63E5" w14:paraId="4D770644" w14:textId="77777777" w:rsidTr="00D11FCC">
        <w:trPr>
          <w:trHeight w:val="240"/>
        </w:trPr>
        <w:tc>
          <w:tcPr>
            <w:tcW w:w="5140" w:type="dxa"/>
            <w:tcBorders>
              <w:top w:val="nil"/>
              <w:left w:val="nil"/>
              <w:bottom w:val="nil"/>
              <w:right w:val="nil"/>
            </w:tcBorders>
            <w:shd w:val="clear" w:color="auto" w:fill="auto"/>
            <w:noWrap/>
            <w:vAlign w:val="bottom"/>
            <w:hideMark/>
          </w:tcPr>
          <w:p w14:paraId="40308EEB" w14:textId="77777777" w:rsidR="001D63E5" w:rsidRDefault="001D63E5" w:rsidP="00D11FCC">
            <w:pPr>
              <w:rPr>
                <w:rFonts w:ascii="Cambria" w:hAnsi="Cambria" w:cs="Arial"/>
                <w:color w:val="000000"/>
                <w:sz w:val="18"/>
                <w:szCs w:val="18"/>
              </w:rPr>
            </w:pPr>
            <w:r>
              <w:rPr>
                <w:rFonts w:ascii="Cambria" w:hAnsi="Cambria"/>
                <w:color w:val="000000"/>
                <w:sz w:val="18"/>
              </w:rPr>
              <w:t>Placements en actions dans des filiales</w:t>
            </w:r>
          </w:p>
        </w:tc>
        <w:tc>
          <w:tcPr>
            <w:tcW w:w="1760" w:type="dxa"/>
            <w:tcBorders>
              <w:top w:val="nil"/>
              <w:left w:val="nil"/>
              <w:bottom w:val="nil"/>
              <w:right w:val="nil"/>
            </w:tcBorders>
            <w:shd w:val="clear" w:color="auto" w:fill="auto"/>
            <w:noWrap/>
            <w:vAlign w:val="bottom"/>
            <w:hideMark/>
          </w:tcPr>
          <w:p w14:paraId="21E79CCC" w14:textId="77777777" w:rsidR="001D63E5" w:rsidRDefault="001D63E5" w:rsidP="00D11FCC">
            <w:pPr>
              <w:jc w:val="right"/>
              <w:rPr>
                <w:rFonts w:ascii="Cambria" w:hAnsi="Cambria" w:cs="Arial"/>
                <w:color w:val="000000"/>
                <w:sz w:val="18"/>
                <w:szCs w:val="18"/>
              </w:rPr>
            </w:pPr>
            <w:r>
              <w:rPr>
                <w:rFonts w:ascii="Cambria" w:hAnsi="Cambria"/>
                <w:color w:val="000000"/>
                <w:sz w:val="18"/>
              </w:rPr>
              <w:t>109 500</w:t>
            </w:r>
          </w:p>
        </w:tc>
      </w:tr>
      <w:tr w:rsidR="001D63E5" w14:paraId="7B259B7D" w14:textId="77777777" w:rsidTr="00D11FCC">
        <w:trPr>
          <w:trHeight w:val="240"/>
        </w:trPr>
        <w:tc>
          <w:tcPr>
            <w:tcW w:w="5140" w:type="dxa"/>
            <w:tcBorders>
              <w:top w:val="nil"/>
              <w:left w:val="nil"/>
              <w:bottom w:val="nil"/>
              <w:right w:val="nil"/>
            </w:tcBorders>
            <w:shd w:val="clear" w:color="auto" w:fill="auto"/>
            <w:noWrap/>
            <w:vAlign w:val="bottom"/>
            <w:hideMark/>
          </w:tcPr>
          <w:p w14:paraId="6A383578" w14:textId="77777777" w:rsidR="001D63E5" w:rsidRDefault="001D63E5" w:rsidP="00D11FCC">
            <w:pPr>
              <w:rPr>
                <w:rFonts w:ascii="Cambria" w:hAnsi="Cambria" w:cs="Arial"/>
                <w:b/>
                <w:bCs/>
                <w:color w:val="000000"/>
                <w:sz w:val="18"/>
                <w:szCs w:val="18"/>
              </w:rPr>
            </w:pPr>
            <w:r>
              <w:rPr>
                <w:rFonts w:ascii="Cambria" w:hAnsi="Cambria"/>
                <w:b/>
                <w:color w:val="000000"/>
                <w:sz w:val="18"/>
              </w:rPr>
              <w:t>Total de l'actif net de la scission</w:t>
            </w:r>
          </w:p>
        </w:tc>
        <w:tc>
          <w:tcPr>
            <w:tcW w:w="1760" w:type="dxa"/>
            <w:tcBorders>
              <w:top w:val="single" w:sz="4" w:space="0" w:color="auto"/>
              <w:left w:val="nil"/>
              <w:bottom w:val="single" w:sz="4" w:space="0" w:color="auto"/>
              <w:right w:val="nil"/>
            </w:tcBorders>
            <w:shd w:val="clear" w:color="auto" w:fill="auto"/>
            <w:noWrap/>
            <w:vAlign w:val="bottom"/>
            <w:hideMark/>
          </w:tcPr>
          <w:p w14:paraId="09682379" w14:textId="77777777" w:rsidR="001D63E5" w:rsidRDefault="001D63E5" w:rsidP="00D11FCC">
            <w:pPr>
              <w:jc w:val="right"/>
              <w:rPr>
                <w:rFonts w:ascii="Cambria" w:hAnsi="Cambria" w:cs="Arial"/>
                <w:b/>
                <w:bCs/>
                <w:color w:val="000000"/>
                <w:sz w:val="18"/>
                <w:szCs w:val="18"/>
              </w:rPr>
            </w:pPr>
            <w:r>
              <w:rPr>
                <w:rFonts w:ascii="Cambria" w:hAnsi="Cambria"/>
                <w:b/>
                <w:color w:val="000000"/>
                <w:sz w:val="18"/>
              </w:rPr>
              <w:t>3 343 916</w:t>
            </w:r>
          </w:p>
        </w:tc>
      </w:tr>
    </w:tbl>
    <w:p w14:paraId="74C2C6AD" w14:textId="61E6FA59" w:rsidR="00207BFD" w:rsidRPr="000B3836" w:rsidRDefault="00207BFD" w:rsidP="001B6BD6">
      <w:pPr>
        <w:spacing w:line="276" w:lineRule="auto"/>
        <w:jc w:val="both"/>
        <w:rPr>
          <w:rFonts w:ascii="Cambria" w:hAnsi="Cambria"/>
          <w:sz w:val="22"/>
          <w:szCs w:val="22"/>
        </w:rPr>
      </w:pPr>
    </w:p>
    <w:p w14:paraId="1ABAF952" w14:textId="69B195AF" w:rsidR="00AA7D3C" w:rsidRPr="000B3836" w:rsidRDefault="00AA7D3C" w:rsidP="001B6BD6">
      <w:pPr>
        <w:spacing w:line="276" w:lineRule="auto"/>
        <w:jc w:val="both"/>
        <w:rPr>
          <w:rFonts w:ascii="Cambria" w:hAnsi="Cambria"/>
          <w:sz w:val="22"/>
          <w:szCs w:val="22"/>
        </w:rPr>
      </w:pPr>
    </w:p>
    <w:p w14:paraId="00F5AF91" w14:textId="30425F58" w:rsidR="005812D1" w:rsidRDefault="0067491F" w:rsidP="001B6BD6">
      <w:pPr>
        <w:spacing w:line="276" w:lineRule="auto"/>
        <w:jc w:val="both"/>
        <w:rPr>
          <w:rFonts w:ascii="Cambria" w:hAnsi="Cambria"/>
          <w:sz w:val="22"/>
          <w:szCs w:val="22"/>
        </w:rPr>
      </w:pPr>
      <w:r>
        <w:rPr>
          <w:rFonts w:ascii="Cambria" w:hAnsi="Cambria"/>
          <w:sz w:val="22"/>
        </w:rPr>
        <w:t>Étant donné que les actifs spin-off ne représentent pas une ligne d'activité indépendante significative, le résultat économique des actifs destinés à la vente n'a pas été présenté séparément dans le compte de résultat.</w:t>
      </w:r>
    </w:p>
    <w:p w14:paraId="7D508649" w14:textId="153C9E20" w:rsidR="00902F74" w:rsidRDefault="00902F74" w:rsidP="001B6BD6">
      <w:pPr>
        <w:spacing w:line="276" w:lineRule="auto"/>
        <w:jc w:val="both"/>
        <w:rPr>
          <w:rFonts w:ascii="Cambria" w:hAnsi="Cambria"/>
          <w:sz w:val="22"/>
          <w:szCs w:val="22"/>
        </w:rPr>
      </w:pPr>
    </w:p>
    <w:p w14:paraId="518AF1FD" w14:textId="718A9328" w:rsidR="00902F74" w:rsidRPr="00C17031" w:rsidRDefault="00902F74" w:rsidP="001B6BD6">
      <w:pPr>
        <w:spacing w:line="276" w:lineRule="auto"/>
        <w:jc w:val="both"/>
        <w:rPr>
          <w:rFonts w:ascii="Cambria" w:hAnsi="Cambria"/>
          <w:sz w:val="22"/>
          <w:szCs w:val="22"/>
        </w:rPr>
      </w:pPr>
      <w:r>
        <w:rPr>
          <w:rFonts w:ascii="Cambria" w:hAnsi="Cambria"/>
          <w:sz w:val="22"/>
        </w:rPr>
        <w:t>Au cours de l'exercice 2021, aucune transaction "sous contrôle commun" n'a eu lieu.</w:t>
      </w:r>
    </w:p>
    <w:p w14:paraId="4946ACB8" w14:textId="77777777" w:rsidR="00082ABB" w:rsidRPr="00C17031" w:rsidRDefault="00082ABB" w:rsidP="00654C2B">
      <w:pPr>
        <w:spacing w:line="276" w:lineRule="auto"/>
        <w:jc w:val="both"/>
        <w:rPr>
          <w:rFonts w:ascii="Cambria" w:hAnsi="Cambria"/>
          <w:sz w:val="22"/>
          <w:szCs w:val="22"/>
        </w:rPr>
      </w:pPr>
    </w:p>
    <w:p w14:paraId="375CD8F3" w14:textId="77777777" w:rsidR="003F08A6" w:rsidRPr="00860026" w:rsidRDefault="003F08A6" w:rsidP="003F08A6">
      <w:pPr>
        <w:pStyle w:val="Titolo2"/>
        <w:numPr>
          <w:ilvl w:val="0"/>
          <w:numId w:val="6"/>
        </w:numPr>
        <w:spacing w:line="240" w:lineRule="auto"/>
        <w:ind w:left="357" w:right="0" w:hanging="357"/>
        <w:jc w:val="left"/>
        <w:rPr>
          <w:i w:val="0"/>
        </w:rPr>
      </w:pPr>
      <w:bookmarkStart w:id="64" w:name="_Toc112768630"/>
      <w:r>
        <w:rPr>
          <w:i w:val="0"/>
        </w:rPr>
        <w:t>Immobilisations corporelles</w:t>
      </w:r>
      <w:bookmarkEnd w:id="64"/>
    </w:p>
    <w:p w14:paraId="7FFBAE67" w14:textId="77777777" w:rsidR="003F08A6" w:rsidRPr="00860026" w:rsidRDefault="003F08A6" w:rsidP="003F08A6">
      <w:pPr>
        <w:rPr>
          <w:rFonts w:ascii="Cambria" w:hAnsi="Cambria"/>
        </w:rPr>
      </w:pPr>
    </w:p>
    <w:p w14:paraId="755E943C" w14:textId="1DAA11DD" w:rsidR="003F08A6" w:rsidRDefault="003F08A6" w:rsidP="003F08A6">
      <w:pPr>
        <w:spacing w:after="200" w:line="276" w:lineRule="auto"/>
        <w:jc w:val="both"/>
        <w:rPr>
          <w:rFonts w:ascii="Cambria" w:hAnsi="Cambria"/>
          <w:sz w:val="22"/>
          <w:szCs w:val="22"/>
        </w:rPr>
      </w:pPr>
      <w:r>
        <w:rPr>
          <w:rFonts w:ascii="Cambria" w:hAnsi="Cambria"/>
          <w:sz w:val="22"/>
        </w:rPr>
        <w:t>La ventilation du poste « Immobilisations corporelles » au 30 juin 2021, par rapport aux mêmes valeurs au 31 décembre 2020, est présentée ci-dessous :</w:t>
      </w:r>
    </w:p>
    <w:tbl>
      <w:tblPr>
        <w:tblW w:w="9712" w:type="dxa"/>
        <w:tblCellMar>
          <w:left w:w="70" w:type="dxa"/>
          <w:right w:w="70" w:type="dxa"/>
        </w:tblCellMar>
        <w:tblLook w:val="04A0" w:firstRow="1" w:lastRow="0" w:firstColumn="1" w:lastColumn="0" w:noHBand="0" w:noVBand="1"/>
      </w:tblPr>
      <w:tblGrid>
        <w:gridCol w:w="2639"/>
        <w:gridCol w:w="839"/>
        <w:gridCol w:w="959"/>
        <w:gridCol w:w="1259"/>
        <w:gridCol w:w="798"/>
        <w:gridCol w:w="1061"/>
        <w:gridCol w:w="1318"/>
        <w:gridCol w:w="900"/>
      </w:tblGrid>
      <w:tr w:rsidR="001C3A40" w:rsidRPr="00C72011" w14:paraId="0027A138" w14:textId="77777777" w:rsidTr="00C72011">
        <w:trPr>
          <w:trHeight w:val="495"/>
        </w:trPr>
        <w:tc>
          <w:tcPr>
            <w:tcW w:w="2639" w:type="dxa"/>
            <w:tcBorders>
              <w:top w:val="single" w:sz="4" w:space="0" w:color="0070C0"/>
              <w:left w:val="nil"/>
              <w:bottom w:val="single" w:sz="8" w:space="0" w:color="0070C0"/>
              <w:right w:val="nil"/>
            </w:tcBorders>
            <w:shd w:val="clear" w:color="auto" w:fill="auto"/>
            <w:noWrap/>
            <w:vAlign w:val="bottom"/>
            <w:hideMark/>
          </w:tcPr>
          <w:p w14:paraId="1EE6DBB4" w14:textId="77777777" w:rsidR="001C3A40" w:rsidRPr="00C72011" w:rsidRDefault="001C3A40">
            <w:pPr>
              <w:rPr>
                <w:rFonts w:ascii="Cambria" w:hAnsi="Cambria" w:cs="Arial"/>
                <w:color w:val="000000"/>
                <w:sz w:val="14"/>
                <w:szCs w:val="14"/>
              </w:rPr>
            </w:pPr>
            <w:r>
              <w:rPr>
                <w:rFonts w:ascii="Cambria" w:hAnsi="Cambria"/>
                <w:color w:val="000000"/>
                <w:sz w:val="14"/>
              </w:rPr>
              <w:t>(</w:t>
            </w:r>
            <w:proofErr w:type="gramStart"/>
            <w:r>
              <w:rPr>
                <w:rFonts w:ascii="Cambria" w:hAnsi="Cambria"/>
                <w:color w:val="000000"/>
                <w:sz w:val="14"/>
              </w:rPr>
              <w:t>en</w:t>
            </w:r>
            <w:proofErr w:type="gramEnd"/>
            <w:r>
              <w:rPr>
                <w:rFonts w:ascii="Cambria" w:hAnsi="Cambria"/>
                <w:color w:val="000000"/>
                <w:sz w:val="14"/>
              </w:rPr>
              <w:t xml:space="preserve"> euros)</w:t>
            </w:r>
          </w:p>
        </w:tc>
        <w:tc>
          <w:tcPr>
            <w:tcW w:w="839" w:type="dxa"/>
            <w:tcBorders>
              <w:top w:val="single" w:sz="4" w:space="0" w:color="0070C0"/>
              <w:left w:val="nil"/>
              <w:bottom w:val="single" w:sz="8" w:space="0" w:color="0070C0"/>
              <w:right w:val="nil"/>
            </w:tcBorders>
            <w:shd w:val="clear" w:color="auto" w:fill="auto"/>
            <w:vAlign w:val="bottom"/>
            <w:hideMark/>
          </w:tcPr>
          <w:p w14:paraId="19873AAC" w14:textId="77777777" w:rsidR="001C3A40" w:rsidRPr="00C72011" w:rsidRDefault="001C3A40">
            <w:pPr>
              <w:jc w:val="center"/>
              <w:rPr>
                <w:rFonts w:ascii="Cambria" w:hAnsi="Cambria" w:cs="Arial"/>
                <w:b/>
                <w:bCs/>
                <w:color w:val="000000"/>
                <w:sz w:val="14"/>
                <w:szCs w:val="14"/>
              </w:rPr>
            </w:pPr>
            <w:r>
              <w:rPr>
                <w:rFonts w:ascii="Cambria" w:hAnsi="Cambria"/>
                <w:b/>
                <w:color w:val="000000"/>
                <w:sz w:val="14"/>
              </w:rPr>
              <w:t>Propriétés foncières</w:t>
            </w:r>
          </w:p>
        </w:tc>
        <w:tc>
          <w:tcPr>
            <w:tcW w:w="959" w:type="dxa"/>
            <w:tcBorders>
              <w:top w:val="single" w:sz="4" w:space="0" w:color="0070C0"/>
              <w:left w:val="nil"/>
              <w:bottom w:val="single" w:sz="8" w:space="0" w:color="0070C0"/>
              <w:right w:val="nil"/>
            </w:tcBorders>
            <w:shd w:val="clear" w:color="auto" w:fill="auto"/>
            <w:vAlign w:val="bottom"/>
            <w:hideMark/>
          </w:tcPr>
          <w:p w14:paraId="73E28763" w14:textId="77777777" w:rsidR="001C3A40" w:rsidRPr="00C72011" w:rsidRDefault="001C3A40">
            <w:pPr>
              <w:jc w:val="center"/>
              <w:rPr>
                <w:rFonts w:ascii="Cambria" w:hAnsi="Cambria" w:cs="Arial"/>
                <w:b/>
                <w:bCs/>
                <w:color w:val="000000"/>
                <w:sz w:val="14"/>
                <w:szCs w:val="14"/>
              </w:rPr>
            </w:pPr>
            <w:r>
              <w:rPr>
                <w:rFonts w:ascii="Cambria" w:hAnsi="Cambria"/>
                <w:b/>
                <w:color w:val="000000"/>
                <w:sz w:val="14"/>
              </w:rPr>
              <w:t>Installations techniques, matériels et outillages</w:t>
            </w:r>
          </w:p>
        </w:tc>
        <w:tc>
          <w:tcPr>
            <w:tcW w:w="1259" w:type="dxa"/>
            <w:tcBorders>
              <w:top w:val="single" w:sz="4" w:space="0" w:color="0070C0"/>
              <w:left w:val="nil"/>
              <w:bottom w:val="single" w:sz="8" w:space="0" w:color="0070C0"/>
              <w:right w:val="nil"/>
            </w:tcBorders>
            <w:shd w:val="clear" w:color="auto" w:fill="auto"/>
            <w:vAlign w:val="bottom"/>
            <w:hideMark/>
          </w:tcPr>
          <w:p w14:paraId="5470D5ED" w14:textId="77777777" w:rsidR="001C3A40" w:rsidRPr="00C72011" w:rsidRDefault="001C3A40">
            <w:pPr>
              <w:jc w:val="center"/>
              <w:rPr>
                <w:rFonts w:ascii="Cambria" w:hAnsi="Cambria" w:cs="Arial"/>
                <w:b/>
                <w:bCs/>
                <w:color w:val="000000"/>
                <w:sz w:val="14"/>
                <w:szCs w:val="14"/>
              </w:rPr>
            </w:pPr>
            <w:r>
              <w:rPr>
                <w:rFonts w:ascii="Cambria" w:hAnsi="Cambria"/>
                <w:b/>
                <w:color w:val="000000"/>
                <w:sz w:val="14"/>
              </w:rPr>
              <w:t>Équipements industriels et commerciaux</w:t>
            </w:r>
          </w:p>
        </w:tc>
        <w:tc>
          <w:tcPr>
            <w:tcW w:w="798" w:type="dxa"/>
            <w:tcBorders>
              <w:top w:val="single" w:sz="4" w:space="0" w:color="0070C0"/>
              <w:left w:val="nil"/>
              <w:bottom w:val="single" w:sz="8" w:space="0" w:color="0070C0"/>
              <w:right w:val="nil"/>
            </w:tcBorders>
            <w:shd w:val="clear" w:color="auto" w:fill="auto"/>
            <w:vAlign w:val="bottom"/>
            <w:hideMark/>
          </w:tcPr>
          <w:p w14:paraId="07CBD3C5" w14:textId="77777777" w:rsidR="001C3A40" w:rsidRPr="00C72011" w:rsidRDefault="001C3A40">
            <w:pPr>
              <w:jc w:val="center"/>
              <w:rPr>
                <w:rFonts w:ascii="Cambria" w:hAnsi="Cambria" w:cs="Arial"/>
                <w:b/>
                <w:bCs/>
                <w:color w:val="000000"/>
                <w:sz w:val="14"/>
                <w:szCs w:val="14"/>
              </w:rPr>
            </w:pPr>
            <w:r>
              <w:rPr>
                <w:rFonts w:ascii="Cambria" w:hAnsi="Cambria"/>
                <w:b/>
                <w:color w:val="000000"/>
                <w:sz w:val="14"/>
              </w:rPr>
              <w:t>Autres actifs</w:t>
            </w:r>
          </w:p>
        </w:tc>
        <w:tc>
          <w:tcPr>
            <w:tcW w:w="1000" w:type="dxa"/>
            <w:tcBorders>
              <w:top w:val="single" w:sz="4" w:space="0" w:color="0070C0"/>
              <w:left w:val="nil"/>
              <w:bottom w:val="single" w:sz="8" w:space="0" w:color="0070C0"/>
              <w:right w:val="nil"/>
            </w:tcBorders>
            <w:shd w:val="clear" w:color="auto" w:fill="auto"/>
            <w:vAlign w:val="bottom"/>
            <w:hideMark/>
          </w:tcPr>
          <w:p w14:paraId="3187EAE8" w14:textId="77777777" w:rsidR="001C3A40" w:rsidRPr="00C72011" w:rsidRDefault="001C3A40">
            <w:pPr>
              <w:jc w:val="center"/>
              <w:rPr>
                <w:rFonts w:ascii="Cambria" w:hAnsi="Cambria" w:cs="Arial"/>
                <w:b/>
                <w:bCs/>
                <w:color w:val="000000"/>
                <w:sz w:val="14"/>
                <w:szCs w:val="14"/>
              </w:rPr>
            </w:pPr>
            <w:r>
              <w:rPr>
                <w:rFonts w:ascii="Cambria" w:hAnsi="Cambria"/>
                <w:b/>
                <w:color w:val="000000"/>
                <w:sz w:val="14"/>
              </w:rPr>
              <w:t>Améliorations locatives</w:t>
            </w:r>
          </w:p>
        </w:tc>
        <w:tc>
          <w:tcPr>
            <w:tcW w:w="1318" w:type="dxa"/>
            <w:tcBorders>
              <w:top w:val="single" w:sz="4" w:space="0" w:color="0070C0"/>
              <w:left w:val="nil"/>
              <w:bottom w:val="single" w:sz="8" w:space="0" w:color="0070C0"/>
              <w:right w:val="nil"/>
            </w:tcBorders>
            <w:shd w:val="clear" w:color="auto" w:fill="auto"/>
            <w:vAlign w:val="bottom"/>
            <w:hideMark/>
          </w:tcPr>
          <w:p w14:paraId="464BA4EA" w14:textId="77777777" w:rsidR="001C3A40" w:rsidRPr="00C72011" w:rsidRDefault="001C3A40">
            <w:pPr>
              <w:jc w:val="center"/>
              <w:rPr>
                <w:rFonts w:ascii="Cambria" w:hAnsi="Cambria" w:cs="Arial"/>
                <w:b/>
                <w:bCs/>
                <w:color w:val="000000"/>
                <w:sz w:val="14"/>
                <w:szCs w:val="14"/>
              </w:rPr>
            </w:pPr>
            <w:r>
              <w:rPr>
                <w:rFonts w:ascii="Cambria" w:hAnsi="Cambria"/>
                <w:b/>
                <w:color w:val="000000"/>
                <w:sz w:val="14"/>
              </w:rPr>
              <w:t>Actifs en projet</w:t>
            </w:r>
          </w:p>
        </w:tc>
        <w:tc>
          <w:tcPr>
            <w:tcW w:w="900" w:type="dxa"/>
            <w:tcBorders>
              <w:top w:val="single" w:sz="4" w:space="0" w:color="0070C0"/>
              <w:left w:val="nil"/>
              <w:bottom w:val="single" w:sz="8" w:space="0" w:color="0070C0"/>
              <w:right w:val="nil"/>
            </w:tcBorders>
            <w:shd w:val="clear" w:color="auto" w:fill="auto"/>
            <w:vAlign w:val="bottom"/>
            <w:hideMark/>
          </w:tcPr>
          <w:p w14:paraId="5F028EA8" w14:textId="77777777" w:rsidR="001C3A40" w:rsidRPr="00C72011" w:rsidRDefault="001C3A40">
            <w:pPr>
              <w:jc w:val="center"/>
              <w:rPr>
                <w:rFonts w:ascii="Cambria" w:hAnsi="Cambria" w:cs="Arial"/>
                <w:b/>
                <w:bCs/>
                <w:color w:val="000000"/>
                <w:sz w:val="14"/>
                <w:szCs w:val="14"/>
              </w:rPr>
            </w:pPr>
            <w:r>
              <w:rPr>
                <w:rFonts w:ascii="Cambria" w:hAnsi="Cambria"/>
                <w:b/>
                <w:color w:val="000000"/>
                <w:sz w:val="14"/>
              </w:rPr>
              <w:t>Total</w:t>
            </w:r>
          </w:p>
        </w:tc>
      </w:tr>
      <w:tr w:rsidR="00C72011" w:rsidRPr="00C72011" w14:paraId="18258B87" w14:textId="77777777" w:rsidTr="00C72011">
        <w:trPr>
          <w:trHeight w:val="240"/>
        </w:trPr>
        <w:tc>
          <w:tcPr>
            <w:tcW w:w="2639" w:type="dxa"/>
            <w:tcBorders>
              <w:top w:val="nil"/>
              <w:left w:val="nil"/>
              <w:bottom w:val="nil"/>
              <w:right w:val="nil"/>
            </w:tcBorders>
            <w:shd w:val="clear" w:color="auto" w:fill="auto"/>
            <w:noWrap/>
            <w:vAlign w:val="bottom"/>
            <w:hideMark/>
          </w:tcPr>
          <w:p w14:paraId="0B60A130" w14:textId="77777777" w:rsidR="00C72011" w:rsidRPr="00C72011" w:rsidRDefault="00C72011" w:rsidP="00C72011">
            <w:pPr>
              <w:rPr>
                <w:rFonts w:ascii="Cambria" w:hAnsi="Cambria" w:cs="Arial"/>
                <w:b/>
                <w:bCs/>
                <w:color w:val="000000"/>
                <w:sz w:val="14"/>
                <w:szCs w:val="14"/>
              </w:rPr>
            </w:pPr>
            <w:r>
              <w:rPr>
                <w:rFonts w:ascii="Cambria" w:hAnsi="Cambria"/>
                <w:b/>
                <w:color w:val="000000"/>
                <w:sz w:val="14"/>
              </w:rPr>
              <w:t>Valeur historique au 1er janvier 2021</w:t>
            </w:r>
          </w:p>
        </w:tc>
        <w:tc>
          <w:tcPr>
            <w:tcW w:w="839" w:type="dxa"/>
            <w:tcBorders>
              <w:top w:val="nil"/>
              <w:left w:val="nil"/>
              <w:bottom w:val="nil"/>
              <w:right w:val="nil"/>
            </w:tcBorders>
            <w:shd w:val="clear" w:color="auto" w:fill="auto"/>
            <w:noWrap/>
            <w:vAlign w:val="bottom"/>
            <w:hideMark/>
          </w:tcPr>
          <w:p w14:paraId="151458A0" w14:textId="4690DC96"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739 341</w:t>
            </w:r>
          </w:p>
        </w:tc>
        <w:tc>
          <w:tcPr>
            <w:tcW w:w="959" w:type="dxa"/>
            <w:tcBorders>
              <w:top w:val="nil"/>
              <w:left w:val="nil"/>
              <w:bottom w:val="nil"/>
              <w:right w:val="nil"/>
            </w:tcBorders>
            <w:shd w:val="clear" w:color="auto" w:fill="auto"/>
            <w:noWrap/>
            <w:vAlign w:val="bottom"/>
            <w:hideMark/>
          </w:tcPr>
          <w:p w14:paraId="4898BE18" w14:textId="317366DD"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296 129</w:t>
            </w:r>
          </w:p>
        </w:tc>
        <w:tc>
          <w:tcPr>
            <w:tcW w:w="1259" w:type="dxa"/>
            <w:tcBorders>
              <w:top w:val="nil"/>
              <w:left w:val="nil"/>
              <w:bottom w:val="nil"/>
              <w:right w:val="nil"/>
            </w:tcBorders>
            <w:shd w:val="clear" w:color="auto" w:fill="auto"/>
            <w:noWrap/>
            <w:vAlign w:val="bottom"/>
            <w:hideMark/>
          </w:tcPr>
          <w:p w14:paraId="26C1705B" w14:textId="6E8BFF23"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225 011</w:t>
            </w:r>
          </w:p>
        </w:tc>
        <w:tc>
          <w:tcPr>
            <w:tcW w:w="798" w:type="dxa"/>
            <w:tcBorders>
              <w:top w:val="nil"/>
              <w:left w:val="nil"/>
              <w:bottom w:val="nil"/>
              <w:right w:val="nil"/>
            </w:tcBorders>
            <w:shd w:val="clear" w:color="auto" w:fill="auto"/>
            <w:noWrap/>
            <w:vAlign w:val="bottom"/>
            <w:hideMark/>
          </w:tcPr>
          <w:p w14:paraId="660015BE" w14:textId="0D91CD5D"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1 482 324</w:t>
            </w:r>
          </w:p>
        </w:tc>
        <w:tc>
          <w:tcPr>
            <w:tcW w:w="1000" w:type="dxa"/>
            <w:tcBorders>
              <w:top w:val="nil"/>
              <w:left w:val="nil"/>
              <w:bottom w:val="nil"/>
              <w:right w:val="nil"/>
            </w:tcBorders>
            <w:shd w:val="clear" w:color="auto" w:fill="auto"/>
            <w:noWrap/>
            <w:vAlign w:val="bottom"/>
            <w:hideMark/>
          </w:tcPr>
          <w:p w14:paraId="2C4F0D31" w14:textId="27DA1BBA"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243 358</w:t>
            </w:r>
          </w:p>
        </w:tc>
        <w:tc>
          <w:tcPr>
            <w:tcW w:w="1318" w:type="dxa"/>
            <w:tcBorders>
              <w:top w:val="nil"/>
              <w:left w:val="nil"/>
              <w:bottom w:val="nil"/>
              <w:right w:val="nil"/>
            </w:tcBorders>
            <w:shd w:val="clear" w:color="auto" w:fill="auto"/>
            <w:noWrap/>
            <w:vAlign w:val="bottom"/>
            <w:hideMark/>
          </w:tcPr>
          <w:p w14:paraId="6FB9CB3E" w14:textId="784CE42B"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73 285</w:t>
            </w:r>
          </w:p>
        </w:tc>
        <w:tc>
          <w:tcPr>
            <w:tcW w:w="900" w:type="dxa"/>
            <w:tcBorders>
              <w:top w:val="nil"/>
              <w:left w:val="nil"/>
              <w:bottom w:val="nil"/>
              <w:right w:val="nil"/>
            </w:tcBorders>
            <w:shd w:val="clear" w:color="auto" w:fill="auto"/>
            <w:noWrap/>
            <w:vAlign w:val="bottom"/>
            <w:hideMark/>
          </w:tcPr>
          <w:p w14:paraId="45B6FD70" w14:textId="28370717"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3 059 447</w:t>
            </w:r>
          </w:p>
        </w:tc>
      </w:tr>
      <w:tr w:rsidR="00C72011" w:rsidRPr="00C72011" w14:paraId="716D5DBF" w14:textId="77777777" w:rsidTr="00C72011">
        <w:trPr>
          <w:trHeight w:val="240"/>
        </w:trPr>
        <w:tc>
          <w:tcPr>
            <w:tcW w:w="2639" w:type="dxa"/>
            <w:tcBorders>
              <w:top w:val="nil"/>
              <w:left w:val="nil"/>
              <w:bottom w:val="nil"/>
              <w:right w:val="nil"/>
            </w:tcBorders>
            <w:shd w:val="clear" w:color="auto" w:fill="auto"/>
            <w:noWrap/>
            <w:vAlign w:val="bottom"/>
            <w:hideMark/>
          </w:tcPr>
          <w:p w14:paraId="73668BB6" w14:textId="77777777" w:rsidR="00C72011" w:rsidRPr="00C72011" w:rsidRDefault="00C72011" w:rsidP="00C72011">
            <w:pPr>
              <w:rPr>
                <w:rFonts w:ascii="Cambria" w:hAnsi="Cambria" w:cs="Arial"/>
                <w:color w:val="000000"/>
                <w:sz w:val="14"/>
                <w:szCs w:val="14"/>
              </w:rPr>
            </w:pPr>
            <w:r>
              <w:rPr>
                <w:rFonts w:ascii="Cambria" w:hAnsi="Cambria"/>
                <w:color w:val="000000"/>
                <w:sz w:val="14"/>
              </w:rPr>
              <w:t>Augmentations pour la période</w:t>
            </w:r>
          </w:p>
        </w:tc>
        <w:tc>
          <w:tcPr>
            <w:tcW w:w="839" w:type="dxa"/>
            <w:tcBorders>
              <w:top w:val="nil"/>
              <w:left w:val="nil"/>
              <w:bottom w:val="nil"/>
              <w:right w:val="nil"/>
            </w:tcBorders>
            <w:shd w:val="clear" w:color="auto" w:fill="auto"/>
            <w:noWrap/>
            <w:vAlign w:val="bottom"/>
            <w:hideMark/>
          </w:tcPr>
          <w:p w14:paraId="400AC4DF" w14:textId="470F11B1" w:rsidR="00C72011" w:rsidRPr="00C72011" w:rsidRDefault="00C72011" w:rsidP="00C72011">
            <w:pPr>
              <w:jc w:val="right"/>
              <w:rPr>
                <w:rFonts w:ascii="Cambria" w:hAnsi="Cambria" w:cs="Arial"/>
                <w:color w:val="000000"/>
                <w:sz w:val="14"/>
                <w:szCs w:val="14"/>
              </w:rPr>
            </w:pPr>
            <w:r>
              <w:rPr>
                <w:rFonts w:ascii="Cambria" w:hAnsi="Cambria"/>
                <w:color w:val="000000"/>
                <w:sz w:val="14"/>
              </w:rPr>
              <w:t>1 200</w:t>
            </w:r>
          </w:p>
        </w:tc>
        <w:tc>
          <w:tcPr>
            <w:tcW w:w="959" w:type="dxa"/>
            <w:tcBorders>
              <w:top w:val="nil"/>
              <w:left w:val="nil"/>
              <w:bottom w:val="nil"/>
              <w:right w:val="nil"/>
            </w:tcBorders>
            <w:shd w:val="clear" w:color="auto" w:fill="auto"/>
            <w:noWrap/>
            <w:vAlign w:val="bottom"/>
            <w:hideMark/>
          </w:tcPr>
          <w:p w14:paraId="782F6D4F" w14:textId="682CE4D4" w:rsidR="00C72011" w:rsidRPr="00C72011" w:rsidRDefault="00C72011" w:rsidP="00C72011">
            <w:pPr>
              <w:jc w:val="right"/>
              <w:rPr>
                <w:rFonts w:ascii="Cambria" w:hAnsi="Cambria" w:cs="Arial"/>
                <w:color w:val="000000"/>
                <w:sz w:val="14"/>
                <w:szCs w:val="14"/>
              </w:rPr>
            </w:pPr>
            <w:r>
              <w:rPr>
                <w:rFonts w:ascii="Cambria" w:hAnsi="Cambria"/>
                <w:color w:val="000000"/>
                <w:sz w:val="14"/>
              </w:rPr>
              <w:t>28 532</w:t>
            </w:r>
          </w:p>
        </w:tc>
        <w:tc>
          <w:tcPr>
            <w:tcW w:w="1259" w:type="dxa"/>
            <w:tcBorders>
              <w:top w:val="nil"/>
              <w:left w:val="nil"/>
              <w:bottom w:val="nil"/>
              <w:right w:val="nil"/>
            </w:tcBorders>
            <w:shd w:val="clear" w:color="auto" w:fill="auto"/>
            <w:noWrap/>
            <w:vAlign w:val="bottom"/>
            <w:hideMark/>
          </w:tcPr>
          <w:p w14:paraId="4E8168C8" w14:textId="28470C41" w:rsidR="00C72011" w:rsidRPr="00C72011" w:rsidRDefault="00C72011" w:rsidP="00C72011">
            <w:pPr>
              <w:jc w:val="right"/>
              <w:rPr>
                <w:rFonts w:ascii="Cambria" w:hAnsi="Cambria" w:cs="Arial"/>
                <w:color w:val="000000"/>
                <w:sz w:val="14"/>
                <w:szCs w:val="14"/>
              </w:rPr>
            </w:pPr>
            <w:r>
              <w:rPr>
                <w:rFonts w:ascii="Cambria" w:hAnsi="Cambria"/>
                <w:color w:val="000000"/>
                <w:sz w:val="14"/>
              </w:rPr>
              <w:t>1 500</w:t>
            </w:r>
          </w:p>
        </w:tc>
        <w:tc>
          <w:tcPr>
            <w:tcW w:w="798" w:type="dxa"/>
            <w:tcBorders>
              <w:top w:val="nil"/>
              <w:left w:val="nil"/>
              <w:bottom w:val="nil"/>
              <w:right w:val="nil"/>
            </w:tcBorders>
            <w:shd w:val="clear" w:color="auto" w:fill="auto"/>
            <w:noWrap/>
            <w:vAlign w:val="bottom"/>
            <w:hideMark/>
          </w:tcPr>
          <w:p w14:paraId="559DAEE0" w14:textId="520E7595" w:rsidR="00C72011" w:rsidRPr="00C72011" w:rsidRDefault="00C72011" w:rsidP="00C72011">
            <w:pPr>
              <w:jc w:val="right"/>
              <w:rPr>
                <w:rFonts w:ascii="Cambria" w:hAnsi="Cambria" w:cs="Arial"/>
                <w:color w:val="000000"/>
                <w:sz w:val="14"/>
                <w:szCs w:val="14"/>
              </w:rPr>
            </w:pPr>
            <w:r>
              <w:rPr>
                <w:rFonts w:ascii="Cambria" w:hAnsi="Cambria"/>
                <w:color w:val="000000"/>
                <w:sz w:val="14"/>
              </w:rPr>
              <w:t>27 906</w:t>
            </w:r>
          </w:p>
        </w:tc>
        <w:tc>
          <w:tcPr>
            <w:tcW w:w="1000" w:type="dxa"/>
            <w:tcBorders>
              <w:top w:val="nil"/>
              <w:left w:val="nil"/>
              <w:bottom w:val="nil"/>
              <w:right w:val="nil"/>
            </w:tcBorders>
            <w:shd w:val="clear" w:color="auto" w:fill="auto"/>
            <w:noWrap/>
            <w:vAlign w:val="bottom"/>
            <w:hideMark/>
          </w:tcPr>
          <w:p w14:paraId="1D4AA8A2" w14:textId="15ACC2E5" w:rsidR="00C72011" w:rsidRPr="00C72011" w:rsidRDefault="00C72011" w:rsidP="00C72011">
            <w:pPr>
              <w:jc w:val="right"/>
              <w:rPr>
                <w:rFonts w:ascii="Cambria" w:hAnsi="Cambria" w:cs="Arial"/>
                <w:color w:val="000000"/>
                <w:sz w:val="14"/>
                <w:szCs w:val="14"/>
              </w:rPr>
            </w:pPr>
            <w:r>
              <w:rPr>
                <w:rFonts w:ascii="Cambria" w:hAnsi="Cambria"/>
                <w:color w:val="000000"/>
                <w:sz w:val="14"/>
              </w:rPr>
              <w:t>58 763</w:t>
            </w:r>
          </w:p>
        </w:tc>
        <w:tc>
          <w:tcPr>
            <w:tcW w:w="1318" w:type="dxa"/>
            <w:tcBorders>
              <w:top w:val="nil"/>
              <w:left w:val="nil"/>
              <w:bottom w:val="nil"/>
              <w:right w:val="nil"/>
            </w:tcBorders>
            <w:shd w:val="clear" w:color="auto" w:fill="auto"/>
            <w:noWrap/>
            <w:vAlign w:val="bottom"/>
            <w:hideMark/>
          </w:tcPr>
          <w:p w14:paraId="54341FD9" w14:textId="47576DC3" w:rsidR="00C72011" w:rsidRPr="00C72011" w:rsidRDefault="00C72011" w:rsidP="00C72011">
            <w:pPr>
              <w:jc w:val="right"/>
              <w:rPr>
                <w:rFonts w:ascii="Cambria" w:hAnsi="Cambria" w:cs="Arial"/>
                <w:color w:val="000000"/>
                <w:sz w:val="14"/>
                <w:szCs w:val="14"/>
              </w:rPr>
            </w:pPr>
            <w:r>
              <w:rPr>
                <w:rFonts w:ascii="Cambria" w:hAnsi="Cambria"/>
                <w:color w:val="000000"/>
                <w:sz w:val="14"/>
              </w:rPr>
              <w:t>4 098</w:t>
            </w:r>
          </w:p>
        </w:tc>
        <w:tc>
          <w:tcPr>
            <w:tcW w:w="900" w:type="dxa"/>
            <w:tcBorders>
              <w:top w:val="nil"/>
              <w:left w:val="nil"/>
              <w:bottom w:val="nil"/>
              <w:right w:val="nil"/>
            </w:tcBorders>
            <w:shd w:val="clear" w:color="auto" w:fill="auto"/>
            <w:noWrap/>
            <w:vAlign w:val="bottom"/>
            <w:hideMark/>
          </w:tcPr>
          <w:p w14:paraId="6EB6AF3B" w14:textId="1AA91ED7" w:rsidR="00C72011" w:rsidRPr="00C72011" w:rsidRDefault="00C72011" w:rsidP="00C72011">
            <w:pPr>
              <w:jc w:val="right"/>
              <w:rPr>
                <w:rFonts w:ascii="Cambria" w:hAnsi="Cambria" w:cs="Arial"/>
                <w:color w:val="000000"/>
                <w:sz w:val="14"/>
                <w:szCs w:val="14"/>
              </w:rPr>
            </w:pPr>
            <w:r>
              <w:rPr>
                <w:rFonts w:ascii="Cambria" w:hAnsi="Cambria"/>
                <w:color w:val="000000"/>
                <w:sz w:val="14"/>
              </w:rPr>
              <w:t>121 999</w:t>
            </w:r>
          </w:p>
        </w:tc>
      </w:tr>
      <w:tr w:rsidR="00C72011" w:rsidRPr="00C72011" w14:paraId="1C22C91C" w14:textId="77777777" w:rsidTr="00C72011">
        <w:trPr>
          <w:trHeight w:val="240"/>
        </w:trPr>
        <w:tc>
          <w:tcPr>
            <w:tcW w:w="2639" w:type="dxa"/>
            <w:tcBorders>
              <w:top w:val="nil"/>
              <w:left w:val="nil"/>
              <w:bottom w:val="nil"/>
              <w:right w:val="nil"/>
            </w:tcBorders>
            <w:shd w:val="clear" w:color="auto" w:fill="auto"/>
            <w:noWrap/>
            <w:vAlign w:val="bottom"/>
            <w:hideMark/>
          </w:tcPr>
          <w:p w14:paraId="0BB25736" w14:textId="77777777" w:rsidR="00C72011" w:rsidRPr="00C72011" w:rsidRDefault="00C72011" w:rsidP="00C72011">
            <w:pPr>
              <w:rPr>
                <w:rFonts w:ascii="Cambria" w:hAnsi="Cambria" w:cs="Arial"/>
                <w:color w:val="000000"/>
                <w:sz w:val="14"/>
                <w:szCs w:val="14"/>
              </w:rPr>
            </w:pPr>
            <w:r>
              <w:rPr>
                <w:rFonts w:ascii="Cambria" w:hAnsi="Cambria"/>
                <w:color w:val="000000"/>
                <w:sz w:val="14"/>
              </w:rPr>
              <w:t>Ventes sur la période financière</w:t>
            </w:r>
          </w:p>
        </w:tc>
        <w:tc>
          <w:tcPr>
            <w:tcW w:w="839" w:type="dxa"/>
            <w:tcBorders>
              <w:top w:val="nil"/>
              <w:left w:val="nil"/>
              <w:bottom w:val="nil"/>
              <w:right w:val="nil"/>
            </w:tcBorders>
            <w:shd w:val="clear" w:color="auto" w:fill="auto"/>
            <w:noWrap/>
            <w:vAlign w:val="bottom"/>
            <w:hideMark/>
          </w:tcPr>
          <w:p w14:paraId="53C8589B" w14:textId="55DCCC46" w:rsidR="00C72011" w:rsidRPr="00C72011" w:rsidRDefault="00C72011" w:rsidP="00C72011">
            <w:pPr>
              <w:jc w:val="right"/>
              <w:rPr>
                <w:rFonts w:ascii="Cambria" w:hAnsi="Cambria" w:cs="Arial"/>
                <w:color w:val="000000"/>
                <w:sz w:val="14"/>
                <w:szCs w:val="14"/>
              </w:rPr>
            </w:pPr>
            <w:r>
              <w:rPr>
                <w:rFonts w:ascii="Cambria" w:hAnsi="Cambria"/>
                <w:color w:val="000000"/>
                <w:sz w:val="14"/>
              </w:rPr>
              <w:t>(622 400)</w:t>
            </w:r>
          </w:p>
        </w:tc>
        <w:tc>
          <w:tcPr>
            <w:tcW w:w="959" w:type="dxa"/>
            <w:tcBorders>
              <w:top w:val="nil"/>
              <w:left w:val="nil"/>
              <w:bottom w:val="nil"/>
              <w:right w:val="nil"/>
            </w:tcBorders>
            <w:shd w:val="clear" w:color="auto" w:fill="auto"/>
            <w:noWrap/>
            <w:vAlign w:val="bottom"/>
            <w:hideMark/>
          </w:tcPr>
          <w:p w14:paraId="47FC0FAB" w14:textId="77777777" w:rsidR="00C72011" w:rsidRPr="00C72011" w:rsidRDefault="00C72011" w:rsidP="00C72011">
            <w:pPr>
              <w:jc w:val="right"/>
              <w:rPr>
                <w:rFonts w:ascii="Cambria" w:hAnsi="Cambria" w:cs="Arial"/>
                <w:color w:val="000000"/>
                <w:sz w:val="14"/>
                <w:szCs w:val="14"/>
              </w:rPr>
            </w:pPr>
          </w:p>
        </w:tc>
        <w:tc>
          <w:tcPr>
            <w:tcW w:w="1259" w:type="dxa"/>
            <w:tcBorders>
              <w:top w:val="nil"/>
              <w:left w:val="nil"/>
              <w:bottom w:val="nil"/>
              <w:right w:val="nil"/>
            </w:tcBorders>
            <w:shd w:val="clear" w:color="auto" w:fill="auto"/>
            <w:noWrap/>
            <w:vAlign w:val="bottom"/>
            <w:hideMark/>
          </w:tcPr>
          <w:p w14:paraId="2BF1F966" w14:textId="77777777" w:rsidR="00C72011" w:rsidRPr="00C72011" w:rsidRDefault="00C72011" w:rsidP="00C72011">
            <w:pPr>
              <w:rPr>
                <w:sz w:val="14"/>
                <w:szCs w:val="14"/>
              </w:rPr>
            </w:pPr>
          </w:p>
        </w:tc>
        <w:tc>
          <w:tcPr>
            <w:tcW w:w="798" w:type="dxa"/>
            <w:tcBorders>
              <w:top w:val="nil"/>
              <w:left w:val="nil"/>
              <w:bottom w:val="nil"/>
              <w:right w:val="nil"/>
            </w:tcBorders>
            <w:shd w:val="clear" w:color="auto" w:fill="auto"/>
            <w:noWrap/>
            <w:vAlign w:val="bottom"/>
            <w:hideMark/>
          </w:tcPr>
          <w:p w14:paraId="7CF99591" w14:textId="0B3766F3" w:rsidR="00C72011" w:rsidRPr="00C72011" w:rsidRDefault="00C72011" w:rsidP="00C72011">
            <w:pPr>
              <w:jc w:val="right"/>
              <w:rPr>
                <w:rFonts w:ascii="Cambria" w:hAnsi="Cambria" w:cs="Arial"/>
                <w:color w:val="000000"/>
                <w:sz w:val="14"/>
                <w:szCs w:val="14"/>
              </w:rPr>
            </w:pPr>
            <w:r>
              <w:rPr>
                <w:rFonts w:ascii="Cambria" w:hAnsi="Cambria"/>
                <w:color w:val="000000"/>
                <w:sz w:val="14"/>
              </w:rPr>
              <w:t>(55 618)</w:t>
            </w:r>
          </w:p>
        </w:tc>
        <w:tc>
          <w:tcPr>
            <w:tcW w:w="1000" w:type="dxa"/>
            <w:tcBorders>
              <w:top w:val="nil"/>
              <w:left w:val="nil"/>
              <w:bottom w:val="nil"/>
              <w:right w:val="nil"/>
            </w:tcBorders>
            <w:shd w:val="clear" w:color="auto" w:fill="auto"/>
            <w:noWrap/>
            <w:vAlign w:val="bottom"/>
            <w:hideMark/>
          </w:tcPr>
          <w:p w14:paraId="0DEBE1E0" w14:textId="134AB1BD" w:rsidR="00C72011" w:rsidRPr="00C72011" w:rsidRDefault="00C72011" w:rsidP="00C72011">
            <w:pPr>
              <w:jc w:val="right"/>
              <w:rPr>
                <w:rFonts w:ascii="Cambria" w:hAnsi="Cambria" w:cs="Arial"/>
                <w:color w:val="000000"/>
                <w:sz w:val="14"/>
                <w:szCs w:val="14"/>
              </w:rPr>
            </w:pPr>
            <w:r>
              <w:rPr>
                <w:rFonts w:ascii="Cambria" w:hAnsi="Cambria"/>
                <w:color w:val="000000"/>
                <w:sz w:val="14"/>
              </w:rPr>
              <w:t>0</w:t>
            </w:r>
          </w:p>
        </w:tc>
        <w:tc>
          <w:tcPr>
            <w:tcW w:w="1318" w:type="dxa"/>
            <w:tcBorders>
              <w:top w:val="nil"/>
              <w:left w:val="nil"/>
              <w:bottom w:val="nil"/>
              <w:right w:val="nil"/>
            </w:tcBorders>
            <w:shd w:val="clear" w:color="auto" w:fill="auto"/>
            <w:noWrap/>
            <w:vAlign w:val="bottom"/>
            <w:hideMark/>
          </w:tcPr>
          <w:p w14:paraId="2D450E24" w14:textId="77777777" w:rsidR="00C72011" w:rsidRPr="00C72011" w:rsidRDefault="00C72011" w:rsidP="00C72011">
            <w:pPr>
              <w:jc w:val="right"/>
              <w:rPr>
                <w:rFonts w:ascii="Cambria" w:hAnsi="Cambria" w:cs="Arial"/>
                <w:color w:val="000000"/>
                <w:sz w:val="14"/>
                <w:szCs w:val="14"/>
              </w:rPr>
            </w:pPr>
          </w:p>
        </w:tc>
        <w:tc>
          <w:tcPr>
            <w:tcW w:w="900" w:type="dxa"/>
            <w:tcBorders>
              <w:top w:val="nil"/>
              <w:left w:val="nil"/>
              <w:bottom w:val="nil"/>
              <w:right w:val="nil"/>
            </w:tcBorders>
            <w:shd w:val="clear" w:color="auto" w:fill="auto"/>
            <w:noWrap/>
            <w:vAlign w:val="bottom"/>
            <w:hideMark/>
          </w:tcPr>
          <w:p w14:paraId="4D3C44A8" w14:textId="6B6E1D85" w:rsidR="00C72011" w:rsidRPr="00C72011" w:rsidRDefault="00C72011" w:rsidP="00C72011">
            <w:pPr>
              <w:jc w:val="right"/>
              <w:rPr>
                <w:rFonts w:ascii="Cambria" w:hAnsi="Cambria" w:cs="Arial"/>
                <w:color w:val="000000"/>
                <w:sz w:val="14"/>
                <w:szCs w:val="14"/>
              </w:rPr>
            </w:pPr>
            <w:r>
              <w:rPr>
                <w:rFonts w:ascii="Cambria" w:hAnsi="Cambria"/>
                <w:color w:val="000000"/>
                <w:sz w:val="14"/>
              </w:rPr>
              <w:t>(678 018)</w:t>
            </w:r>
          </w:p>
        </w:tc>
      </w:tr>
      <w:tr w:rsidR="00C72011" w:rsidRPr="00C72011" w14:paraId="05552CC9" w14:textId="77777777" w:rsidTr="00C72011">
        <w:trPr>
          <w:trHeight w:val="240"/>
        </w:trPr>
        <w:tc>
          <w:tcPr>
            <w:tcW w:w="2639" w:type="dxa"/>
            <w:tcBorders>
              <w:top w:val="nil"/>
              <w:left w:val="nil"/>
              <w:bottom w:val="nil"/>
              <w:right w:val="nil"/>
            </w:tcBorders>
            <w:shd w:val="clear" w:color="auto" w:fill="auto"/>
            <w:noWrap/>
            <w:vAlign w:val="bottom"/>
            <w:hideMark/>
          </w:tcPr>
          <w:p w14:paraId="7D89F61C" w14:textId="77777777" w:rsidR="00C72011" w:rsidRPr="00C72011" w:rsidRDefault="00C72011" w:rsidP="00C72011">
            <w:pPr>
              <w:rPr>
                <w:rFonts w:ascii="Cambria" w:hAnsi="Cambria" w:cs="Arial"/>
                <w:color w:val="000000"/>
                <w:sz w:val="14"/>
                <w:szCs w:val="14"/>
              </w:rPr>
            </w:pPr>
            <w:r>
              <w:rPr>
                <w:rFonts w:ascii="Cambria" w:hAnsi="Cambria"/>
                <w:color w:val="000000"/>
                <w:sz w:val="14"/>
              </w:rPr>
              <w:t>Virements Actifs en projet</w:t>
            </w:r>
          </w:p>
        </w:tc>
        <w:tc>
          <w:tcPr>
            <w:tcW w:w="839" w:type="dxa"/>
            <w:tcBorders>
              <w:top w:val="nil"/>
              <w:left w:val="nil"/>
              <w:bottom w:val="nil"/>
              <w:right w:val="nil"/>
            </w:tcBorders>
            <w:shd w:val="clear" w:color="auto" w:fill="auto"/>
            <w:noWrap/>
            <w:vAlign w:val="bottom"/>
            <w:hideMark/>
          </w:tcPr>
          <w:p w14:paraId="30B38031" w14:textId="77777777" w:rsidR="00C72011" w:rsidRPr="00C72011" w:rsidRDefault="00C72011" w:rsidP="00C72011">
            <w:pPr>
              <w:rPr>
                <w:rFonts w:ascii="Cambria" w:hAnsi="Cambria" w:cs="Arial"/>
                <w:color w:val="000000"/>
                <w:sz w:val="14"/>
                <w:szCs w:val="14"/>
              </w:rPr>
            </w:pPr>
          </w:p>
        </w:tc>
        <w:tc>
          <w:tcPr>
            <w:tcW w:w="959" w:type="dxa"/>
            <w:tcBorders>
              <w:top w:val="nil"/>
              <w:left w:val="nil"/>
              <w:bottom w:val="nil"/>
              <w:right w:val="nil"/>
            </w:tcBorders>
            <w:shd w:val="clear" w:color="auto" w:fill="auto"/>
            <w:noWrap/>
            <w:vAlign w:val="bottom"/>
            <w:hideMark/>
          </w:tcPr>
          <w:p w14:paraId="7149A08E" w14:textId="1E6EDBEA" w:rsidR="00C72011" w:rsidRPr="00C72011" w:rsidRDefault="00C72011" w:rsidP="00C72011">
            <w:pPr>
              <w:jc w:val="right"/>
              <w:rPr>
                <w:rFonts w:ascii="Cambria" w:hAnsi="Cambria" w:cs="Arial"/>
                <w:color w:val="000000"/>
                <w:sz w:val="14"/>
                <w:szCs w:val="14"/>
              </w:rPr>
            </w:pPr>
            <w:r>
              <w:rPr>
                <w:rFonts w:ascii="Cambria" w:hAnsi="Cambria"/>
                <w:color w:val="000000"/>
                <w:sz w:val="14"/>
              </w:rPr>
              <w:t>21 742</w:t>
            </w:r>
          </w:p>
        </w:tc>
        <w:tc>
          <w:tcPr>
            <w:tcW w:w="1259" w:type="dxa"/>
            <w:tcBorders>
              <w:top w:val="nil"/>
              <w:left w:val="nil"/>
              <w:bottom w:val="nil"/>
              <w:right w:val="nil"/>
            </w:tcBorders>
            <w:shd w:val="clear" w:color="auto" w:fill="auto"/>
            <w:noWrap/>
            <w:vAlign w:val="bottom"/>
            <w:hideMark/>
          </w:tcPr>
          <w:p w14:paraId="30A14FBD" w14:textId="77777777" w:rsidR="00C72011" w:rsidRPr="00C72011" w:rsidRDefault="00C72011" w:rsidP="00C72011">
            <w:pPr>
              <w:jc w:val="right"/>
              <w:rPr>
                <w:rFonts w:ascii="Cambria" w:hAnsi="Cambria" w:cs="Arial"/>
                <w:color w:val="000000"/>
                <w:sz w:val="14"/>
                <w:szCs w:val="14"/>
              </w:rPr>
            </w:pPr>
          </w:p>
        </w:tc>
        <w:tc>
          <w:tcPr>
            <w:tcW w:w="798" w:type="dxa"/>
            <w:tcBorders>
              <w:top w:val="nil"/>
              <w:left w:val="nil"/>
              <w:bottom w:val="nil"/>
              <w:right w:val="nil"/>
            </w:tcBorders>
            <w:shd w:val="clear" w:color="auto" w:fill="auto"/>
            <w:noWrap/>
            <w:vAlign w:val="bottom"/>
            <w:hideMark/>
          </w:tcPr>
          <w:p w14:paraId="377CCBB8" w14:textId="36EB2F75" w:rsidR="00C72011" w:rsidRPr="00C72011" w:rsidRDefault="00C72011" w:rsidP="00C72011">
            <w:pPr>
              <w:jc w:val="right"/>
              <w:rPr>
                <w:rFonts w:ascii="Cambria" w:hAnsi="Cambria" w:cs="Arial"/>
                <w:color w:val="000000"/>
                <w:sz w:val="14"/>
                <w:szCs w:val="14"/>
              </w:rPr>
            </w:pPr>
            <w:r>
              <w:rPr>
                <w:rFonts w:ascii="Cambria" w:hAnsi="Cambria"/>
                <w:color w:val="000000"/>
                <w:sz w:val="14"/>
              </w:rPr>
              <w:t>53 664</w:t>
            </w:r>
          </w:p>
        </w:tc>
        <w:tc>
          <w:tcPr>
            <w:tcW w:w="1000" w:type="dxa"/>
            <w:tcBorders>
              <w:top w:val="nil"/>
              <w:left w:val="nil"/>
              <w:bottom w:val="nil"/>
              <w:right w:val="nil"/>
            </w:tcBorders>
            <w:shd w:val="clear" w:color="auto" w:fill="auto"/>
            <w:noWrap/>
            <w:vAlign w:val="bottom"/>
            <w:hideMark/>
          </w:tcPr>
          <w:p w14:paraId="49A02550" w14:textId="77777777" w:rsidR="00C72011" w:rsidRPr="00C72011" w:rsidRDefault="00C72011" w:rsidP="00C72011">
            <w:pPr>
              <w:jc w:val="right"/>
              <w:rPr>
                <w:rFonts w:ascii="Cambria" w:hAnsi="Cambria" w:cs="Arial"/>
                <w:color w:val="000000"/>
                <w:sz w:val="14"/>
                <w:szCs w:val="14"/>
              </w:rPr>
            </w:pPr>
          </w:p>
        </w:tc>
        <w:tc>
          <w:tcPr>
            <w:tcW w:w="1318" w:type="dxa"/>
            <w:tcBorders>
              <w:top w:val="nil"/>
              <w:left w:val="nil"/>
              <w:bottom w:val="nil"/>
              <w:right w:val="nil"/>
            </w:tcBorders>
            <w:shd w:val="clear" w:color="auto" w:fill="auto"/>
            <w:noWrap/>
            <w:vAlign w:val="bottom"/>
            <w:hideMark/>
          </w:tcPr>
          <w:p w14:paraId="1FC4553E" w14:textId="48300C78" w:rsidR="00C72011" w:rsidRPr="00C72011" w:rsidRDefault="00C72011" w:rsidP="00C72011">
            <w:pPr>
              <w:jc w:val="right"/>
              <w:rPr>
                <w:rFonts w:ascii="Cambria" w:hAnsi="Cambria" w:cs="Arial"/>
                <w:color w:val="000000"/>
                <w:sz w:val="14"/>
                <w:szCs w:val="14"/>
              </w:rPr>
            </w:pPr>
            <w:r>
              <w:rPr>
                <w:rFonts w:ascii="Cambria" w:hAnsi="Cambria"/>
                <w:color w:val="000000"/>
                <w:sz w:val="14"/>
              </w:rPr>
              <w:t>(75 406)</w:t>
            </w:r>
          </w:p>
        </w:tc>
        <w:tc>
          <w:tcPr>
            <w:tcW w:w="900" w:type="dxa"/>
            <w:tcBorders>
              <w:top w:val="nil"/>
              <w:left w:val="nil"/>
              <w:bottom w:val="nil"/>
              <w:right w:val="nil"/>
            </w:tcBorders>
            <w:shd w:val="clear" w:color="auto" w:fill="auto"/>
            <w:noWrap/>
            <w:vAlign w:val="bottom"/>
            <w:hideMark/>
          </w:tcPr>
          <w:p w14:paraId="4A06E392" w14:textId="246A36A7" w:rsidR="00C72011" w:rsidRPr="00C72011" w:rsidRDefault="00C72011" w:rsidP="00C72011">
            <w:pPr>
              <w:jc w:val="right"/>
              <w:rPr>
                <w:rFonts w:ascii="Cambria" w:hAnsi="Cambria" w:cs="Arial"/>
                <w:color w:val="000000"/>
                <w:sz w:val="14"/>
                <w:szCs w:val="14"/>
              </w:rPr>
            </w:pPr>
            <w:r>
              <w:rPr>
                <w:rFonts w:ascii="Cambria" w:hAnsi="Cambria"/>
                <w:color w:val="000000"/>
                <w:sz w:val="14"/>
              </w:rPr>
              <w:t>0</w:t>
            </w:r>
          </w:p>
        </w:tc>
      </w:tr>
      <w:tr w:rsidR="00C72011" w:rsidRPr="00C72011" w14:paraId="7E5DF735" w14:textId="77777777" w:rsidTr="00C72011">
        <w:trPr>
          <w:trHeight w:val="255"/>
        </w:trPr>
        <w:tc>
          <w:tcPr>
            <w:tcW w:w="2639" w:type="dxa"/>
            <w:tcBorders>
              <w:top w:val="nil"/>
              <w:left w:val="nil"/>
              <w:bottom w:val="nil"/>
              <w:right w:val="nil"/>
            </w:tcBorders>
            <w:shd w:val="clear" w:color="auto" w:fill="auto"/>
            <w:noWrap/>
            <w:vAlign w:val="bottom"/>
            <w:hideMark/>
          </w:tcPr>
          <w:p w14:paraId="2FA3DF35" w14:textId="77777777" w:rsidR="00C72011" w:rsidRPr="00C72011" w:rsidRDefault="00C72011" w:rsidP="00C72011">
            <w:pPr>
              <w:rPr>
                <w:rFonts w:ascii="Cambria" w:hAnsi="Cambria" w:cs="Arial"/>
                <w:b/>
                <w:bCs/>
                <w:color w:val="000000"/>
                <w:sz w:val="14"/>
                <w:szCs w:val="14"/>
              </w:rPr>
            </w:pPr>
            <w:r>
              <w:rPr>
                <w:rFonts w:ascii="Cambria" w:hAnsi="Cambria"/>
                <w:b/>
                <w:color w:val="000000"/>
                <w:sz w:val="14"/>
              </w:rPr>
              <w:t>Valeur historique au 30 juin 2021</w:t>
            </w:r>
          </w:p>
        </w:tc>
        <w:tc>
          <w:tcPr>
            <w:tcW w:w="839" w:type="dxa"/>
            <w:tcBorders>
              <w:top w:val="single" w:sz="4" w:space="0" w:color="auto"/>
              <w:left w:val="nil"/>
              <w:bottom w:val="single" w:sz="8" w:space="0" w:color="auto"/>
              <w:right w:val="nil"/>
            </w:tcBorders>
            <w:shd w:val="clear" w:color="auto" w:fill="auto"/>
            <w:noWrap/>
            <w:vAlign w:val="bottom"/>
            <w:hideMark/>
          </w:tcPr>
          <w:p w14:paraId="3CB6B2F8" w14:textId="5EEFBABB"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118 141</w:t>
            </w:r>
          </w:p>
        </w:tc>
        <w:tc>
          <w:tcPr>
            <w:tcW w:w="959" w:type="dxa"/>
            <w:tcBorders>
              <w:top w:val="single" w:sz="4" w:space="0" w:color="auto"/>
              <w:left w:val="nil"/>
              <w:bottom w:val="single" w:sz="8" w:space="0" w:color="auto"/>
              <w:right w:val="nil"/>
            </w:tcBorders>
            <w:shd w:val="clear" w:color="auto" w:fill="auto"/>
            <w:noWrap/>
            <w:vAlign w:val="bottom"/>
            <w:hideMark/>
          </w:tcPr>
          <w:p w14:paraId="47FCAF35" w14:textId="5715C5B0"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346 402</w:t>
            </w:r>
          </w:p>
        </w:tc>
        <w:tc>
          <w:tcPr>
            <w:tcW w:w="1259" w:type="dxa"/>
            <w:tcBorders>
              <w:top w:val="single" w:sz="4" w:space="0" w:color="auto"/>
              <w:left w:val="nil"/>
              <w:bottom w:val="single" w:sz="8" w:space="0" w:color="auto"/>
              <w:right w:val="nil"/>
            </w:tcBorders>
            <w:shd w:val="clear" w:color="auto" w:fill="auto"/>
            <w:noWrap/>
            <w:vAlign w:val="bottom"/>
            <w:hideMark/>
          </w:tcPr>
          <w:p w14:paraId="43DA594C" w14:textId="37DF0C2C"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226 511</w:t>
            </w:r>
          </w:p>
        </w:tc>
        <w:tc>
          <w:tcPr>
            <w:tcW w:w="798" w:type="dxa"/>
            <w:tcBorders>
              <w:top w:val="single" w:sz="4" w:space="0" w:color="auto"/>
              <w:left w:val="nil"/>
              <w:bottom w:val="single" w:sz="8" w:space="0" w:color="auto"/>
              <w:right w:val="nil"/>
            </w:tcBorders>
            <w:shd w:val="clear" w:color="auto" w:fill="auto"/>
            <w:noWrap/>
            <w:vAlign w:val="bottom"/>
            <w:hideMark/>
          </w:tcPr>
          <w:p w14:paraId="2AA098AB" w14:textId="52D95F7F"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1 508 276</w:t>
            </w:r>
          </w:p>
        </w:tc>
        <w:tc>
          <w:tcPr>
            <w:tcW w:w="1000" w:type="dxa"/>
            <w:tcBorders>
              <w:top w:val="single" w:sz="4" w:space="0" w:color="auto"/>
              <w:left w:val="nil"/>
              <w:bottom w:val="single" w:sz="8" w:space="0" w:color="auto"/>
              <w:right w:val="nil"/>
            </w:tcBorders>
            <w:shd w:val="clear" w:color="auto" w:fill="auto"/>
            <w:noWrap/>
            <w:vAlign w:val="bottom"/>
            <w:hideMark/>
          </w:tcPr>
          <w:p w14:paraId="6E0DACB6" w14:textId="18F8FF23"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302 121</w:t>
            </w:r>
          </w:p>
        </w:tc>
        <w:tc>
          <w:tcPr>
            <w:tcW w:w="1318" w:type="dxa"/>
            <w:tcBorders>
              <w:top w:val="single" w:sz="4" w:space="0" w:color="auto"/>
              <w:left w:val="nil"/>
              <w:bottom w:val="single" w:sz="8" w:space="0" w:color="auto"/>
              <w:right w:val="nil"/>
            </w:tcBorders>
            <w:shd w:val="clear" w:color="auto" w:fill="auto"/>
            <w:noWrap/>
            <w:vAlign w:val="bottom"/>
            <w:hideMark/>
          </w:tcPr>
          <w:p w14:paraId="1DA7C518" w14:textId="4DB52E8A"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1 978</w:t>
            </w:r>
          </w:p>
        </w:tc>
        <w:tc>
          <w:tcPr>
            <w:tcW w:w="900" w:type="dxa"/>
            <w:tcBorders>
              <w:top w:val="single" w:sz="4" w:space="0" w:color="auto"/>
              <w:left w:val="nil"/>
              <w:bottom w:val="single" w:sz="8" w:space="0" w:color="auto"/>
              <w:right w:val="nil"/>
            </w:tcBorders>
            <w:shd w:val="clear" w:color="auto" w:fill="auto"/>
            <w:noWrap/>
            <w:vAlign w:val="bottom"/>
            <w:hideMark/>
          </w:tcPr>
          <w:p w14:paraId="4840F0AD" w14:textId="0765195C"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2 503 429</w:t>
            </w:r>
          </w:p>
        </w:tc>
      </w:tr>
      <w:tr w:rsidR="00C72011" w:rsidRPr="00C72011" w14:paraId="03958FEE" w14:textId="77777777" w:rsidTr="00C72011">
        <w:trPr>
          <w:trHeight w:val="240"/>
        </w:trPr>
        <w:tc>
          <w:tcPr>
            <w:tcW w:w="2639" w:type="dxa"/>
            <w:tcBorders>
              <w:top w:val="nil"/>
              <w:left w:val="nil"/>
              <w:bottom w:val="nil"/>
              <w:right w:val="nil"/>
            </w:tcBorders>
            <w:shd w:val="clear" w:color="auto" w:fill="auto"/>
            <w:noWrap/>
            <w:vAlign w:val="bottom"/>
            <w:hideMark/>
          </w:tcPr>
          <w:p w14:paraId="75E1AEB3" w14:textId="77777777" w:rsidR="00C72011" w:rsidRPr="00C72011" w:rsidRDefault="00C72011" w:rsidP="00C72011">
            <w:pPr>
              <w:jc w:val="right"/>
              <w:rPr>
                <w:rFonts w:ascii="Cambria" w:hAnsi="Cambria" w:cs="Arial"/>
                <w:b/>
                <w:bCs/>
                <w:color w:val="000000"/>
                <w:sz w:val="14"/>
                <w:szCs w:val="14"/>
              </w:rPr>
            </w:pPr>
          </w:p>
        </w:tc>
        <w:tc>
          <w:tcPr>
            <w:tcW w:w="839" w:type="dxa"/>
            <w:tcBorders>
              <w:top w:val="nil"/>
              <w:left w:val="nil"/>
              <w:bottom w:val="nil"/>
              <w:right w:val="nil"/>
            </w:tcBorders>
            <w:shd w:val="clear" w:color="auto" w:fill="auto"/>
            <w:noWrap/>
            <w:vAlign w:val="bottom"/>
            <w:hideMark/>
          </w:tcPr>
          <w:p w14:paraId="6DF8125E" w14:textId="77777777" w:rsidR="00C72011" w:rsidRPr="00C72011" w:rsidRDefault="00C72011" w:rsidP="00C72011">
            <w:pPr>
              <w:rPr>
                <w:sz w:val="14"/>
                <w:szCs w:val="14"/>
              </w:rPr>
            </w:pPr>
          </w:p>
        </w:tc>
        <w:tc>
          <w:tcPr>
            <w:tcW w:w="959" w:type="dxa"/>
            <w:tcBorders>
              <w:top w:val="nil"/>
              <w:left w:val="nil"/>
              <w:bottom w:val="nil"/>
              <w:right w:val="nil"/>
            </w:tcBorders>
            <w:shd w:val="clear" w:color="auto" w:fill="auto"/>
            <w:noWrap/>
            <w:vAlign w:val="bottom"/>
            <w:hideMark/>
          </w:tcPr>
          <w:p w14:paraId="60E59E67" w14:textId="77777777" w:rsidR="00C72011" w:rsidRPr="00C72011" w:rsidRDefault="00C72011" w:rsidP="00C72011">
            <w:pPr>
              <w:rPr>
                <w:sz w:val="14"/>
                <w:szCs w:val="14"/>
              </w:rPr>
            </w:pPr>
          </w:p>
        </w:tc>
        <w:tc>
          <w:tcPr>
            <w:tcW w:w="1259" w:type="dxa"/>
            <w:tcBorders>
              <w:top w:val="nil"/>
              <w:left w:val="nil"/>
              <w:bottom w:val="nil"/>
              <w:right w:val="nil"/>
            </w:tcBorders>
            <w:shd w:val="clear" w:color="auto" w:fill="auto"/>
            <w:noWrap/>
            <w:vAlign w:val="bottom"/>
            <w:hideMark/>
          </w:tcPr>
          <w:p w14:paraId="63FAB1CD" w14:textId="77777777" w:rsidR="00C72011" w:rsidRPr="00C72011" w:rsidRDefault="00C72011" w:rsidP="00C72011">
            <w:pPr>
              <w:rPr>
                <w:sz w:val="14"/>
                <w:szCs w:val="14"/>
              </w:rPr>
            </w:pPr>
          </w:p>
        </w:tc>
        <w:tc>
          <w:tcPr>
            <w:tcW w:w="798" w:type="dxa"/>
            <w:tcBorders>
              <w:top w:val="nil"/>
              <w:left w:val="nil"/>
              <w:bottom w:val="nil"/>
              <w:right w:val="nil"/>
            </w:tcBorders>
            <w:shd w:val="clear" w:color="auto" w:fill="auto"/>
            <w:noWrap/>
            <w:vAlign w:val="bottom"/>
            <w:hideMark/>
          </w:tcPr>
          <w:p w14:paraId="23840441" w14:textId="77777777" w:rsidR="00C72011" w:rsidRPr="00C72011" w:rsidRDefault="00C72011" w:rsidP="00C72011">
            <w:pPr>
              <w:rPr>
                <w:sz w:val="14"/>
                <w:szCs w:val="14"/>
              </w:rPr>
            </w:pPr>
          </w:p>
        </w:tc>
        <w:tc>
          <w:tcPr>
            <w:tcW w:w="1000" w:type="dxa"/>
            <w:tcBorders>
              <w:top w:val="nil"/>
              <w:left w:val="nil"/>
              <w:bottom w:val="nil"/>
              <w:right w:val="nil"/>
            </w:tcBorders>
            <w:shd w:val="clear" w:color="auto" w:fill="auto"/>
            <w:noWrap/>
            <w:vAlign w:val="bottom"/>
            <w:hideMark/>
          </w:tcPr>
          <w:p w14:paraId="1AA3F1FB" w14:textId="77777777" w:rsidR="00C72011" w:rsidRPr="00C72011" w:rsidRDefault="00C72011" w:rsidP="00C72011">
            <w:pPr>
              <w:rPr>
                <w:sz w:val="14"/>
                <w:szCs w:val="14"/>
              </w:rPr>
            </w:pPr>
          </w:p>
        </w:tc>
        <w:tc>
          <w:tcPr>
            <w:tcW w:w="1318" w:type="dxa"/>
            <w:tcBorders>
              <w:top w:val="nil"/>
              <w:left w:val="nil"/>
              <w:bottom w:val="nil"/>
              <w:right w:val="nil"/>
            </w:tcBorders>
            <w:shd w:val="clear" w:color="auto" w:fill="auto"/>
            <w:noWrap/>
            <w:vAlign w:val="bottom"/>
            <w:hideMark/>
          </w:tcPr>
          <w:p w14:paraId="1E86DEC9" w14:textId="77777777" w:rsidR="00C72011" w:rsidRPr="00C72011" w:rsidRDefault="00C72011" w:rsidP="00C72011">
            <w:pPr>
              <w:rPr>
                <w:sz w:val="14"/>
                <w:szCs w:val="14"/>
              </w:rPr>
            </w:pPr>
          </w:p>
        </w:tc>
        <w:tc>
          <w:tcPr>
            <w:tcW w:w="900" w:type="dxa"/>
            <w:tcBorders>
              <w:top w:val="nil"/>
              <w:left w:val="nil"/>
              <w:bottom w:val="nil"/>
              <w:right w:val="nil"/>
            </w:tcBorders>
            <w:shd w:val="clear" w:color="auto" w:fill="auto"/>
            <w:noWrap/>
            <w:vAlign w:val="bottom"/>
            <w:hideMark/>
          </w:tcPr>
          <w:p w14:paraId="371D8C21" w14:textId="77777777" w:rsidR="00C72011" w:rsidRPr="00C72011" w:rsidRDefault="00C72011" w:rsidP="00C72011">
            <w:pPr>
              <w:rPr>
                <w:sz w:val="14"/>
                <w:szCs w:val="14"/>
              </w:rPr>
            </w:pPr>
          </w:p>
        </w:tc>
      </w:tr>
      <w:tr w:rsidR="00C72011" w:rsidRPr="00C72011" w14:paraId="640F5B89" w14:textId="77777777" w:rsidTr="00C72011">
        <w:trPr>
          <w:trHeight w:val="240"/>
        </w:trPr>
        <w:tc>
          <w:tcPr>
            <w:tcW w:w="2639" w:type="dxa"/>
            <w:tcBorders>
              <w:top w:val="nil"/>
              <w:left w:val="nil"/>
              <w:bottom w:val="nil"/>
              <w:right w:val="nil"/>
            </w:tcBorders>
            <w:shd w:val="clear" w:color="auto" w:fill="auto"/>
            <w:noWrap/>
            <w:vAlign w:val="bottom"/>
            <w:hideMark/>
          </w:tcPr>
          <w:p w14:paraId="1BBF4AF2" w14:textId="77777777" w:rsidR="00C72011" w:rsidRPr="00C72011" w:rsidRDefault="00C72011" w:rsidP="00C72011">
            <w:pPr>
              <w:rPr>
                <w:sz w:val="14"/>
                <w:szCs w:val="14"/>
              </w:rPr>
            </w:pPr>
          </w:p>
        </w:tc>
        <w:tc>
          <w:tcPr>
            <w:tcW w:w="839" w:type="dxa"/>
            <w:tcBorders>
              <w:top w:val="nil"/>
              <w:left w:val="nil"/>
              <w:bottom w:val="nil"/>
              <w:right w:val="nil"/>
            </w:tcBorders>
            <w:shd w:val="clear" w:color="auto" w:fill="auto"/>
            <w:noWrap/>
            <w:vAlign w:val="bottom"/>
            <w:hideMark/>
          </w:tcPr>
          <w:p w14:paraId="14AAE335" w14:textId="77777777" w:rsidR="00C72011" w:rsidRPr="00C72011" w:rsidRDefault="00C72011" w:rsidP="00C72011">
            <w:pPr>
              <w:rPr>
                <w:sz w:val="14"/>
                <w:szCs w:val="14"/>
              </w:rPr>
            </w:pPr>
          </w:p>
        </w:tc>
        <w:tc>
          <w:tcPr>
            <w:tcW w:w="959" w:type="dxa"/>
            <w:tcBorders>
              <w:top w:val="nil"/>
              <w:left w:val="nil"/>
              <w:bottom w:val="nil"/>
              <w:right w:val="nil"/>
            </w:tcBorders>
            <w:shd w:val="clear" w:color="auto" w:fill="auto"/>
            <w:noWrap/>
            <w:vAlign w:val="bottom"/>
            <w:hideMark/>
          </w:tcPr>
          <w:p w14:paraId="7ADB320E" w14:textId="77777777" w:rsidR="00C72011" w:rsidRPr="00C72011" w:rsidRDefault="00C72011" w:rsidP="00C72011">
            <w:pPr>
              <w:rPr>
                <w:sz w:val="14"/>
                <w:szCs w:val="14"/>
              </w:rPr>
            </w:pPr>
          </w:p>
        </w:tc>
        <w:tc>
          <w:tcPr>
            <w:tcW w:w="1259" w:type="dxa"/>
            <w:tcBorders>
              <w:top w:val="nil"/>
              <w:left w:val="nil"/>
              <w:bottom w:val="nil"/>
              <w:right w:val="nil"/>
            </w:tcBorders>
            <w:shd w:val="clear" w:color="auto" w:fill="auto"/>
            <w:noWrap/>
            <w:vAlign w:val="bottom"/>
            <w:hideMark/>
          </w:tcPr>
          <w:p w14:paraId="461C4011" w14:textId="77777777" w:rsidR="00C72011" w:rsidRPr="00C72011" w:rsidRDefault="00C72011" w:rsidP="00C72011">
            <w:pPr>
              <w:rPr>
                <w:sz w:val="14"/>
                <w:szCs w:val="14"/>
              </w:rPr>
            </w:pPr>
          </w:p>
        </w:tc>
        <w:tc>
          <w:tcPr>
            <w:tcW w:w="798" w:type="dxa"/>
            <w:tcBorders>
              <w:top w:val="nil"/>
              <w:left w:val="nil"/>
              <w:bottom w:val="nil"/>
              <w:right w:val="nil"/>
            </w:tcBorders>
            <w:shd w:val="clear" w:color="auto" w:fill="auto"/>
            <w:noWrap/>
            <w:vAlign w:val="bottom"/>
            <w:hideMark/>
          </w:tcPr>
          <w:p w14:paraId="44D2A51E" w14:textId="77777777" w:rsidR="00C72011" w:rsidRPr="00C72011" w:rsidRDefault="00C72011" w:rsidP="00C72011">
            <w:pPr>
              <w:rPr>
                <w:sz w:val="14"/>
                <w:szCs w:val="14"/>
              </w:rPr>
            </w:pPr>
          </w:p>
        </w:tc>
        <w:tc>
          <w:tcPr>
            <w:tcW w:w="1000" w:type="dxa"/>
            <w:tcBorders>
              <w:top w:val="nil"/>
              <w:left w:val="nil"/>
              <w:bottom w:val="nil"/>
              <w:right w:val="nil"/>
            </w:tcBorders>
            <w:shd w:val="clear" w:color="auto" w:fill="auto"/>
            <w:noWrap/>
            <w:vAlign w:val="bottom"/>
            <w:hideMark/>
          </w:tcPr>
          <w:p w14:paraId="60153AAD" w14:textId="77777777" w:rsidR="00C72011" w:rsidRPr="00C72011" w:rsidRDefault="00C72011" w:rsidP="00C72011">
            <w:pPr>
              <w:rPr>
                <w:sz w:val="14"/>
                <w:szCs w:val="14"/>
              </w:rPr>
            </w:pPr>
          </w:p>
        </w:tc>
        <w:tc>
          <w:tcPr>
            <w:tcW w:w="1318" w:type="dxa"/>
            <w:tcBorders>
              <w:top w:val="nil"/>
              <w:left w:val="nil"/>
              <w:bottom w:val="nil"/>
              <w:right w:val="nil"/>
            </w:tcBorders>
            <w:shd w:val="clear" w:color="auto" w:fill="auto"/>
            <w:noWrap/>
            <w:vAlign w:val="bottom"/>
            <w:hideMark/>
          </w:tcPr>
          <w:p w14:paraId="2978E354" w14:textId="77777777" w:rsidR="00C72011" w:rsidRPr="00C72011" w:rsidRDefault="00C72011" w:rsidP="00C72011">
            <w:pPr>
              <w:rPr>
                <w:sz w:val="14"/>
                <w:szCs w:val="14"/>
              </w:rPr>
            </w:pPr>
          </w:p>
        </w:tc>
        <w:tc>
          <w:tcPr>
            <w:tcW w:w="900" w:type="dxa"/>
            <w:tcBorders>
              <w:top w:val="nil"/>
              <w:left w:val="nil"/>
              <w:bottom w:val="nil"/>
              <w:right w:val="nil"/>
            </w:tcBorders>
            <w:shd w:val="clear" w:color="auto" w:fill="auto"/>
            <w:noWrap/>
            <w:vAlign w:val="bottom"/>
            <w:hideMark/>
          </w:tcPr>
          <w:p w14:paraId="1DB5D73F" w14:textId="77777777" w:rsidR="00C72011" w:rsidRPr="00C72011" w:rsidRDefault="00C72011" w:rsidP="00C72011">
            <w:pPr>
              <w:rPr>
                <w:sz w:val="14"/>
                <w:szCs w:val="14"/>
              </w:rPr>
            </w:pPr>
          </w:p>
        </w:tc>
      </w:tr>
      <w:tr w:rsidR="00C72011" w:rsidRPr="00C72011" w14:paraId="1DD8191D" w14:textId="77777777" w:rsidTr="00C72011">
        <w:trPr>
          <w:trHeight w:val="240"/>
        </w:trPr>
        <w:tc>
          <w:tcPr>
            <w:tcW w:w="2639" w:type="dxa"/>
            <w:tcBorders>
              <w:top w:val="nil"/>
              <w:left w:val="nil"/>
              <w:bottom w:val="nil"/>
              <w:right w:val="nil"/>
            </w:tcBorders>
            <w:shd w:val="clear" w:color="auto" w:fill="auto"/>
            <w:noWrap/>
            <w:vAlign w:val="bottom"/>
            <w:hideMark/>
          </w:tcPr>
          <w:p w14:paraId="3C3773D5" w14:textId="77777777" w:rsidR="00C72011" w:rsidRPr="00C72011" w:rsidRDefault="00C72011" w:rsidP="00C72011">
            <w:pPr>
              <w:rPr>
                <w:rFonts w:ascii="Cambria" w:hAnsi="Cambria" w:cs="Arial"/>
                <w:b/>
                <w:bCs/>
                <w:color w:val="000000"/>
                <w:sz w:val="14"/>
                <w:szCs w:val="14"/>
              </w:rPr>
            </w:pPr>
            <w:r>
              <w:rPr>
                <w:rFonts w:ascii="Cambria" w:hAnsi="Cambria"/>
                <w:b/>
                <w:color w:val="000000"/>
                <w:sz w:val="14"/>
              </w:rPr>
              <w:t>Amortissement cumulé au 1er janvier 2021</w:t>
            </w:r>
          </w:p>
        </w:tc>
        <w:tc>
          <w:tcPr>
            <w:tcW w:w="839" w:type="dxa"/>
            <w:tcBorders>
              <w:top w:val="nil"/>
              <w:left w:val="nil"/>
              <w:bottom w:val="nil"/>
              <w:right w:val="nil"/>
            </w:tcBorders>
            <w:shd w:val="clear" w:color="auto" w:fill="auto"/>
            <w:noWrap/>
            <w:vAlign w:val="bottom"/>
            <w:hideMark/>
          </w:tcPr>
          <w:p w14:paraId="36637CC9" w14:textId="79EC8328"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(29 400)</w:t>
            </w:r>
          </w:p>
        </w:tc>
        <w:tc>
          <w:tcPr>
            <w:tcW w:w="959" w:type="dxa"/>
            <w:tcBorders>
              <w:top w:val="nil"/>
              <w:left w:val="nil"/>
              <w:bottom w:val="nil"/>
              <w:right w:val="nil"/>
            </w:tcBorders>
            <w:shd w:val="clear" w:color="auto" w:fill="auto"/>
            <w:noWrap/>
            <w:vAlign w:val="bottom"/>
            <w:hideMark/>
          </w:tcPr>
          <w:p w14:paraId="21B6ECA9" w14:textId="55A070E4"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(103 963)</w:t>
            </w:r>
          </w:p>
        </w:tc>
        <w:tc>
          <w:tcPr>
            <w:tcW w:w="1259" w:type="dxa"/>
            <w:tcBorders>
              <w:top w:val="nil"/>
              <w:left w:val="nil"/>
              <w:bottom w:val="nil"/>
              <w:right w:val="nil"/>
            </w:tcBorders>
            <w:shd w:val="clear" w:color="auto" w:fill="auto"/>
            <w:noWrap/>
            <w:vAlign w:val="bottom"/>
            <w:hideMark/>
          </w:tcPr>
          <w:p w14:paraId="01A1C75F" w14:textId="337241A5"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(108 056)</w:t>
            </w:r>
          </w:p>
        </w:tc>
        <w:tc>
          <w:tcPr>
            <w:tcW w:w="798" w:type="dxa"/>
            <w:tcBorders>
              <w:top w:val="nil"/>
              <w:left w:val="nil"/>
              <w:bottom w:val="nil"/>
              <w:right w:val="nil"/>
            </w:tcBorders>
            <w:shd w:val="clear" w:color="auto" w:fill="auto"/>
            <w:noWrap/>
            <w:vAlign w:val="bottom"/>
            <w:hideMark/>
          </w:tcPr>
          <w:p w14:paraId="366A2EED" w14:textId="49EAB39A"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(810 434)</w:t>
            </w:r>
          </w:p>
        </w:tc>
        <w:tc>
          <w:tcPr>
            <w:tcW w:w="1000" w:type="dxa"/>
            <w:tcBorders>
              <w:top w:val="nil"/>
              <w:left w:val="nil"/>
              <w:bottom w:val="nil"/>
              <w:right w:val="nil"/>
            </w:tcBorders>
            <w:shd w:val="clear" w:color="auto" w:fill="auto"/>
            <w:noWrap/>
            <w:vAlign w:val="bottom"/>
            <w:hideMark/>
          </w:tcPr>
          <w:p w14:paraId="22970268" w14:textId="2B23BA0D"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(46 485)</w:t>
            </w:r>
          </w:p>
        </w:tc>
        <w:tc>
          <w:tcPr>
            <w:tcW w:w="1318" w:type="dxa"/>
            <w:tcBorders>
              <w:top w:val="nil"/>
              <w:left w:val="nil"/>
              <w:bottom w:val="nil"/>
              <w:right w:val="nil"/>
            </w:tcBorders>
            <w:shd w:val="clear" w:color="auto" w:fill="auto"/>
            <w:noWrap/>
            <w:vAlign w:val="bottom"/>
            <w:hideMark/>
          </w:tcPr>
          <w:p w14:paraId="16441997" w14:textId="265A954C"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0</w:t>
            </w:r>
          </w:p>
        </w:tc>
        <w:tc>
          <w:tcPr>
            <w:tcW w:w="900" w:type="dxa"/>
            <w:tcBorders>
              <w:top w:val="nil"/>
              <w:left w:val="nil"/>
              <w:bottom w:val="nil"/>
              <w:right w:val="nil"/>
            </w:tcBorders>
            <w:shd w:val="clear" w:color="auto" w:fill="auto"/>
            <w:noWrap/>
            <w:vAlign w:val="bottom"/>
            <w:hideMark/>
          </w:tcPr>
          <w:p w14:paraId="4D96661C" w14:textId="328205D1"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(1 098 338)</w:t>
            </w:r>
          </w:p>
        </w:tc>
      </w:tr>
      <w:tr w:rsidR="00C72011" w:rsidRPr="00C72011" w14:paraId="2D283A83" w14:textId="77777777" w:rsidTr="00C72011">
        <w:trPr>
          <w:trHeight w:val="240"/>
        </w:trPr>
        <w:tc>
          <w:tcPr>
            <w:tcW w:w="2639" w:type="dxa"/>
            <w:tcBorders>
              <w:top w:val="nil"/>
              <w:left w:val="nil"/>
              <w:bottom w:val="nil"/>
              <w:right w:val="nil"/>
            </w:tcBorders>
            <w:shd w:val="clear" w:color="auto" w:fill="auto"/>
            <w:noWrap/>
            <w:vAlign w:val="bottom"/>
            <w:hideMark/>
          </w:tcPr>
          <w:p w14:paraId="06483851" w14:textId="77777777" w:rsidR="00C72011" w:rsidRPr="00C72011" w:rsidRDefault="00C72011" w:rsidP="00C72011">
            <w:pPr>
              <w:rPr>
                <w:rFonts w:ascii="Cambria" w:hAnsi="Cambria" w:cs="Arial"/>
                <w:color w:val="000000"/>
                <w:sz w:val="14"/>
                <w:szCs w:val="14"/>
              </w:rPr>
            </w:pPr>
            <w:r>
              <w:rPr>
                <w:rFonts w:ascii="Cambria" w:hAnsi="Cambria"/>
                <w:color w:val="000000"/>
                <w:sz w:val="14"/>
              </w:rPr>
              <w:t>Dépréciation pour la période</w:t>
            </w:r>
          </w:p>
        </w:tc>
        <w:tc>
          <w:tcPr>
            <w:tcW w:w="839" w:type="dxa"/>
            <w:tcBorders>
              <w:top w:val="nil"/>
              <w:left w:val="nil"/>
              <w:bottom w:val="nil"/>
              <w:right w:val="nil"/>
            </w:tcBorders>
            <w:shd w:val="clear" w:color="auto" w:fill="auto"/>
            <w:noWrap/>
            <w:vAlign w:val="bottom"/>
            <w:hideMark/>
          </w:tcPr>
          <w:p w14:paraId="1BA5398B" w14:textId="65036F0D" w:rsidR="00C72011" w:rsidRPr="00C72011" w:rsidRDefault="00C72011" w:rsidP="00C72011">
            <w:pPr>
              <w:jc w:val="right"/>
              <w:rPr>
                <w:rFonts w:ascii="Cambria" w:hAnsi="Cambria" w:cs="Arial"/>
                <w:color w:val="000000"/>
                <w:sz w:val="14"/>
                <w:szCs w:val="14"/>
              </w:rPr>
            </w:pPr>
            <w:r>
              <w:rPr>
                <w:rFonts w:ascii="Cambria" w:hAnsi="Cambria"/>
                <w:color w:val="000000"/>
                <w:sz w:val="14"/>
              </w:rPr>
              <w:t>(10 869)</w:t>
            </w:r>
          </w:p>
        </w:tc>
        <w:tc>
          <w:tcPr>
            <w:tcW w:w="959" w:type="dxa"/>
            <w:tcBorders>
              <w:top w:val="nil"/>
              <w:left w:val="nil"/>
              <w:bottom w:val="nil"/>
              <w:right w:val="nil"/>
            </w:tcBorders>
            <w:shd w:val="clear" w:color="auto" w:fill="auto"/>
            <w:noWrap/>
            <w:vAlign w:val="bottom"/>
            <w:hideMark/>
          </w:tcPr>
          <w:p w14:paraId="2C9D533A" w14:textId="4F46BCC1" w:rsidR="00C72011" w:rsidRPr="00C72011" w:rsidRDefault="00C72011" w:rsidP="00C72011">
            <w:pPr>
              <w:jc w:val="right"/>
              <w:rPr>
                <w:rFonts w:ascii="Cambria" w:hAnsi="Cambria" w:cs="Arial"/>
                <w:color w:val="000000"/>
                <w:sz w:val="14"/>
                <w:szCs w:val="14"/>
              </w:rPr>
            </w:pPr>
            <w:r>
              <w:rPr>
                <w:rFonts w:ascii="Cambria" w:hAnsi="Cambria"/>
                <w:color w:val="000000"/>
                <w:sz w:val="14"/>
              </w:rPr>
              <w:t>(20 281)</w:t>
            </w:r>
          </w:p>
        </w:tc>
        <w:tc>
          <w:tcPr>
            <w:tcW w:w="1259" w:type="dxa"/>
            <w:tcBorders>
              <w:top w:val="nil"/>
              <w:left w:val="nil"/>
              <w:bottom w:val="nil"/>
              <w:right w:val="nil"/>
            </w:tcBorders>
            <w:shd w:val="clear" w:color="auto" w:fill="auto"/>
            <w:noWrap/>
            <w:vAlign w:val="bottom"/>
            <w:hideMark/>
          </w:tcPr>
          <w:p w14:paraId="2A8EA7B9" w14:textId="69617EC2" w:rsidR="00C72011" w:rsidRPr="00C72011" w:rsidRDefault="00C72011" w:rsidP="00C72011">
            <w:pPr>
              <w:jc w:val="right"/>
              <w:rPr>
                <w:rFonts w:ascii="Cambria" w:hAnsi="Cambria" w:cs="Arial"/>
                <w:color w:val="000000"/>
                <w:sz w:val="14"/>
                <w:szCs w:val="14"/>
              </w:rPr>
            </w:pPr>
            <w:r>
              <w:rPr>
                <w:rFonts w:ascii="Cambria" w:hAnsi="Cambria"/>
                <w:color w:val="000000"/>
                <w:sz w:val="14"/>
              </w:rPr>
              <w:t>0</w:t>
            </w:r>
          </w:p>
        </w:tc>
        <w:tc>
          <w:tcPr>
            <w:tcW w:w="798" w:type="dxa"/>
            <w:tcBorders>
              <w:top w:val="nil"/>
              <w:left w:val="nil"/>
              <w:bottom w:val="nil"/>
              <w:right w:val="nil"/>
            </w:tcBorders>
            <w:shd w:val="clear" w:color="auto" w:fill="auto"/>
            <w:noWrap/>
            <w:vAlign w:val="bottom"/>
            <w:hideMark/>
          </w:tcPr>
          <w:p w14:paraId="3DC51AE8" w14:textId="6D4C4F51" w:rsidR="00C72011" w:rsidRPr="00C72011" w:rsidRDefault="00C72011" w:rsidP="00C72011">
            <w:pPr>
              <w:jc w:val="right"/>
              <w:rPr>
                <w:rFonts w:ascii="Cambria" w:hAnsi="Cambria" w:cs="Arial"/>
                <w:color w:val="000000"/>
                <w:sz w:val="14"/>
                <w:szCs w:val="14"/>
              </w:rPr>
            </w:pPr>
            <w:r>
              <w:rPr>
                <w:rFonts w:ascii="Cambria" w:hAnsi="Cambria"/>
                <w:color w:val="000000"/>
                <w:sz w:val="14"/>
              </w:rPr>
              <w:t>(87 301)</w:t>
            </w:r>
          </w:p>
        </w:tc>
        <w:tc>
          <w:tcPr>
            <w:tcW w:w="1000" w:type="dxa"/>
            <w:tcBorders>
              <w:top w:val="nil"/>
              <w:left w:val="nil"/>
              <w:bottom w:val="nil"/>
              <w:right w:val="nil"/>
            </w:tcBorders>
            <w:shd w:val="clear" w:color="auto" w:fill="auto"/>
            <w:noWrap/>
            <w:vAlign w:val="bottom"/>
            <w:hideMark/>
          </w:tcPr>
          <w:p w14:paraId="4DA600AF" w14:textId="460937FF" w:rsidR="00C72011" w:rsidRPr="00C72011" w:rsidRDefault="00C72011" w:rsidP="00C72011">
            <w:pPr>
              <w:jc w:val="right"/>
              <w:rPr>
                <w:rFonts w:ascii="Cambria" w:hAnsi="Cambria" w:cs="Arial"/>
                <w:color w:val="000000"/>
                <w:sz w:val="14"/>
                <w:szCs w:val="14"/>
              </w:rPr>
            </w:pPr>
            <w:r>
              <w:rPr>
                <w:rFonts w:ascii="Cambria" w:hAnsi="Cambria"/>
                <w:color w:val="000000"/>
                <w:sz w:val="14"/>
              </w:rPr>
              <w:t>(26 862)</w:t>
            </w:r>
          </w:p>
        </w:tc>
        <w:tc>
          <w:tcPr>
            <w:tcW w:w="1318" w:type="dxa"/>
            <w:tcBorders>
              <w:top w:val="nil"/>
              <w:left w:val="nil"/>
              <w:bottom w:val="nil"/>
              <w:right w:val="nil"/>
            </w:tcBorders>
            <w:shd w:val="clear" w:color="auto" w:fill="auto"/>
            <w:noWrap/>
            <w:vAlign w:val="bottom"/>
            <w:hideMark/>
          </w:tcPr>
          <w:p w14:paraId="74752192" w14:textId="62ACD278" w:rsidR="00C72011" w:rsidRPr="00C72011" w:rsidRDefault="00C72011" w:rsidP="00C72011">
            <w:pPr>
              <w:jc w:val="right"/>
              <w:rPr>
                <w:rFonts w:ascii="Cambria" w:hAnsi="Cambria" w:cs="Arial"/>
                <w:color w:val="000000"/>
                <w:sz w:val="14"/>
                <w:szCs w:val="14"/>
              </w:rPr>
            </w:pPr>
            <w:r>
              <w:rPr>
                <w:rFonts w:ascii="Cambria" w:hAnsi="Cambria"/>
                <w:color w:val="000000"/>
                <w:sz w:val="14"/>
              </w:rPr>
              <w:t>0</w:t>
            </w:r>
          </w:p>
        </w:tc>
        <w:tc>
          <w:tcPr>
            <w:tcW w:w="900" w:type="dxa"/>
            <w:tcBorders>
              <w:top w:val="nil"/>
              <w:left w:val="nil"/>
              <w:bottom w:val="nil"/>
              <w:right w:val="nil"/>
            </w:tcBorders>
            <w:shd w:val="clear" w:color="auto" w:fill="auto"/>
            <w:noWrap/>
            <w:vAlign w:val="bottom"/>
            <w:hideMark/>
          </w:tcPr>
          <w:p w14:paraId="4C95E2BD" w14:textId="48870D0A" w:rsidR="00C72011" w:rsidRPr="00C72011" w:rsidRDefault="00C72011" w:rsidP="00C72011">
            <w:pPr>
              <w:jc w:val="right"/>
              <w:rPr>
                <w:rFonts w:ascii="Cambria" w:hAnsi="Cambria" w:cs="Arial"/>
                <w:color w:val="000000"/>
                <w:sz w:val="14"/>
                <w:szCs w:val="14"/>
              </w:rPr>
            </w:pPr>
            <w:r>
              <w:rPr>
                <w:rFonts w:ascii="Cambria" w:hAnsi="Cambria"/>
                <w:color w:val="000000"/>
                <w:sz w:val="14"/>
              </w:rPr>
              <w:t>(145 314)</w:t>
            </w:r>
          </w:p>
        </w:tc>
      </w:tr>
      <w:tr w:rsidR="00C72011" w:rsidRPr="00C72011" w14:paraId="1DD9B544" w14:textId="77777777" w:rsidTr="00C72011">
        <w:trPr>
          <w:trHeight w:val="240"/>
        </w:trPr>
        <w:tc>
          <w:tcPr>
            <w:tcW w:w="2639" w:type="dxa"/>
            <w:tcBorders>
              <w:top w:val="nil"/>
              <w:left w:val="nil"/>
              <w:bottom w:val="nil"/>
              <w:right w:val="nil"/>
            </w:tcBorders>
            <w:shd w:val="clear" w:color="auto" w:fill="auto"/>
            <w:noWrap/>
            <w:vAlign w:val="bottom"/>
            <w:hideMark/>
          </w:tcPr>
          <w:p w14:paraId="7B5982DC" w14:textId="77777777" w:rsidR="00C72011" w:rsidRPr="00C72011" w:rsidRDefault="00C72011" w:rsidP="00C72011">
            <w:pPr>
              <w:rPr>
                <w:rFonts w:ascii="Cambria" w:hAnsi="Cambria" w:cs="Arial"/>
                <w:color w:val="000000"/>
                <w:sz w:val="14"/>
                <w:szCs w:val="14"/>
              </w:rPr>
            </w:pPr>
            <w:r>
              <w:rPr>
                <w:rFonts w:ascii="Cambria" w:hAnsi="Cambria"/>
                <w:color w:val="000000"/>
                <w:sz w:val="14"/>
              </w:rPr>
              <w:t>Ventes sur la période financière</w:t>
            </w:r>
          </w:p>
        </w:tc>
        <w:tc>
          <w:tcPr>
            <w:tcW w:w="839" w:type="dxa"/>
            <w:tcBorders>
              <w:top w:val="nil"/>
              <w:left w:val="nil"/>
              <w:bottom w:val="nil"/>
              <w:right w:val="nil"/>
            </w:tcBorders>
            <w:shd w:val="clear" w:color="auto" w:fill="auto"/>
            <w:noWrap/>
            <w:vAlign w:val="bottom"/>
            <w:hideMark/>
          </w:tcPr>
          <w:p w14:paraId="33FE38DE" w14:textId="688CB061" w:rsidR="00C72011" w:rsidRPr="00C72011" w:rsidRDefault="00C72011" w:rsidP="00C72011">
            <w:pPr>
              <w:jc w:val="right"/>
              <w:rPr>
                <w:rFonts w:ascii="Cambria" w:hAnsi="Cambria" w:cs="Arial"/>
                <w:color w:val="000000"/>
                <w:sz w:val="14"/>
                <w:szCs w:val="14"/>
              </w:rPr>
            </w:pPr>
            <w:r>
              <w:rPr>
                <w:rFonts w:ascii="Cambria" w:hAnsi="Cambria"/>
                <w:color w:val="000000"/>
                <w:sz w:val="14"/>
              </w:rPr>
              <w:t>12 690</w:t>
            </w:r>
          </w:p>
        </w:tc>
        <w:tc>
          <w:tcPr>
            <w:tcW w:w="959" w:type="dxa"/>
            <w:tcBorders>
              <w:top w:val="nil"/>
              <w:left w:val="nil"/>
              <w:bottom w:val="nil"/>
              <w:right w:val="nil"/>
            </w:tcBorders>
            <w:shd w:val="clear" w:color="auto" w:fill="auto"/>
            <w:noWrap/>
            <w:vAlign w:val="bottom"/>
            <w:hideMark/>
          </w:tcPr>
          <w:p w14:paraId="3AD87BBC" w14:textId="77777777" w:rsidR="00C72011" w:rsidRPr="00C72011" w:rsidRDefault="00C72011" w:rsidP="00C72011">
            <w:pPr>
              <w:jc w:val="right"/>
              <w:rPr>
                <w:rFonts w:ascii="Cambria" w:hAnsi="Cambria" w:cs="Arial"/>
                <w:color w:val="000000"/>
                <w:sz w:val="14"/>
                <w:szCs w:val="14"/>
              </w:rPr>
            </w:pPr>
          </w:p>
        </w:tc>
        <w:tc>
          <w:tcPr>
            <w:tcW w:w="1259" w:type="dxa"/>
            <w:tcBorders>
              <w:top w:val="nil"/>
              <w:left w:val="nil"/>
              <w:bottom w:val="nil"/>
              <w:right w:val="nil"/>
            </w:tcBorders>
            <w:shd w:val="clear" w:color="auto" w:fill="auto"/>
            <w:noWrap/>
            <w:vAlign w:val="bottom"/>
            <w:hideMark/>
          </w:tcPr>
          <w:p w14:paraId="1E0FA208" w14:textId="77777777" w:rsidR="00C72011" w:rsidRPr="00C72011" w:rsidRDefault="00C72011" w:rsidP="00C72011">
            <w:pPr>
              <w:rPr>
                <w:sz w:val="14"/>
                <w:szCs w:val="14"/>
              </w:rPr>
            </w:pPr>
          </w:p>
        </w:tc>
        <w:tc>
          <w:tcPr>
            <w:tcW w:w="798" w:type="dxa"/>
            <w:tcBorders>
              <w:top w:val="nil"/>
              <w:left w:val="nil"/>
              <w:bottom w:val="nil"/>
              <w:right w:val="nil"/>
            </w:tcBorders>
            <w:shd w:val="clear" w:color="auto" w:fill="auto"/>
            <w:noWrap/>
            <w:vAlign w:val="bottom"/>
            <w:hideMark/>
          </w:tcPr>
          <w:p w14:paraId="58C7D25D" w14:textId="4C59C033" w:rsidR="00C72011" w:rsidRPr="00C72011" w:rsidRDefault="00C72011" w:rsidP="00C72011">
            <w:pPr>
              <w:jc w:val="right"/>
              <w:rPr>
                <w:rFonts w:ascii="Cambria" w:hAnsi="Cambria" w:cs="Arial"/>
                <w:color w:val="000000"/>
                <w:sz w:val="14"/>
                <w:szCs w:val="14"/>
              </w:rPr>
            </w:pPr>
            <w:r>
              <w:rPr>
                <w:rFonts w:ascii="Cambria" w:hAnsi="Cambria"/>
                <w:color w:val="000000"/>
                <w:sz w:val="14"/>
              </w:rPr>
              <w:t>55 618</w:t>
            </w:r>
          </w:p>
        </w:tc>
        <w:tc>
          <w:tcPr>
            <w:tcW w:w="1000" w:type="dxa"/>
            <w:tcBorders>
              <w:top w:val="nil"/>
              <w:left w:val="nil"/>
              <w:bottom w:val="nil"/>
              <w:right w:val="nil"/>
            </w:tcBorders>
            <w:shd w:val="clear" w:color="auto" w:fill="auto"/>
            <w:noWrap/>
            <w:vAlign w:val="bottom"/>
            <w:hideMark/>
          </w:tcPr>
          <w:p w14:paraId="04DE223D" w14:textId="717E2D8F" w:rsidR="00C72011" w:rsidRPr="00C72011" w:rsidRDefault="00C72011" w:rsidP="00C72011">
            <w:pPr>
              <w:jc w:val="right"/>
              <w:rPr>
                <w:rFonts w:ascii="Cambria" w:hAnsi="Cambria" w:cs="Arial"/>
                <w:color w:val="000000"/>
                <w:sz w:val="14"/>
                <w:szCs w:val="14"/>
              </w:rPr>
            </w:pPr>
            <w:r>
              <w:rPr>
                <w:rFonts w:ascii="Cambria" w:hAnsi="Cambria"/>
                <w:color w:val="000000"/>
                <w:sz w:val="14"/>
              </w:rPr>
              <w:t>0</w:t>
            </w:r>
          </w:p>
        </w:tc>
        <w:tc>
          <w:tcPr>
            <w:tcW w:w="1318" w:type="dxa"/>
            <w:tcBorders>
              <w:top w:val="nil"/>
              <w:left w:val="nil"/>
              <w:bottom w:val="nil"/>
              <w:right w:val="nil"/>
            </w:tcBorders>
            <w:shd w:val="clear" w:color="auto" w:fill="auto"/>
            <w:noWrap/>
            <w:vAlign w:val="bottom"/>
            <w:hideMark/>
          </w:tcPr>
          <w:p w14:paraId="58D43994" w14:textId="67E583EA" w:rsidR="00C72011" w:rsidRPr="00C72011" w:rsidRDefault="00C72011" w:rsidP="00C72011">
            <w:pPr>
              <w:jc w:val="right"/>
              <w:rPr>
                <w:rFonts w:ascii="Cambria" w:hAnsi="Cambria" w:cs="Arial"/>
                <w:color w:val="000000"/>
                <w:sz w:val="14"/>
                <w:szCs w:val="14"/>
              </w:rPr>
            </w:pPr>
            <w:r>
              <w:rPr>
                <w:rFonts w:ascii="Cambria" w:hAnsi="Cambria"/>
                <w:color w:val="000000"/>
                <w:sz w:val="14"/>
              </w:rPr>
              <w:t>0</w:t>
            </w:r>
          </w:p>
        </w:tc>
        <w:tc>
          <w:tcPr>
            <w:tcW w:w="900" w:type="dxa"/>
            <w:tcBorders>
              <w:top w:val="nil"/>
              <w:left w:val="nil"/>
              <w:bottom w:val="nil"/>
              <w:right w:val="nil"/>
            </w:tcBorders>
            <w:shd w:val="clear" w:color="auto" w:fill="auto"/>
            <w:noWrap/>
            <w:vAlign w:val="bottom"/>
            <w:hideMark/>
          </w:tcPr>
          <w:p w14:paraId="60B1BE2D" w14:textId="5DDCA9BB" w:rsidR="00C72011" w:rsidRPr="00C72011" w:rsidRDefault="00C72011" w:rsidP="00C72011">
            <w:pPr>
              <w:jc w:val="right"/>
              <w:rPr>
                <w:rFonts w:ascii="Cambria" w:hAnsi="Cambria" w:cs="Arial"/>
                <w:color w:val="000000"/>
                <w:sz w:val="14"/>
                <w:szCs w:val="14"/>
              </w:rPr>
            </w:pPr>
            <w:r>
              <w:rPr>
                <w:rFonts w:ascii="Cambria" w:hAnsi="Cambria"/>
                <w:color w:val="000000"/>
                <w:sz w:val="14"/>
              </w:rPr>
              <w:t>68 308</w:t>
            </w:r>
          </w:p>
        </w:tc>
      </w:tr>
      <w:tr w:rsidR="00C72011" w:rsidRPr="00C72011" w14:paraId="3BCF148A" w14:textId="77777777" w:rsidTr="00C72011">
        <w:trPr>
          <w:trHeight w:val="255"/>
        </w:trPr>
        <w:tc>
          <w:tcPr>
            <w:tcW w:w="2639" w:type="dxa"/>
            <w:tcBorders>
              <w:top w:val="nil"/>
              <w:left w:val="nil"/>
              <w:bottom w:val="nil"/>
              <w:right w:val="nil"/>
            </w:tcBorders>
            <w:shd w:val="clear" w:color="auto" w:fill="auto"/>
            <w:noWrap/>
            <w:vAlign w:val="bottom"/>
            <w:hideMark/>
          </w:tcPr>
          <w:p w14:paraId="440BC147" w14:textId="77777777" w:rsidR="00C72011" w:rsidRPr="00C72011" w:rsidRDefault="00C72011" w:rsidP="00C72011">
            <w:pPr>
              <w:rPr>
                <w:rFonts w:ascii="Cambria" w:hAnsi="Cambria" w:cs="Arial"/>
                <w:b/>
                <w:bCs/>
                <w:color w:val="000000"/>
                <w:sz w:val="14"/>
                <w:szCs w:val="14"/>
              </w:rPr>
            </w:pPr>
            <w:r>
              <w:rPr>
                <w:rFonts w:ascii="Cambria" w:hAnsi="Cambria"/>
                <w:b/>
                <w:color w:val="000000"/>
                <w:sz w:val="14"/>
              </w:rPr>
              <w:t>Amortissement cumulé au 30 juin 2021</w:t>
            </w:r>
          </w:p>
        </w:tc>
        <w:tc>
          <w:tcPr>
            <w:tcW w:w="839" w:type="dxa"/>
            <w:tcBorders>
              <w:top w:val="single" w:sz="4" w:space="0" w:color="auto"/>
              <w:left w:val="nil"/>
              <w:bottom w:val="single" w:sz="8" w:space="0" w:color="auto"/>
              <w:right w:val="nil"/>
            </w:tcBorders>
            <w:shd w:val="clear" w:color="auto" w:fill="auto"/>
            <w:noWrap/>
            <w:vAlign w:val="bottom"/>
            <w:hideMark/>
          </w:tcPr>
          <w:p w14:paraId="120296E4" w14:textId="3DD25E34"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(27 580)</w:t>
            </w:r>
          </w:p>
        </w:tc>
        <w:tc>
          <w:tcPr>
            <w:tcW w:w="959" w:type="dxa"/>
            <w:tcBorders>
              <w:top w:val="single" w:sz="4" w:space="0" w:color="auto"/>
              <w:left w:val="nil"/>
              <w:bottom w:val="single" w:sz="8" w:space="0" w:color="auto"/>
              <w:right w:val="nil"/>
            </w:tcBorders>
            <w:shd w:val="clear" w:color="auto" w:fill="auto"/>
            <w:noWrap/>
            <w:vAlign w:val="bottom"/>
            <w:hideMark/>
          </w:tcPr>
          <w:p w14:paraId="086350FE" w14:textId="7CDA41E1"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(124 244)</w:t>
            </w:r>
          </w:p>
        </w:tc>
        <w:tc>
          <w:tcPr>
            <w:tcW w:w="1259" w:type="dxa"/>
            <w:tcBorders>
              <w:top w:val="single" w:sz="4" w:space="0" w:color="auto"/>
              <w:left w:val="nil"/>
              <w:bottom w:val="single" w:sz="8" w:space="0" w:color="auto"/>
              <w:right w:val="nil"/>
            </w:tcBorders>
            <w:shd w:val="clear" w:color="auto" w:fill="auto"/>
            <w:noWrap/>
            <w:vAlign w:val="bottom"/>
            <w:hideMark/>
          </w:tcPr>
          <w:p w14:paraId="6526E189" w14:textId="11E43C5A"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(108 056)</w:t>
            </w:r>
          </w:p>
        </w:tc>
        <w:tc>
          <w:tcPr>
            <w:tcW w:w="798" w:type="dxa"/>
            <w:tcBorders>
              <w:top w:val="single" w:sz="4" w:space="0" w:color="auto"/>
              <w:left w:val="nil"/>
              <w:bottom w:val="single" w:sz="8" w:space="0" w:color="auto"/>
              <w:right w:val="nil"/>
            </w:tcBorders>
            <w:shd w:val="clear" w:color="auto" w:fill="auto"/>
            <w:noWrap/>
            <w:vAlign w:val="bottom"/>
            <w:hideMark/>
          </w:tcPr>
          <w:p w14:paraId="1FA726A1" w14:textId="2B2CA801"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(842 118)</w:t>
            </w:r>
          </w:p>
        </w:tc>
        <w:tc>
          <w:tcPr>
            <w:tcW w:w="1000" w:type="dxa"/>
            <w:tcBorders>
              <w:top w:val="single" w:sz="4" w:space="0" w:color="auto"/>
              <w:left w:val="nil"/>
              <w:bottom w:val="single" w:sz="8" w:space="0" w:color="auto"/>
              <w:right w:val="nil"/>
            </w:tcBorders>
            <w:shd w:val="clear" w:color="auto" w:fill="auto"/>
            <w:noWrap/>
            <w:vAlign w:val="bottom"/>
            <w:hideMark/>
          </w:tcPr>
          <w:p w14:paraId="6A81AA81" w14:textId="134CFFE9"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(73 347)</w:t>
            </w:r>
          </w:p>
        </w:tc>
        <w:tc>
          <w:tcPr>
            <w:tcW w:w="1318" w:type="dxa"/>
            <w:tcBorders>
              <w:top w:val="single" w:sz="4" w:space="0" w:color="auto"/>
              <w:left w:val="nil"/>
              <w:bottom w:val="single" w:sz="8" w:space="0" w:color="auto"/>
              <w:right w:val="nil"/>
            </w:tcBorders>
            <w:shd w:val="clear" w:color="auto" w:fill="auto"/>
            <w:noWrap/>
            <w:vAlign w:val="bottom"/>
            <w:hideMark/>
          </w:tcPr>
          <w:p w14:paraId="0B7703AA" w14:textId="4E410BA8"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0</w:t>
            </w:r>
          </w:p>
        </w:tc>
        <w:tc>
          <w:tcPr>
            <w:tcW w:w="900" w:type="dxa"/>
            <w:tcBorders>
              <w:top w:val="single" w:sz="4" w:space="0" w:color="auto"/>
              <w:left w:val="nil"/>
              <w:bottom w:val="single" w:sz="8" w:space="0" w:color="auto"/>
              <w:right w:val="nil"/>
            </w:tcBorders>
            <w:shd w:val="clear" w:color="auto" w:fill="auto"/>
            <w:noWrap/>
            <w:vAlign w:val="bottom"/>
            <w:hideMark/>
          </w:tcPr>
          <w:p w14:paraId="6FD43A57" w14:textId="48B9C62F"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(1 175 345)</w:t>
            </w:r>
          </w:p>
        </w:tc>
      </w:tr>
      <w:tr w:rsidR="001C3A40" w:rsidRPr="00C72011" w14:paraId="1958223C" w14:textId="77777777" w:rsidTr="00C72011">
        <w:trPr>
          <w:trHeight w:val="240"/>
        </w:trPr>
        <w:tc>
          <w:tcPr>
            <w:tcW w:w="2639" w:type="dxa"/>
            <w:tcBorders>
              <w:top w:val="nil"/>
              <w:left w:val="nil"/>
              <w:bottom w:val="nil"/>
              <w:right w:val="nil"/>
            </w:tcBorders>
            <w:shd w:val="clear" w:color="auto" w:fill="auto"/>
            <w:noWrap/>
            <w:vAlign w:val="bottom"/>
            <w:hideMark/>
          </w:tcPr>
          <w:p w14:paraId="1253D292" w14:textId="77777777" w:rsidR="001C3A40" w:rsidRPr="00C72011" w:rsidRDefault="001C3A40">
            <w:pPr>
              <w:jc w:val="right"/>
              <w:rPr>
                <w:rFonts w:ascii="Cambria" w:hAnsi="Cambria" w:cs="Arial"/>
                <w:b/>
                <w:bCs/>
                <w:color w:val="000000"/>
                <w:sz w:val="14"/>
                <w:szCs w:val="14"/>
              </w:rPr>
            </w:pPr>
          </w:p>
        </w:tc>
        <w:tc>
          <w:tcPr>
            <w:tcW w:w="839" w:type="dxa"/>
            <w:tcBorders>
              <w:top w:val="nil"/>
              <w:left w:val="nil"/>
              <w:bottom w:val="nil"/>
              <w:right w:val="nil"/>
            </w:tcBorders>
            <w:shd w:val="clear" w:color="auto" w:fill="auto"/>
            <w:noWrap/>
            <w:vAlign w:val="bottom"/>
            <w:hideMark/>
          </w:tcPr>
          <w:p w14:paraId="34C1D5C0" w14:textId="77777777" w:rsidR="001C3A40" w:rsidRPr="00C72011" w:rsidRDefault="001C3A40">
            <w:pPr>
              <w:rPr>
                <w:sz w:val="14"/>
                <w:szCs w:val="14"/>
              </w:rPr>
            </w:pPr>
          </w:p>
        </w:tc>
        <w:tc>
          <w:tcPr>
            <w:tcW w:w="959" w:type="dxa"/>
            <w:tcBorders>
              <w:top w:val="nil"/>
              <w:left w:val="nil"/>
              <w:bottom w:val="nil"/>
              <w:right w:val="nil"/>
            </w:tcBorders>
            <w:shd w:val="clear" w:color="auto" w:fill="auto"/>
            <w:noWrap/>
            <w:vAlign w:val="bottom"/>
            <w:hideMark/>
          </w:tcPr>
          <w:p w14:paraId="0B31EEC2" w14:textId="77777777" w:rsidR="001C3A40" w:rsidRPr="00C72011" w:rsidRDefault="001C3A40">
            <w:pPr>
              <w:rPr>
                <w:sz w:val="14"/>
                <w:szCs w:val="14"/>
              </w:rPr>
            </w:pPr>
          </w:p>
        </w:tc>
        <w:tc>
          <w:tcPr>
            <w:tcW w:w="1259" w:type="dxa"/>
            <w:tcBorders>
              <w:top w:val="nil"/>
              <w:left w:val="nil"/>
              <w:bottom w:val="nil"/>
              <w:right w:val="nil"/>
            </w:tcBorders>
            <w:shd w:val="clear" w:color="auto" w:fill="auto"/>
            <w:noWrap/>
            <w:vAlign w:val="bottom"/>
            <w:hideMark/>
          </w:tcPr>
          <w:p w14:paraId="15A1514F" w14:textId="77777777" w:rsidR="001C3A40" w:rsidRPr="00C72011" w:rsidRDefault="001C3A40">
            <w:pPr>
              <w:rPr>
                <w:sz w:val="14"/>
                <w:szCs w:val="14"/>
              </w:rPr>
            </w:pPr>
          </w:p>
        </w:tc>
        <w:tc>
          <w:tcPr>
            <w:tcW w:w="798" w:type="dxa"/>
            <w:tcBorders>
              <w:top w:val="nil"/>
              <w:left w:val="nil"/>
              <w:bottom w:val="nil"/>
              <w:right w:val="nil"/>
            </w:tcBorders>
            <w:shd w:val="clear" w:color="auto" w:fill="auto"/>
            <w:noWrap/>
            <w:vAlign w:val="bottom"/>
            <w:hideMark/>
          </w:tcPr>
          <w:p w14:paraId="68B90C74" w14:textId="77777777" w:rsidR="001C3A40" w:rsidRPr="00C72011" w:rsidRDefault="001C3A40">
            <w:pPr>
              <w:rPr>
                <w:sz w:val="14"/>
                <w:szCs w:val="14"/>
              </w:rPr>
            </w:pPr>
          </w:p>
        </w:tc>
        <w:tc>
          <w:tcPr>
            <w:tcW w:w="1000" w:type="dxa"/>
            <w:tcBorders>
              <w:top w:val="nil"/>
              <w:left w:val="nil"/>
              <w:bottom w:val="nil"/>
              <w:right w:val="nil"/>
            </w:tcBorders>
            <w:shd w:val="clear" w:color="auto" w:fill="auto"/>
            <w:noWrap/>
            <w:vAlign w:val="bottom"/>
            <w:hideMark/>
          </w:tcPr>
          <w:p w14:paraId="1E1FA64B" w14:textId="77777777" w:rsidR="001C3A40" w:rsidRPr="00C72011" w:rsidRDefault="001C3A40">
            <w:pPr>
              <w:rPr>
                <w:sz w:val="14"/>
                <w:szCs w:val="14"/>
              </w:rPr>
            </w:pPr>
          </w:p>
        </w:tc>
        <w:tc>
          <w:tcPr>
            <w:tcW w:w="1318" w:type="dxa"/>
            <w:tcBorders>
              <w:top w:val="nil"/>
              <w:left w:val="nil"/>
              <w:bottom w:val="nil"/>
              <w:right w:val="nil"/>
            </w:tcBorders>
            <w:shd w:val="clear" w:color="auto" w:fill="auto"/>
            <w:noWrap/>
            <w:vAlign w:val="bottom"/>
            <w:hideMark/>
          </w:tcPr>
          <w:p w14:paraId="3F3B5128" w14:textId="77777777" w:rsidR="001C3A40" w:rsidRPr="00C72011" w:rsidRDefault="001C3A40">
            <w:pPr>
              <w:rPr>
                <w:sz w:val="14"/>
                <w:szCs w:val="14"/>
              </w:rPr>
            </w:pPr>
          </w:p>
        </w:tc>
        <w:tc>
          <w:tcPr>
            <w:tcW w:w="900" w:type="dxa"/>
            <w:tcBorders>
              <w:top w:val="nil"/>
              <w:left w:val="nil"/>
              <w:bottom w:val="nil"/>
              <w:right w:val="nil"/>
            </w:tcBorders>
            <w:shd w:val="clear" w:color="auto" w:fill="auto"/>
            <w:noWrap/>
            <w:vAlign w:val="bottom"/>
            <w:hideMark/>
          </w:tcPr>
          <w:p w14:paraId="61A53110" w14:textId="77777777" w:rsidR="001C3A40" w:rsidRPr="00C72011" w:rsidRDefault="001C3A40">
            <w:pPr>
              <w:rPr>
                <w:sz w:val="14"/>
                <w:szCs w:val="14"/>
              </w:rPr>
            </w:pPr>
          </w:p>
        </w:tc>
      </w:tr>
      <w:tr w:rsidR="001C3A40" w:rsidRPr="00C72011" w14:paraId="080F5E08" w14:textId="77777777" w:rsidTr="00C72011">
        <w:trPr>
          <w:trHeight w:val="240"/>
        </w:trPr>
        <w:tc>
          <w:tcPr>
            <w:tcW w:w="2639" w:type="dxa"/>
            <w:tcBorders>
              <w:top w:val="nil"/>
              <w:left w:val="nil"/>
              <w:bottom w:val="nil"/>
              <w:right w:val="nil"/>
            </w:tcBorders>
            <w:shd w:val="clear" w:color="auto" w:fill="auto"/>
            <w:noWrap/>
            <w:vAlign w:val="bottom"/>
            <w:hideMark/>
          </w:tcPr>
          <w:p w14:paraId="283D493B" w14:textId="77777777" w:rsidR="001C3A40" w:rsidRPr="00C72011" w:rsidRDefault="001C3A40">
            <w:pPr>
              <w:rPr>
                <w:rFonts w:ascii="Cambria" w:hAnsi="Cambria" w:cs="Arial"/>
                <w:b/>
                <w:bCs/>
                <w:color w:val="000000"/>
                <w:sz w:val="14"/>
                <w:szCs w:val="14"/>
              </w:rPr>
            </w:pPr>
            <w:r>
              <w:rPr>
                <w:rFonts w:ascii="Cambria" w:hAnsi="Cambria"/>
                <w:b/>
                <w:color w:val="000000"/>
                <w:sz w:val="14"/>
              </w:rPr>
              <w:t>Valeur nette comptable au 31 décembre 2020</w:t>
            </w:r>
          </w:p>
        </w:tc>
        <w:tc>
          <w:tcPr>
            <w:tcW w:w="839" w:type="dxa"/>
            <w:tcBorders>
              <w:top w:val="nil"/>
              <w:left w:val="nil"/>
              <w:bottom w:val="nil"/>
              <w:right w:val="nil"/>
            </w:tcBorders>
            <w:shd w:val="clear" w:color="auto" w:fill="auto"/>
            <w:noWrap/>
            <w:vAlign w:val="bottom"/>
            <w:hideMark/>
          </w:tcPr>
          <w:p w14:paraId="522F1D19" w14:textId="77777777" w:rsidR="001C3A40" w:rsidRPr="00C72011" w:rsidRDefault="001C3A40">
            <w:pPr>
              <w:jc w:val="right"/>
              <w:rPr>
                <w:rFonts w:ascii="Cambria" w:hAnsi="Cambria" w:cs="Arial"/>
                <w:b/>
                <w:bCs/>
                <w:color w:val="000000"/>
                <w:sz w:val="14"/>
                <w:szCs w:val="14"/>
              </w:rPr>
            </w:pPr>
            <w:r>
              <w:rPr>
                <w:rFonts w:ascii="Cambria" w:hAnsi="Cambria"/>
                <w:b/>
                <w:color w:val="000000"/>
                <w:sz w:val="14"/>
              </w:rPr>
              <w:t>709 941</w:t>
            </w:r>
          </w:p>
        </w:tc>
        <w:tc>
          <w:tcPr>
            <w:tcW w:w="959" w:type="dxa"/>
            <w:tcBorders>
              <w:top w:val="nil"/>
              <w:left w:val="nil"/>
              <w:bottom w:val="nil"/>
              <w:right w:val="nil"/>
            </w:tcBorders>
            <w:shd w:val="clear" w:color="auto" w:fill="auto"/>
            <w:noWrap/>
            <w:vAlign w:val="bottom"/>
            <w:hideMark/>
          </w:tcPr>
          <w:p w14:paraId="747C188D" w14:textId="77777777" w:rsidR="001C3A40" w:rsidRPr="00C72011" w:rsidRDefault="001C3A40">
            <w:pPr>
              <w:jc w:val="right"/>
              <w:rPr>
                <w:rFonts w:ascii="Cambria" w:hAnsi="Cambria" w:cs="Arial"/>
                <w:b/>
                <w:bCs/>
                <w:color w:val="000000"/>
                <w:sz w:val="14"/>
                <w:szCs w:val="14"/>
              </w:rPr>
            </w:pPr>
            <w:r>
              <w:rPr>
                <w:rFonts w:ascii="Cambria" w:hAnsi="Cambria"/>
                <w:b/>
                <w:color w:val="000000"/>
                <w:sz w:val="14"/>
              </w:rPr>
              <w:t>192 165</w:t>
            </w:r>
          </w:p>
        </w:tc>
        <w:tc>
          <w:tcPr>
            <w:tcW w:w="1259" w:type="dxa"/>
            <w:tcBorders>
              <w:top w:val="nil"/>
              <w:left w:val="nil"/>
              <w:bottom w:val="nil"/>
              <w:right w:val="nil"/>
            </w:tcBorders>
            <w:shd w:val="clear" w:color="auto" w:fill="auto"/>
            <w:noWrap/>
            <w:vAlign w:val="bottom"/>
            <w:hideMark/>
          </w:tcPr>
          <w:p w14:paraId="57C6DC92" w14:textId="77777777" w:rsidR="001C3A40" w:rsidRPr="00C72011" w:rsidRDefault="001C3A40">
            <w:pPr>
              <w:jc w:val="right"/>
              <w:rPr>
                <w:rFonts w:ascii="Cambria" w:hAnsi="Cambria" w:cs="Arial"/>
                <w:b/>
                <w:bCs/>
                <w:color w:val="000000"/>
                <w:sz w:val="14"/>
                <w:szCs w:val="14"/>
              </w:rPr>
            </w:pPr>
            <w:r>
              <w:rPr>
                <w:rFonts w:ascii="Cambria" w:hAnsi="Cambria"/>
                <w:b/>
                <w:color w:val="000000"/>
                <w:sz w:val="14"/>
              </w:rPr>
              <w:t>116 955</w:t>
            </w:r>
          </w:p>
        </w:tc>
        <w:tc>
          <w:tcPr>
            <w:tcW w:w="798" w:type="dxa"/>
            <w:tcBorders>
              <w:top w:val="nil"/>
              <w:left w:val="nil"/>
              <w:bottom w:val="nil"/>
              <w:right w:val="nil"/>
            </w:tcBorders>
            <w:shd w:val="clear" w:color="auto" w:fill="auto"/>
            <w:noWrap/>
            <w:vAlign w:val="bottom"/>
            <w:hideMark/>
          </w:tcPr>
          <w:p w14:paraId="0308B6EB" w14:textId="77777777" w:rsidR="001C3A40" w:rsidRPr="00C72011" w:rsidRDefault="001C3A40">
            <w:pPr>
              <w:jc w:val="right"/>
              <w:rPr>
                <w:rFonts w:ascii="Cambria" w:hAnsi="Cambria" w:cs="Arial"/>
                <w:b/>
                <w:bCs/>
                <w:color w:val="000000"/>
                <w:sz w:val="14"/>
                <w:szCs w:val="14"/>
              </w:rPr>
            </w:pPr>
            <w:r>
              <w:rPr>
                <w:rFonts w:ascii="Cambria" w:hAnsi="Cambria"/>
                <w:b/>
                <w:color w:val="000000"/>
                <w:sz w:val="14"/>
              </w:rPr>
              <w:t>671 890</w:t>
            </w:r>
          </w:p>
        </w:tc>
        <w:tc>
          <w:tcPr>
            <w:tcW w:w="1000" w:type="dxa"/>
            <w:tcBorders>
              <w:top w:val="nil"/>
              <w:left w:val="nil"/>
              <w:bottom w:val="nil"/>
              <w:right w:val="nil"/>
            </w:tcBorders>
            <w:shd w:val="clear" w:color="auto" w:fill="auto"/>
            <w:noWrap/>
            <w:vAlign w:val="bottom"/>
            <w:hideMark/>
          </w:tcPr>
          <w:p w14:paraId="005DFBBD" w14:textId="77777777" w:rsidR="001C3A40" w:rsidRPr="00C72011" w:rsidRDefault="001C3A40">
            <w:pPr>
              <w:jc w:val="right"/>
              <w:rPr>
                <w:rFonts w:ascii="Cambria" w:hAnsi="Cambria" w:cs="Arial"/>
                <w:b/>
                <w:bCs/>
                <w:color w:val="000000"/>
                <w:sz w:val="14"/>
                <w:szCs w:val="14"/>
              </w:rPr>
            </w:pPr>
            <w:r>
              <w:rPr>
                <w:rFonts w:ascii="Cambria" w:hAnsi="Cambria"/>
                <w:b/>
                <w:color w:val="000000"/>
                <w:sz w:val="14"/>
              </w:rPr>
              <w:t>196 874</w:t>
            </w:r>
          </w:p>
        </w:tc>
        <w:tc>
          <w:tcPr>
            <w:tcW w:w="1318" w:type="dxa"/>
            <w:tcBorders>
              <w:top w:val="nil"/>
              <w:left w:val="nil"/>
              <w:bottom w:val="nil"/>
              <w:right w:val="nil"/>
            </w:tcBorders>
            <w:shd w:val="clear" w:color="auto" w:fill="auto"/>
            <w:noWrap/>
            <w:vAlign w:val="bottom"/>
            <w:hideMark/>
          </w:tcPr>
          <w:p w14:paraId="308F3524" w14:textId="77777777" w:rsidR="001C3A40" w:rsidRPr="00C72011" w:rsidRDefault="001C3A40">
            <w:pPr>
              <w:jc w:val="right"/>
              <w:rPr>
                <w:rFonts w:ascii="Cambria" w:hAnsi="Cambria" w:cs="Arial"/>
                <w:b/>
                <w:bCs/>
                <w:color w:val="000000"/>
                <w:sz w:val="14"/>
                <w:szCs w:val="14"/>
              </w:rPr>
            </w:pPr>
            <w:r>
              <w:rPr>
                <w:rFonts w:ascii="Cambria" w:hAnsi="Cambria"/>
                <w:b/>
                <w:color w:val="000000"/>
                <w:sz w:val="14"/>
              </w:rPr>
              <w:t>73 285</w:t>
            </w:r>
          </w:p>
        </w:tc>
        <w:tc>
          <w:tcPr>
            <w:tcW w:w="900" w:type="dxa"/>
            <w:tcBorders>
              <w:top w:val="nil"/>
              <w:left w:val="nil"/>
              <w:bottom w:val="nil"/>
              <w:right w:val="nil"/>
            </w:tcBorders>
            <w:shd w:val="clear" w:color="auto" w:fill="auto"/>
            <w:noWrap/>
            <w:vAlign w:val="bottom"/>
            <w:hideMark/>
          </w:tcPr>
          <w:p w14:paraId="00F66863" w14:textId="77777777" w:rsidR="001C3A40" w:rsidRPr="00C72011" w:rsidRDefault="001C3A40">
            <w:pPr>
              <w:jc w:val="right"/>
              <w:rPr>
                <w:rFonts w:ascii="Cambria" w:hAnsi="Cambria" w:cs="Arial"/>
                <w:b/>
                <w:bCs/>
                <w:color w:val="000000"/>
                <w:sz w:val="14"/>
                <w:szCs w:val="14"/>
              </w:rPr>
            </w:pPr>
            <w:r>
              <w:rPr>
                <w:rFonts w:ascii="Cambria" w:hAnsi="Cambria"/>
                <w:b/>
                <w:color w:val="000000"/>
                <w:sz w:val="14"/>
              </w:rPr>
              <w:t>1 961 109</w:t>
            </w:r>
          </w:p>
        </w:tc>
      </w:tr>
      <w:tr w:rsidR="00C72011" w:rsidRPr="00C72011" w14:paraId="7B3DF07E" w14:textId="77777777" w:rsidTr="00C72011">
        <w:trPr>
          <w:trHeight w:val="240"/>
        </w:trPr>
        <w:tc>
          <w:tcPr>
            <w:tcW w:w="2639" w:type="dxa"/>
            <w:tcBorders>
              <w:top w:val="nil"/>
              <w:left w:val="nil"/>
              <w:bottom w:val="nil"/>
              <w:right w:val="nil"/>
            </w:tcBorders>
            <w:shd w:val="clear" w:color="auto" w:fill="auto"/>
            <w:noWrap/>
            <w:vAlign w:val="bottom"/>
            <w:hideMark/>
          </w:tcPr>
          <w:p w14:paraId="509717FF" w14:textId="77777777" w:rsidR="00C72011" w:rsidRPr="00C72011" w:rsidRDefault="00C72011" w:rsidP="00C72011">
            <w:pPr>
              <w:rPr>
                <w:rFonts w:ascii="Cambria" w:hAnsi="Cambria" w:cs="Arial"/>
                <w:b/>
                <w:bCs/>
                <w:color w:val="000000"/>
                <w:sz w:val="14"/>
                <w:szCs w:val="14"/>
              </w:rPr>
            </w:pPr>
            <w:r>
              <w:rPr>
                <w:rFonts w:ascii="Cambria" w:hAnsi="Cambria"/>
                <w:b/>
                <w:color w:val="000000"/>
                <w:sz w:val="14"/>
              </w:rPr>
              <w:t>Valeur nette comptable au 30 juin 2021</w:t>
            </w:r>
          </w:p>
        </w:tc>
        <w:tc>
          <w:tcPr>
            <w:tcW w:w="839" w:type="dxa"/>
            <w:tcBorders>
              <w:top w:val="nil"/>
              <w:left w:val="nil"/>
              <w:bottom w:val="nil"/>
              <w:right w:val="nil"/>
            </w:tcBorders>
            <w:shd w:val="clear" w:color="auto" w:fill="auto"/>
            <w:noWrap/>
            <w:vAlign w:val="bottom"/>
            <w:hideMark/>
          </w:tcPr>
          <w:p w14:paraId="4F8074BB" w14:textId="129E5229"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90 561</w:t>
            </w:r>
          </w:p>
        </w:tc>
        <w:tc>
          <w:tcPr>
            <w:tcW w:w="959" w:type="dxa"/>
            <w:tcBorders>
              <w:top w:val="nil"/>
              <w:left w:val="nil"/>
              <w:bottom w:val="nil"/>
              <w:right w:val="nil"/>
            </w:tcBorders>
            <w:shd w:val="clear" w:color="auto" w:fill="auto"/>
            <w:noWrap/>
            <w:vAlign w:val="bottom"/>
            <w:hideMark/>
          </w:tcPr>
          <w:p w14:paraId="0E0AF910" w14:textId="6C3DA3C9"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222 158</w:t>
            </w:r>
          </w:p>
        </w:tc>
        <w:tc>
          <w:tcPr>
            <w:tcW w:w="1259" w:type="dxa"/>
            <w:tcBorders>
              <w:top w:val="nil"/>
              <w:left w:val="nil"/>
              <w:bottom w:val="nil"/>
              <w:right w:val="nil"/>
            </w:tcBorders>
            <w:shd w:val="clear" w:color="auto" w:fill="auto"/>
            <w:noWrap/>
            <w:vAlign w:val="bottom"/>
            <w:hideMark/>
          </w:tcPr>
          <w:p w14:paraId="56018718" w14:textId="7744466C"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118 455</w:t>
            </w:r>
          </w:p>
        </w:tc>
        <w:tc>
          <w:tcPr>
            <w:tcW w:w="798" w:type="dxa"/>
            <w:tcBorders>
              <w:top w:val="nil"/>
              <w:left w:val="nil"/>
              <w:bottom w:val="nil"/>
              <w:right w:val="nil"/>
            </w:tcBorders>
            <w:shd w:val="clear" w:color="auto" w:fill="auto"/>
            <w:noWrap/>
            <w:vAlign w:val="bottom"/>
            <w:hideMark/>
          </w:tcPr>
          <w:p w14:paraId="13A88AF9" w14:textId="0E3757D1"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666 159</w:t>
            </w:r>
          </w:p>
        </w:tc>
        <w:tc>
          <w:tcPr>
            <w:tcW w:w="1000" w:type="dxa"/>
            <w:tcBorders>
              <w:top w:val="nil"/>
              <w:left w:val="nil"/>
              <w:bottom w:val="nil"/>
              <w:right w:val="nil"/>
            </w:tcBorders>
            <w:shd w:val="clear" w:color="auto" w:fill="auto"/>
            <w:noWrap/>
            <w:vAlign w:val="bottom"/>
            <w:hideMark/>
          </w:tcPr>
          <w:p w14:paraId="43E83179" w14:textId="71C572BB"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228 774</w:t>
            </w:r>
          </w:p>
        </w:tc>
        <w:tc>
          <w:tcPr>
            <w:tcW w:w="1318" w:type="dxa"/>
            <w:tcBorders>
              <w:top w:val="nil"/>
              <w:left w:val="nil"/>
              <w:bottom w:val="nil"/>
              <w:right w:val="nil"/>
            </w:tcBorders>
            <w:shd w:val="clear" w:color="auto" w:fill="auto"/>
            <w:noWrap/>
            <w:vAlign w:val="bottom"/>
            <w:hideMark/>
          </w:tcPr>
          <w:p w14:paraId="3DBEBF95" w14:textId="376F7C11"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1 978</w:t>
            </w:r>
          </w:p>
        </w:tc>
        <w:tc>
          <w:tcPr>
            <w:tcW w:w="900" w:type="dxa"/>
            <w:tcBorders>
              <w:top w:val="nil"/>
              <w:left w:val="nil"/>
              <w:bottom w:val="nil"/>
              <w:right w:val="nil"/>
            </w:tcBorders>
            <w:shd w:val="clear" w:color="auto" w:fill="auto"/>
            <w:noWrap/>
            <w:vAlign w:val="bottom"/>
            <w:hideMark/>
          </w:tcPr>
          <w:p w14:paraId="59C87BB0" w14:textId="0F17D512" w:rsidR="00C72011" w:rsidRPr="00C72011" w:rsidRDefault="00C72011" w:rsidP="00C72011">
            <w:pPr>
              <w:jc w:val="right"/>
              <w:rPr>
                <w:rFonts w:ascii="Cambria" w:hAnsi="Cambria" w:cs="Arial"/>
                <w:b/>
                <w:bCs/>
                <w:color w:val="000000"/>
                <w:sz w:val="14"/>
                <w:szCs w:val="14"/>
              </w:rPr>
            </w:pPr>
            <w:r>
              <w:rPr>
                <w:rFonts w:ascii="Cambria" w:hAnsi="Cambria"/>
                <w:b/>
                <w:color w:val="000000"/>
                <w:sz w:val="14"/>
              </w:rPr>
              <w:t>1 328 084</w:t>
            </w:r>
          </w:p>
        </w:tc>
      </w:tr>
    </w:tbl>
    <w:p w14:paraId="514A5157" w14:textId="52AD361B" w:rsidR="00715B6C" w:rsidRDefault="00715B6C" w:rsidP="00836C49">
      <w:pPr>
        <w:spacing w:after="200" w:line="276" w:lineRule="auto"/>
        <w:ind w:left="-426"/>
        <w:jc w:val="center"/>
        <w:rPr>
          <w:rFonts w:ascii="Cambria" w:hAnsi="Cambria"/>
          <w:sz w:val="22"/>
          <w:szCs w:val="22"/>
        </w:rPr>
      </w:pPr>
    </w:p>
    <w:p w14:paraId="6565BA7E" w14:textId="061FD252" w:rsidR="00B20438" w:rsidRDefault="00B20438" w:rsidP="003F08A6">
      <w:pPr>
        <w:spacing w:after="200" w:line="276" w:lineRule="auto"/>
        <w:jc w:val="both"/>
        <w:rPr>
          <w:rFonts w:ascii="Cambria" w:hAnsi="Cambria"/>
          <w:sz w:val="22"/>
          <w:szCs w:val="22"/>
        </w:rPr>
      </w:pPr>
      <w:r>
        <w:rPr>
          <w:rFonts w:ascii="Cambria" w:hAnsi="Cambria"/>
          <w:sz w:val="22"/>
        </w:rPr>
        <w:t>Le poste « Immeubles » comprend les valeurs d'acquisition des propriétés et des terrains où l'activité est exercée.</w:t>
      </w:r>
    </w:p>
    <w:p w14:paraId="0AB05CAD" w14:textId="4EAA60D8" w:rsidR="00B20438" w:rsidRDefault="00B20438" w:rsidP="003F08A6">
      <w:pPr>
        <w:spacing w:after="200" w:line="276" w:lineRule="auto"/>
        <w:jc w:val="both"/>
        <w:rPr>
          <w:rFonts w:ascii="Cambria" w:hAnsi="Cambria"/>
          <w:sz w:val="22"/>
          <w:szCs w:val="22"/>
        </w:rPr>
      </w:pPr>
      <w:r>
        <w:rPr>
          <w:rFonts w:ascii="Cambria" w:hAnsi="Cambria"/>
          <w:sz w:val="22"/>
        </w:rPr>
        <w:t>Le poste « Installations techniques, matériels et outillages » concerne l'engagement de frais relatifs aux installations techniques présentes dans les sièges sociaux et dans les différents points de vente et bureaux logistiques.</w:t>
      </w:r>
    </w:p>
    <w:p w14:paraId="2AE017B7" w14:textId="77777777" w:rsidR="00F110F9" w:rsidRPr="00F110F9" w:rsidRDefault="00F110F9" w:rsidP="00F110F9">
      <w:pPr>
        <w:spacing w:after="200" w:line="276" w:lineRule="auto"/>
        <w:jc w:val="both"/>
        <w:rPr>
          <w:rFonts w:ascii="Cambria" w:hAnsi="Cambria"/>
          <w:sz w:val="22"/>
          <w:szCs w:val="22"/>
        </w:rPr>
      </w:pPr>
      <w:r>
        <w:rPr>
          <w:rFonts w:ascii="Cambria" w:hAnsi="Cambria"/>
          <w:sz w:val="22"/>
        </w:rPr>
        <w:t>Le poste « Équipements industriels et commerciaux » concerne principalement les coûts soutenus pour l'installation des nouveaux points de vente.</w:t>
      </w:r>
    </w:p>
    <w:p w14:paraId="71FA8A2A" w14:textId="77777777" w:rsidR="004016F5" w:rsidRDefault="004016F5" w:rsidP="004016F5">
      <w:pPr>
        <w:spacing w:after="200" w:line="276" w:lineRule="auto"/>
        <w:jc w:val="both"/>
        <w:rPr>
          <w:rFonts w:ascii="Cambria" w:hAnsi="Cambria"/>
          <w:sz w:val="22"/>
          <w:szCs w:val="22"/>
        </w:rPr>
      </w:pPr>
      <w:r>
        <w:rPr>
          <w:rFonts w:ascii="Cambria" w:hAnsi="Cambria"/>
          <w:sz w:val="22"/>
        </w:rPr>
        <w:t>Le poste « Améliorations locatives » est représentatif de certains frais d'aménagement des points de vente, engagés sur des biens de tiers.</w:t>
      </w:r>
    </w:p>
    <w:p w14:paraId="3393606C" w14:textId="77777777" w:rsidR="00F110F9" w:rsidRDefault="00F110F9" w:rsidP="008A28F5">
      <w:pPr>
        <w:spacing w:line="276" w:lineRule="auto"/>
        <w:jc w:val="both"/>
        <w:rPr>
          <w:rFonts w:ascii="Cambria" w:hAnsi="Cambria"/>
          <w:sz w:val="22"/>
          <w:szCs w:val="22"/>
        </w:rPr>
      </w:pPr>
      <w:r>
        <w:rPr>
          <w:rFonts w:ascii="Cambria" w:hAnsi="Cambria"/>
          <w:sz w:val="22"/>
        </w:rPr>
        <w:lastRenderedPageBreak/>
        <w:t>Le poste « Autres actifs » concerne les actifs résiduels qui produisent des avantages répétés (par exemple, le mobilier et l'ameublement, les machines de bureau, les téléphones) fonctionnels à l'aménagement et à l'exploitation des points de vente.</w:t>
      </w:r>
    </w:p>
    <w:p w14:paraId="37E6F01E" w14:textId="77777777" w:rsidR="00C74F27" w:rsidRPr="00F110F9" w:rsidRDefault="00C74F27" w:rsidP="008A28F5">
      <w:pPr>
        <w:spacing w:line="276" w:lineRule="auto"/>
        <w:jc w:val="both"/>
        <w:rPr>
          <w:rFonts w:ascii="Cambria" w:hAnsi="Cambria"/>
          <w:sz w:val="22"/>
          <w:szCs w:val="22"/>
        </w:rPr>
      </w:pPr>
      <w:r>
        <w:rPr>
          <w:rFonts w:ascii="Cambria" w:hAnsi="Cambria"/>
          <w:sz w:val="22"/>
        </w:rPr>
        <w:t>Le poste « Actifs en projet et avances » concerne les avances versées pour la fourniture de mobilier non encore livré à la fin de la période.</w:t>
      </w:r>
    </w:p>
    <w:p w14:paraId="3196836B" w14:textId="6FA85E26" w:rsidR="003F08A6" w:rsidRPr="00860026" w:rsidRDefault="003F08A6" w:rsidP="008A28F5">
      <w:pPr>
        <w:spacing w:line="276" w:lineRule="auto"/>
        <w:jc w:val="both"/>
        <w:rPr>
          <w:rFonts w:ascii="Cambria" w:hAnsi="Cambria"/>
          <w:sz w:val="22"/>
          <w:szCs w:val="22"/>
        </w:rPr>
      </w:pPr>
      <w:r>
        <w:rPr>
          <w:rFonts w:ascii="Cambria" w:hAnsi="Cambria"/>
          <w:sz w:val="22"/>
        </w:rPr>
        <w:t xml:space="preserve">Les investissements réalisés par les sociétés du Groupe au cours de la période, d'un montant de 122 000 euros, concernent principalement l'achat de nouvelles installations et machines, d'autres actifs et l'amélioration d'actifs appartenant à des tiers. Les diminutions, </w:t>
      </w:r>
      <w:proofErr w:type="gramStart"/>
      <w:r>
        <w:rPr>
          <w:rFonts w:ascii="Cambria" w:hAnsi="Cambria"/>
          <w:sz w:val="22"/>
        </w:rPr>
        <w:t>par contre</w:t>
      </w:r>
      <w:proofErr w:type="gramEnd"/>
      <w:r>
        <w:rPr>
          <w:rFonts w:ascii="Cambria" w:hAnsi="Cambria"/>
          <w:sz w:val="22"/>
        </w:rPr>
        <w:t xml:space="preserve">, se réfèrent principalement à la vente de l'immeuble situé à Monopoli, via </w:t>
      </w:r>
      <w:proofErr w:type="spellStart"/>
      <w:r>
        <w:rPr>
          <w:rFonts w:ascii="Cambria" w:hAnsi="Cambria"/>
          <w:sz w:val="22"/>
        </w:rPr>
        <w:t>Baione</w:t>
      </w:r>
      <w:proofErr w:type="spellEnd"/>
      <w:r>
        <w:rPr>
          <w:rFonts w:ascii="Cambria" w:hAnsi="Cambria"/>
          <w:sz w:val="22"/>
        </w:rPr>
        <w:t xml:space="preserve"> 216 à la société liée Horizon.</w:t>
      </w:r>
    </w:p>
    <w:p w14:paraId="763C7583" w14:textId="7952203F" w:rsidR="003F08A6" w:rsidRDefault="003F08A6" w:rsidP="008A28F5">
      <w:pPr>
        <w:spacing w:line="276" w:lineRule="auto"/>
        <w:jc w:val="both"/>
        <w:rPr>
          <w:rFonts w:ascii="Cambria" w:hAnsi="Cambria"/>
          <w:sz w:val="22"/>
          <w:szCs w:val="22"/>
        </w:rPr>
      </w:pPr>
      <w:r>
        <w:rPr>
          <w:rFonts w:ascii="Cambria" w:hAnsi="Cambria"/>
          <w:sz w:val="22"/>
        </w:rPr>
        <w:t>Il convient de noter que les immobilisations corporelles n'ont pas fait l'objet de réductions de valeur au cours de l'exercice écoulé et n'ont pas présenté d'indicateurs de dépréciation.</w:t>
      </w:r>
    </w:p>
    <w:p w14:paraId="5EAC12A9" w14:textId="77777777" w:rsidR="00914F5D" w:rsidRDefault="00914F5D" w:rsidP="008A28F5">
      <w:pPr>
        <w:spacing w:line="276" w:lineRule="auto"/>
        <w:jc w:val="both"/>
        <w:rPr>
          <w:rFonts w:ascii="Cambria" w:hAnsi="Cambria"/>
          <w:sz w:val="22"/>
          <w:szCs w:val="22"/>
        </w:rPr>
      </w:pPr>
    </w:p>
    <w:p w14:paraId="0E8E510C" w14:textId="77777777" w:rsidR="00491766" w:rsidRDefault="00491766" w:rsidP="008A28F5">
      <w:pPr>
        <w:pStyle w:val="Titolo2"/>
        <w:numPr>
          <w:ilvl w:val="0"/>
          <w:numId w:val="6"/>
        </w:numPr>
        <w:spacing w:line="240" w:lineRule="auto"/>
        <w:ind w:left="357" w:right="0" w:hanging="357"/>
        <w:jc w:val="left"/>
        <w:rPr>
          <w:i w:val="0"/>
        </w:rPr>
      </w:pPr>
      <w:bookmarkStart w:id="65" w:name="_Toc112768631"/>
      <w:r>
        <w:rPr>
          <w:i w:val="0"/>
        </w:rPr>
        <w:t>Immobilisations incorporelles</w:t>
      </w:r>
      <w:bookmarkEnd w:id="65"/>
    </w:p>
    <w:p w14:paraId="04C8008C" w14:textId="77777777" w:rsidR="00491766" w:rsidRDefault="00491766" w:rsidP="008A28F5"/>
    <w:p w14:paraId="5CA84824" w14:textId="75296D9A" w:rsidR="00C114EC" w:rsidRDefault="00C114EC" w:rsidP="008A28F5">
      <w:pPr>
        <w:spacing w:line="276" w:lineRule="auto"/>
        <w:jc w:val="both"/>
        <w:rPr>
          <w:rFonts w:ascii="Cambria" w:hAnsi="Cambria"/>
          <w:sz w:val="22"/>
          <w:szCs w:val="22"/>
        </w:rPr>
      </w:pPr>
      <w:r>
        <w:rPr>
          <w:rFonts w:ascii="Cambria" w:hAnsi="Cambria"/>
          <w:sz w:val="22"/>
        </w:rPr>
        <w:t>La ventilation du poste « Immobilisations incorporelles » au 30 juin 2021, par rapport aux mêmes valeurs au 31 décembre 2020, est présentée ci-dessous :</w:t>
      </w:r>
    </w:p>
    <w:tbl>
      <w:tblPr>
        <w:tblW w:w="5000" w:type="pct"/>
        <w:tblCellMar>
          <w:left w:w="70" w:type="dxa"/>
          <w:right w:w="70" w:type="dxa"/>
        </w:tblCellMar>
        <w:tblLook w:val="04A0" w:firstRow="1" w:lastRow="0" w:firstColumn="1" w:lastColumn="0" w:noHBand="0" w:noVBand="1"/>
      </w:tblPr>
      <w:tblGrid>
        <w:gridCol w:w="4136"/>
        <w:gridCol w:w="1189"/>
        <w:gridCol w:w="896"/>
        <w:gridCol w:w="790"/>
        <w:gridCol w:w="1729"/>
        <w:gridCol w:w="898"/>
      </w:tblGrid>
      <w:tr w:rsidR="001C3A40" w14:paraId="61EC7287" w14:textId="77777777" w:rsidTr="001C3A40">
        <w:trPr>
          <w:trHeight w:val="735"/>
        </w:trPr>
        <w:tc>
          <w:tcPr>
            <w:tcW w:w="2145" w:type="pct"/>
            <w:tcBorders>
              <w:top w:val="single" w:sz="4" w:space="0" w:color="0070C0"/>
              <w:left w:val="nil"/>
              <w:bottom w:val="single" w:sz="8" w:space="0" w:color="0070C0"/>
              <w:right w:val="nil"/>
            </w:tcBorders>
            <w:shd w:val="clear" w:color="auto" w:fill="auto"/>
            <w:noWrap/>
            <w:vAlign w:val="bottom"/>
            <w:hideMark/>
          </w:tcPr>
          <w:p w14:paraId="5FBFB685" w14:textId="77777777" w:rsidR="001C3A40" w:rsidRDefault="001C3A40" w:rsidP="008A28F5">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617" w:type="pct"/>
            <w:tcBorders>
              <w:top w:val="single" w:sz="4" w:space="0" w:color="0070C0"/>
              <w:left w:val="nil"/>
              <w:bottom w:val="single" w:sz="8" w:space="0" w:color="0070C0"/>
              <w:right w:val="nil"/>
            </w:tcBorders>
            <w:shd w:val="clear" w:color="auto" w:fill="auto"/>
            <w:vAlign w:val="center"/>
            <w:hideMark/>
          </w:tcPr>
          <w:p w14:paraId="58C9FF2E" w14:textId="77777777" w:rsidR="001C3A40" w:rsidRDefault="001C3A40" w:rsidP="008A28F5">
            <w:pPr>
              <w:jc w:val="center"/>
              <w:rPr>
                <w:rFonts w:ascii="Cambria" w:hAnsi="Cambria" w:cs="Arial"/>
                <w:b/>
                <w:bCs/>
                <w:color w:val="000000"/>
                <w:sz w:val="18"/>
                <w:szCs w:val="18"/>
              </w:rPr>
            </w:pPr>
            <w:r>
              <w:rPr>
                <w:rFonts w:ascii="Cambria" w:hAnsi="Cambria"/>
                <w:b/>
                <w:color w:val="000000"/>
                <w:sz w:val="18"/>
              </w:rPr>
              <w:t>Applications logicielles</w:t>
            </w:r>
          </w:p>
        </w:tc>
        <w:tc>
          <w:tcPr>
            <w:tcW w:w="465" w:type="pct"/>
            <w:tcBorders>
              <w:top w:val="single" w:sz="4" w:space="0" w:color="0070C0"/>
              <w:left w:val="nil"/>
              <w:bottom w:val="single" w:sz="8" w:space="0" w:color="0070C0"/>
              <w:right w:val="nil"/>
            </w:tcBorders>
            <w:shd w:val="clear" w:color="auto" w:fill="auto"/>
            <w:vAlign w:val="center"/>
            <w:hideMark/>
          </w:tcPr>
          <w:p w14:paraId="584F7302" w14:textId="77777777" w:rsidR="001C3A40" w:rsidRDefault="001C3A40" w:rsidP="008A28F5">
            <w:pPr>
              <w:jc w:val="center"/>
              <w:rPr>
                <w:rFonts w:ascii="Cambria" w:hAnsi="Cambria" w:cs="Arial"/>
                <w:b/>
                <w:bCs/>
                <w:color w:val="000000"/>
                <w:sz w:val="18"/>
                <w:szCs w:val="18"/>
              </w:rPr>
            </w:pPr>
            <w:r>
              <w:rPr>
                <w:rFonts w:ascii="Cambria" w:hAnsi="Cambria"/>
                <w:b/>
                <w:color w:val="000000"/>
                <w:sz w:val="18"/>
              </w:rPr>
              <w:t>Site web</w:t>
            </w:r>
          </w:p>
        </w:tc>
        <w:tc>
          <w:tcPr>
            <w:tcW w:w="409" w:type="pct"/>
            <w:tcBorders>
              <w:top w:val="single" w:sz="4" w:space="0" w:color="0070C0"/>
              <w:left w:val="nil"/>
              <w:bottom w:val="single" w:sz="8" w:space="0" w:color="0070C0"/>
              <w:right w:val="nil"/>
            </w:tcBorders>
            <w:shd w:val="clear" w:color="auto" w:fill="auto"/>
            <w:vAlign w:val="center"/>
            <w:hideMark/>
          </w:tcPr>
          <w:p w14:paraId="7AFBF1C2" w14:textId="77777777" w:rsidR="001C3A40" w:rsidRDefault="001C3A40" w:rsidP="008A28F5">
            <w:pPr>
              <w:jc w:val="center"/>
              <w:rPr>
                <w:rFonts w:ascii="Cambria" w:hAnsi="Cambria" w:cs="Arial"/>
                <w:b/>
                <w:bCs/>
                <w:color w:val="000000"/>
                <w:sz w:val="18"/>
                <w:szCs w:val="18"/>
              </w:rPr>
            </w:pPr>
            <w:r>
              <w:rPr>
                <w:rFonts w:ascii="Cambria" w:hAnsi="Cambria"/>
                <w:b/>
                <w:color w:val="000000"/>
                <w:sz w:val="18"/>
              </w:rPr>
              <w:t>Noms de marque</w:t>
            </w:r>
          </w:p>
        </w:tc>
        <w:tc>
          <w:tcPr>
            <w:tcW w:w="897" w:type="pct"/>
            <w:tcBorders>
              <w:top w:val="single" w:sz="4" w:space="0" w:color="0070C0"/>
              <w:left w:val="nil"/>
              <w:bottom w:val="single" w:sz="8" w:space="0" w:color="0070C0"/>
              <w:right w:val="nil"/>
            </w:tcBorders>
            <w:shd w:val="clear" w:color="auto" w:fill="auto"/>
            <w:vAlign w:val="center"/>
            <w:hideMark/>
          </w:tcPr>
          <w:p w14:paraId="2E769E1B" w14:textId="77777777" w:rsidR="001C3A40" w:rsidRDefault="001C3A40" w:rsidP="008A28F5">
            <w:pPr>
              <w:jc w:val="center"/>
              <w:rPr>
                <w:rFonts w:ascii="Cambria" w:hAnsi="Cambria" w:cs="Arial"/>
                <w:b/>
                <w:bCs/>
                <w:color w:val="000000"/>
                <w:sz w:val="18"/>
                <w:szCs w:val="18"/>
              </w:rPr>
            </w:pPr>
            <w:r>
              <w:rPr>
                <w:rFonts w:ascii="Cambria" w:hAnsi="Cambria"/>
                <w:b/>
                <w:color w:val="000000"/>
                <w:sz w:val="18"/>
              </w:rPr>
              <w:t>Immobilisations incorporelles en projet</w:t>
            </w:r>
          </w:p>
        </w:tc>
        <w:tc>
          <w:tcPr>
            <w:tcW w:w="466" w:type="pct"/>
            <w:tcBorders>
              <w:top w:val="single" w:sz="4" w:space="0" w:color="0070C0"/>
              <w:left w:val="nil"/>
              <w:bottom w:val="single" w:sz="8" w:space="0" w:color="0070C0"/>
              <w:right w:val="nil"/>
            </w:tcBorders>
            <w:shd w:val="clear" w:color="auto" w:fill="auto"/>
            <w:vAlign w:val="bottom"/>
            <w:hideMark/>
          </w:tcPr>
          <w:p w14:paraId="179C4AC0" w14:textId="77777777" w:rsidR="001C3A40" w:rsidRDefault="001C3A40" w:rsidP="008A28F5">
            <w:pPr>
              <w:jc w:val="center"/>
              <w:rPr>
                <w:rFonts w:ascii="Cambria" w:hAnsi="Cambria" w:cs="Arial"/>
                <w:b/>
                <w:bCs/>
                <w:color w:val="000000"/>
                <w:sz w:val="18"/>
                <w:szCs w:val="18"/>
              </w:rPr>
            </w:pPr>
            <w:r>
              <w:rPr>
                <w:rFonts w:ascii="Cambria" w:hAnsi="Cambria"/>
                <w:b/>
                <w:color w:val="000000"/>
                <w:sz w:val="18"/>
              </w:rPr>
              <w:t>Total</w:t>
            </w:r>
          </w:p>
        </w:tc>
      </w:tr>
      <w:tr w:rsidR="001C3A40" w14:paraId="6985A23F" w14:textId="77777777" w:rsidTr="001C3A40">
        <w:trPr>
          <w:trHeight w:val="240"/>
        </w:trPr>
        <w:tc>
          <w:tcPr>
            <w:tcW w:w="2145" w:type="pct"/>
            <w:tcBorders>
              <w:top w:val="nil"/>
              <w:left w:val="nil"/>
              <w:bottom w:val="nil"/>
              <w:right w:val="nil"/>
            </w:tcBorders>
            <w:shd w:val="clear" w:color="auto" w:fill="auto"/>
            <w:noWrap/>
            <w:vAlign w:val="bottom"/>
            <w:hideMark/>
          </w:tcPr>
          <w:p w14:paraId="46F28986" w14:textId="77777777" w:rsidR="001C3A40" w:rsidRDefault="001C3A40" w:rsidP="008A28F5">
            <w:pPr>
              <w:rPr>
                <w:rFonts w:ascii="Cambria" w:hAnsi="Cambria" w:cs="Arial"/>
                <w:b/>
                <w:bCs/>
                <w:color w:val="000000"/>
                <w:sz w:val="18"/>
                <w:szCs w:val="18"/>
              </w:rPr>
            </w:pPr>
            <w:r>
              <w:rPr>
                <w:rFonts w:ascii="Cambria" w:hAnsi="Cambria"/>
                <w:b/>
                <w:color w:val="000000"/>
                <w:sz w:val="18"/>
              </w:rPr>
              <w:t>Valeur historique au 1er janvier 2021</w:t>
            </w:r>
          </w:p>
        </w:tc>
        <w:tc>
          <w:tcPr>
            <w:tcW w:w="617" w:type="pct"/>
            <w:tcBorders>
              <w:top w:val="nil"/>
              <w:left w:val="nil"/>
              <w:bottom w:val="nil"/>
              <w:right w:val="nil"/>
            </w:tcBorders>
            <w:shd w:val="clear" w:color="auto" w:fill="auto"/>
            <w:noWrap/>
            <w:vAlign w:val="bottom"/>
            <w:hideMark/>
          </w:tcPr>
          <w:p w14:paraId="6192A368" w14:textId="77777777" w:rsidR="001C3A40" w:rsidRDefault="001C3A40" w:rsidP="008A28F5">
            <w:pPr>
              <w:jc w:val="right"/>
              <w:rPr>
                <w:rFonts w:ascii="Cambria" w:hAnsi="Cambria" w:cs="Arial"/>
                <w:color w:val="000000"/>
                <w:sz w:val="18"/>
                <w:szCs w:val="18"/>
              </w:rPr>
            </w:pPr>
            <w:r>
              <w:rPr>
                <w:rFonts w:ascii="Cambria" w:hAnsi="Cambria"/>
                <w:color w:val="000000"/>
                <w:sz w:val="18"/>
              </w:rPr>
              <w:t>14 560</w:t>
            </w:r>
          </w:p>
        </w:tc>
        <w:tc>
          <w:tcPr>
            <w:tcW w:w="465" w:type="pct"/>
            <w:tcBorders>
              <w:top w:val="nil"/>
              <w:left w:val="nil"/>
              <w:bottom w:val="nil"/>
              <w:right w:val="nil"/>
            </w:tcBorders>
            <w:shd w:val="clear" w:color="auto" w:fill="auto"/>
            <w:noWrap/>
            <w:vAlign w:val="bottom"/>
            <w:hideMark/>
          </w:tcPr>
          <w:p w14:paraId="5193C2CB" w14:textId="77777777" w:rsidR="001C3A40" w:rsidRDefault="001C3A40" w:rsidP="008A28F5">
            <w:pPr>
              <w:jc w:val="right"/>
              <w:rPr>
                <w:rFonts w:ascii="Cambria" w:hAnsi="Cambria" w:cs="Arial"/>
                <w:color w:val="000000"/>
                <w:sz w:val="18"/>
                <w:szCs w:val="18"/>
              </w:rPr>
            </w:pPr>
            <w:r>
              <w:rPr>
                <w:rFonts w:ascii="Cambria" w:hAnsi="Cambria"/>
                <w:color w:val="000000"/>
                <w:sz w:val="18"/>
              </w:rPr>
              <w:t>2 912</w:t>
            </w:r>
          </w:p>
        </w:tc>
        <w:tc>
          <w:tcPr>
            <w:tcW w:w="409" w:type="pct"/>
            <w:tcBorders>
              <w:top w:val="nil"/>
              <w:left w:val="nil"/>
              <w:bottom w:val="nil"/>
              <w:right w:val="nil"/>
            </w:tcBorders>
            <w:shd w:val="clear" w:color="auto" w:fill="auto"/>
            <w:noWrap/>
            <w:vAlign w:val="bottom"/>
            <w:hideMark/>
          </w:tcPr>
          <w:p w14:paraId="2CA4C2CF" w14:textId="77777777" w:rsidR="001C3A40" w:rsidRDefault="001C3A40" w:rsidP="008A28F5">
            <w:pPr>
              <w:jc w:val="right"/>
              <w:rPr>
                <w:rFonts w:ascii="Cambria" w:hAnsi="Cambria" w:cs="Arial"/>
                <w:color w:val="000000"/>
                <w:sz w:val="18"/>
                <w:szCs w:val="18"/>
              </w:rPr>
            </w:pPr>
            <w:r>
              <w:rPr>
                <w:rFonts w:ascii="Cambria" w:hAnsi="Cambria"/>
                <w:color w:val="000000"/>
                <w:sz w:val="18"/>
              </w:rPr>
              <w:t>0</w:t>
            </w:r>
          </w:p>
        </w:tc>
        <w:tc>
          <w:tcPr>
            <w:tcW w:w="897" w:type="pct"/>
            <w:tcBorders>
              <w:top w:val="nil"/>
              <w:left w:val="nil"/>
              <w:bottom w:val="nil"/>
              <w:right w:val="nil"/>
            </w:tcBorders>
            <w:shd w:val="clear" w:color="auto" w:fill="auto"/>
            <w:noWrap/>
            <w:vAlign w:val="bottom"/>
            <w:hideMark/>
          </w:tcPr>
          <w:p w14:paraId="47D2499A" w14:textId="77777777" w:rsidR="001C3A40" w:rsidRDefault="001C3A40" w:rsidP="008A28F5">
            <w:pPr>
              <w:jc w:val="right"/>
              <w:rPr>
                <w:rFonts w:ascii="Cambria" w:hAnsi="Cambria" w:cs="Arial"/>
                <w:color w:val="000000"/>
                <w:sz w:val="18"/>
                <w:szCs w:val="18"/>
              </w:rPr>
            </w:pPr>
            <w:r>
              <w:rPr>
                <w:rFonts w:ascii="Cambria" w:hAnsi="Cambria"/>
                <w:color w:val="000000"/>
                <w:sz w:val="18"/>
              </w:rPr>
              <w:t>500</w:t>
            </w:r>
          </w:p>
        </w:tc>
        <w:tc>
          <w:tcPr>
            <w:tcW w:w="466" w:type="pct"/>
            <w:tcBorders>
              <w:top w:val="nil"/>
              <w:left w:val="nil"/>
              <w:bottom w:val="nil"/>
              <w:right w:val="nil"/>
            </w:tcBorders>
            <w:shd w:val="clear" w:color="auto" w:fill="auto"/>
            <w:noWrap/>
            <w:vAlign w:val="bottom"/>
            <w:hideMark/>
          </w:tcPr>
          <w:p w14:paraId="695E80F2"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17 972</w:t>
            </w:r>
          </w:p>
        </w:tc>
      </w:tr>
      <w:tr w:rsidR="001C3A40" w14:paraId="1EC134A0" w14:textId="77777777" w:rsidTr="001C3A40">
        <w:trPr>
          <w:trHeight w:val="240"/>
        </w:trPr>
        <w:tc>
          <w:tcPr>
            <w:tcW w:w="2145" w:type="pct"/>
            <w:tcBorders>
              <w:top w:val="nil"/>
              <w:left w:val="nil"/>
              <w:bottom w:val="nil"/>
              <w:right w:val="nil"/>
            </w:tcBorders>
            <w:shd w:val="clear" w:color="auto" w:fill="auto"/>
            <w:noWrap/>
            <w:vAlign w:val="bottom"/>
            <w:hideMark/>
          </w:tcPr>
          <w:p w14:paraId="46AE3F07" w14:textId="77777777" w:rsidR="001C3A40" w:rsidRDefault="001C3A40" w:rsidP="008A28F5">
            <w:pPr>
              <w:rPr>
                <w:rFonts w:ascii="Cambria" w:hAnsi="Cambria" w:cs="Arial"/>
                <w:color w:val="000000"/>
                <w:sz w:val="18"/>
                <w:szCs w:val="18"/>
              </w:rPr>
            </w:pPr>
            <w:r>
              <w:rPr>
                <w:rFonts w:ascii="Cambria" w:hAnsi="Cambria"/>
                <w:color w:val="000000"/>
                <w:sz w:val="18"/>
              </w:rPr>
              <w:t>Augmentations pour la période</w:t>
            </w:r>
          </w:p>
        </w:tc>
        <w:tc>
          <w:tcPr>
            <w:tcW w:w="617" w:type="pct"/>
            <w:tcBorders>
              <w:top w:val="nil"/>
              <w:left w:val="nil"/>
              <w:bottom w:val="single" w:sz="4" w:space="0" w:color="auto"/>
              <w:right w:val="nil"/>
            </w:tcBorders>
            <w:shd w:val="clear" w:color="auto" w:fill="auto"/>
            <w:noWrap/>
            <w:vAlign w:val="bottom"/>
            <w:hideMark/>
          </w:tcPr>
          <w:p w14:paraId="25B4B7DA" w14:textId="77777777" w:rsidR="001C3A40" w:rsidRDefault="001C3A40" w:rsidP="008A28F5">
            <w:pPr>
              <w:jc w:val="right"/>
              <w:rPr>
                <w:rFonts w:ascii="Cambria" w:hAnsi="Cambria" w:cs="Arial"/>
                <w:color w:val="000000"/>
                <w:sz w:val="18"/>
                <w:szCs w:val="18"/>
              </w:rPr>
            </w:pPr>
            <w:r>
              <w:rPr>
                <w:rFonts w:ascii="Cambria" w:hAnsi="Cambria"/>
                <w:color w:val="000000"/>
                <w:sz w:val="18"/>
              </w:rPr>
              <w:t>5 950</w:t>
            </w:r>
          </w:p>
        </w:tc>
        <w:tc>
          <w:tcPr>
            <w:tcW w:w="465" w:type="pct"/>
            <w:tcBorders>
              <w:top w:val="nil"/>
              <w:left w:val="nil"/>
              <w:bottom w:val="single" w:sz="4" w:space="0" w:color="auto"/>
              <w:right w:val="nil"/>
            </w:tcBorders>
            <w:shd w:val="clear" w:color="auto" w:fill="auto"/>
            <w:noWrap/>
            <w:vAlign w:val="bottom"/>
            <w:hideMark/>
          </w:tcPr>
          <w:p w14:paraId="20FDE48A" w14:textId="77777777" w:rsidR="001C3A40" w:rsidRDefault="001C3A40" w:rsidP="008A28F5">
            <w:pPr>
              <w:jc w:val="right"/>
              <w:rPr>
                <w:rFonts w:ascii="Cambria" w:hAnsi="Cambria" w:cs="Arial"/>
                <w:color w:val="000000"/>
                <w:sz w:val="18"/>
                <w:szCs w:val="18"/>
              </w:rPr>
            </w:pPr>
            <w:r>
              <w:rPr>
                <w:rFonts w:ascii="Cambria" w:hAnsi="Cambria"/>
                <w:color w:val="000000"/>
                <w:sz w:val="18"/>
              </w:rPr>
              <w:t>200</w:t>
            </w:r>
          </w:p>
        </w:tc>
        <w:tc>
          <w:tcPr>
            <w:tcW w:w="409" w:type="pct"/>
            <w:tcBorders>
              <w:top w:val="nil"/>
              <w:left w:val="nil"/>
              <w:bottom w:val="single" w:sz="4" w:space="0" w:color="auto"/>
              <w:right w:val="nil"/>
            </w:tcBorders>
            <w:shd w:val="clear" w:color="auto" w:fill="auto"/>
            <w:noWrap/>
            <w:vAlign w:val="bottom"/>
            <w:hideMark/>
          </w:tcPr>
          <w:p w14:paraId="47353A67" w14:textId="77777777" w:rsidR="001C3A40" w:rsidRDefault="001C3A40" w:rsidP="008A28F5">
            <w:pPr>
              <w:jc w:val="right"/>
              <w:rPr>
                <w:rFonts w:ascii="Cambria" w:hAnsi="Cambria" w:cs="Arial"/>
                <w:color w:val="000000"/>
                <w:sz w:val="18"/>
                <w:szCs w:val="18"/>
              </w:rPr>
            </w:pPr>
            <w:r>
              <w:rPr>
                <w:rFonts w:ascii="Cambria" w:hAnsi="Cambria"/>
                <w:color w:val="000000"/>
                <w:sz w:val="18"/>
              </w:rPr>
              <w:t>5 000</w:t>
            </w:r>
          </w:p>
        </w:tc>
        <w:tc>
          <w:tcPr>
            <w:tcW w:w="897" w:type="pct"/>
            <w:tcBorders>
              <w:top w:val="nil"/>
              <w:left w:val="nil"/>
              <w:bottom w:val="single" w:sz="4" w:space="0" w:color="auto"/>
              <w:right w:val="nil"/>
            </w:tcBorders>
            <w:shd w:val="clear" w:color="auto" w:fill="auto"/>
            <w:noWrap/>
            <w:vAlign w:val="bottom"/>
            <w:hideMark/>
          </w:tcPr>
          <w:p w14:paraId="600E6B11" w14:textId="77777777" w:rsidR="001C3A40" w:rsidRDefault="001C3A40" w:rsidP="008A28F5">
            <w:pPr>
              <w:jc w:val="right"/>
              <w:rPr>
                <w:rFonts w:ascii="Cambria" w:hAnsi="Cambria" w:cs="Arial"/>
                <w:color w:val="000000"/>
                <w:sz w:val="18"/>
                <w:szCs w:val="18"/>
              </w:rPr>
            </w:pPr>
            <w:r>
              <w:rPr>
                <w:rFonts w:ascii="Cambria" w:hAnsi="Cambria"/>
                <w:color w:val="000000"/>
                <w:sz w:val="18"/>
              </w:rPr>
              <w:t>95 750</w:t>
            </w:r>
          </w:p>
        </w:tc>
        <w:tc>
          <w:tcPr>
            <w:tcW w:w="466" w:type="pct"/>
            <w:tcBorders>
              <w:top w:val="nil"/>
              <w:left w:val="nil"/>
              <w:bottom w:val="single" w:sz="4" w:space="0" w:color="auto"/>
              <w:right w:val="nil"/>
            </w:tcBorders>
            <w:shd w:val="clear" w:color="auto" w:fill="auto"/>
            <w:noWrap/>
            <w:vAlign w:val="bottom"/>
            <w:hideMark/>
          </w:tcPr>
          <w:p w14:paraId="242E495D" w14:textId="77777777" w:rsidR="001C3A40" w:rsidRDefault="001C3A40" w:rsidP="008A28F5">
            <w:pPr>
              <w:jc w:val="right"/>
              <w:rPr>
                <w:rFonts w:ascii="Cambria" w:hAnsi="Cambria" w:cs="Arial"/>
                <w:color w:val="000000"/>
                <w:sz w:val="18"/>
                <w:szCs w:val="18"/>
              </w:rPr>
            </w:pPr>
            <w:r>
              <w:rPr>
                <w:rFonts w:ascii="Cambria" w:hAnsi="Cambria"/>
                <w:color w:val="000000"/>
                <w:sz w:val="18"/>
              </w:rPr>
              <w:t>106 900</w:t>
            </w:r>
          </w:p>
        </w:tc>
      </w:tr>
      <w:tr w:rsidR="001C3A40" w14:paraId="04824764" w14:textId="77777777" w:rsidTr="001C3A40">
        <w:trPr>
          <w:trHeight w:val="255"/>
        </w:trPr>
        <w:tc>
          <w:tcPr>
            <w:tcW w:w="2145" w:type="pct"/>
            <w:tcBorders>
              <w:top w:val="nil"/>
              <w:left w:val="nil"/>
              <w:bottom w:val="nil"/>
              <w:right w:val="nil"/>
            </w:tcBorders>
            <w:shd w:val="clear" w:color="auto" w:fill="auto"/>
            <w:noWrap/>
            <w:vAlign w:val="bottom"/>
            <w:hideMark/>
          </w:tcPr>
          <w:p w14:paraId="750CAEAC" w14:textId="77777777" w:rsidR="001C3A40" w:rsidRDefault="001C3A40" w:rsidP="008A28F5">
            <w:pPr>
              <w:rPr>
                <w:rFonts w:ascii="Cambria" w:hAnsi="Cambria" w:cs="Arial"/>
                <w:b/>
                <w:bCs/>
                <w:color w:val="000000"/>
                <w:sz w:val="18"/>
                <w:szCs w:val="18"/>
              </w:rPr>
            </w:pPr>
            <w:r>
              <w:rPr>
                <w:rFonts w:ascii="Cambria" w:hAnsi="Cambria"/>
                <w:b/>
                <w:color w:val="000000"/>
                <w:sz w:val="18"/>
              </w:rPr>
              <w:t>Valeur historique au 30 juin 2021</w:t>
            </w:r>
          </w:p>
        </w:tc>
        <w:tc>
          <w:tcPr>
            <w:tcW w:w="617" w:type="pct"/>
            <w:tcBorders>
              <w:top w:val="nil"/>
              <w:left w:val="nil"/>
              <w:bottom w:val="single" w:sz="8" w:space="0" w:color="auto"/>
              <w:right w:val="nil"/>
            </w:tcBorders>
            <w:shd w:val="clear" w:color="auto" w:fill="auto"/>
            <w:noWrap/>
            <w:vAlign w:val="bottom"/>
            <w:hideMark/>
          </w:tcPr>
          <w:p w14:paraId="0295E071"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20 510</w:t>
            </w:r>
          </w:p>
        </w:tc>
        <w:tc>
          <w:tcPr>
            <w:tcW w:w="465" w:type="pct"/>
            <w:tcBorders>
              <w:top w:val="nil"/>
              <w:left w:val="nil"/>
              <w:bottom w:val="single" w:sz="8" w:space="0" w:color="auto"/>
              <w:right w:val="nil"/>
            </w:tcBorders>
            <w:shd w:val="clear" w:color="auto" w:fill="auto"/>
            <w:noWrap/>
            <w:vAlign w:val="bottom"/>
            <w:hideMark/>
          </w:tcPr>
          <w:p w14:paraId="4AD00E84"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3 112</w:t>
            </w:r>
          </w:p>
        </w:tc>
        <w:tc>
          <w:tcPr>
            <w:tcW w:w="409" w:type="pct"/>
            <w:tcBorders>
              <w:top w:val="nil"/>
              <w:left w:val="nil"/>
              <w:bottom w:val="single" w:sz="8" w:space="0" w:color="auto"/>
              <w:right w:val="nil"/>
            </w:tcBorders>
            <w:shd w:val="clear" w:color="auto" w:fill="auto"/>
            <w:noWrap/>
            <w:vAlign w:val="bottom"/>
            <w:hideMark/>
          </w:tcPr>
          <w:p w14:paraId="2AC9B207"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5 000</w:t>
            </w:r>
          </w:p>
        </w:tc>
        <w:tc>
          <w:tcPr>
            <w:tcW w:w="897" w:type="pct"/>
            <w:tcBorders>
              <w:top w:val="nil"/>
              <w:left w:val="nil"/>
              <w:bottom w:val="single" w:sz="8" w:space="0" w:color="auto"/>
              <w:right w:val="nil"/>
            </w:tcBorders>
            <w:shd w:val="clear" w:color="auto" w:fill="auto"/>
            <w:noWrap/>
            <w:vAlign w:val="bottom"/>
            <w:hideMark/>
          </w:tcPr>
          <w:p w14:paraId="16BF7962"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96 250</w:t>
            </w:r>
          </w:p>
        </w:tc>
        <w:tc>
          <w:tcPr>
            <w:tcW w:w="466" w:type="pct"/>
            <w:tcBorders>
              <w:top w:val="nil"/>
              <w:left w:val="nil"/>
              <w:bottom w:val="single" w:sz="8" w:space="0" w:color="auto"/>
              <w:right w:val="nil"/>
            </w:tcBorders>
            <w:shd w:val="clear" w:color="auto" w:fill="auto"/>
            <w:noWrap/>
            <w:vAlign w:val="bottom"/>
            <w:hideMark/>
          </w:tcPr>
          <w:p w14:paraId="4AA058FA"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124 872</w:t>
            </w:r>
          </w:p>
        </w:tc>
      </w:tr>
      <w:tr w:rsidR="001C3A40" w14:paraId="5681CE93" w14:textId="77777777" w:rsidTr="001C3A40">
        <w:trPr>
          <w:trHeight w:val="240"/>
        </w:trPr>
        <w:tc>
          <w:tcPr>
            <w:tcW w:w="2145" w:type="pct"/>
            <w:tcBorders>
              <w:top w:val="nil"/>
              <w:left w:val="nil"/>
              <w:bottom w:val="nil"/>
              <w:right w:val="nil"/>
            </w:tcBorders>
            <w:shd w:val="clear" w:color="auto" w:fill="auto"/>
            <w:noWrap/>
            <w:vAlign w:val="bottom"/>
            <w:hideMark/>
          </w:tcPr>
          <w:p w14:paraId="14F96F45" w14:textId="77777777" w:rsidR="001C3A40" w:rsidRDefault="001C3A40" w:rsidP="008A28F5">
            <w:pPr>
              <w:jc w:val="right"/>
              <w:rPr>
                <w:rFonts w:ascii="Cambria" w:hAnsi="Cambria" w:cs="Arial"/>
                <w:b/>
                <w:bCs/>
                <w:color w:val="000000"/>
                <w:sz w:val="18"/>
                <w:szCs w:val="18"/>
              </w:rPr>
            </w:pPr>
          </w:p>
        </w:tc>
        <w:tc>
          <w:tcPr>
            <w:tcW w:w="617" w:type="pct"/>
            <w:tcBorders>
              <w:top w:val="nil"/>
              <w:left w:val="nil"/>
              <w:bottom w:val="nil"/>
              <w:right w:val="nil"/>
            </w:tcBorders>
            <w:shd w:val="clear" w:color="auto" w:fill="auto"/>
            <w:noWrap/>
            <w:vAlign w:val="bottom"/>
            <w:hideMark/>
          </w:tcPr>
          <w:p w14:paraId="402E566D" w14:textId="77777777" w:rsidR="001C3A40" w:rsidRDefault="001C3A40" w:rsidP="008A28F5">
            <w:pPr>
              <w:rPr>
                <w:sz w:val="20"/>
                <w:szCs w:val="20"/>
              </w:rPr>
            </w:pPr>
          </w:p>
        </w:tc>
        <w:tc>
          <w:tcPr>
            <w:tcW w:w="465" w:type="pct"/>
            <w:tcBorders>
              <w:top w:val="nil"/>
              <w:left w:val="nil"/>
              <w:bottom w:val="nil"/>
              <w:right w:val="nil"/>
            </w:tcBorders>
            <w:shd w:val="clear" w:color="auto" w:fill="auto"/>
            <w:noWrap/>
            <w:vAlign w:val="bottom"/>
            <w:hideMark/>
          </w:tcPr>
          <w:p w14:paraId="4CB65B74" w14:textId="77777777" w:rsidR="001C3A40" w:rsidRDefault="001C3A40" w:rsidP="008A28F5">
            <w:pPr>
              <w:rPr>
                <w:sz w:val="20"/>
                <w:szCs w:val="20"/>
              </w:rPr>
            </w:pPr>
          </w:p>
        </w:tc>
        <w:tc>
          <w:tcPr>
            <w:tcW w:w="409" w:type="pct"/>
            <w:tcBorders>
              <w:top w:val="nil"/>
              <w:left w:val="nil"/>
              <w:bottom w:val="nil"/>
              <w:right w:val="nil"/>
            </w:tcBorders>
            <w:shd w:val="clear" w:color="auto" w:fill="auto"/>
            <w:noWrap/>
            <w:vAlign w:val="bottom"/>
            <w:hideMark/>
          </w:tcPr>
          <w:p w14:paraId="0ADF5267" w14:textId="77777777" w:rsidR="001C3A40" w:rsidRDefault="001C3A40" w:rsidP="008A28F5">
            <w:pPr>
              <w:rPr>
                <w:sz w:val="20"/>
                <w:szCs w:val="20"/>
              </w:rPr>
            </w:pPr>
          </w:p>
        </w:tc>
        <w:tc>
          <w:tcPr>
            <w:tcW w:w="897" w:type="pct"/>
            <w:tcBorders>
              <w:top w:val="nil"/>
              <w:left w:val="nil"/>
              <w:bottom w:val="nil"/>
              <w:right w:val="nil"/>
            </w:tcBorders>
            <w:shd w:val="clear" w:color="auto" w:fill="auto"/>
            <w:noWrap/>
            <w:vAlign w:val="bottom"/>
            <w:hideMark/>
          </w:tcPr>
          <w:p w14:paraId="3468E40E" w14:textId="77777777" w:rsidR="001C3A40" w:rsidRDefault="001C3A40" w:rsidP="008A28F5">
            <w:pPr>
              <w:rPr>
                <w:sz w:val="20"/>
                <w:szCs w:val="20"/>
              </w:rPr>
            </w:pPr>
          </w:p>
        </w:tc>
        <w:tc>
          <w:tcPr>
            <w:tcW w:w="466" w:type="pct"/>
            <w:tcBorders>
              <w:top w:val="nil"/>
              <w:left w:val="nil"/>
              <w:bottom w:val="nil"/>
              <w:right w:val="nil"/>
            </w:tcBorders>
            <w:shd w:val="clear" w:color="auto" w:fill="auto"/>
            <w:noWrap/>
            <w:vAlign w:val="bottom"/>
            <w:hideMark/>
          </w:tcPr>
          <w:p w14:paraId="3701AE20" w14:textId="77777777" w:rsidR="001C3A40" w:rsidRDefault="001C3A40" w:rsidP="008A28F5">
            <w:pPr>
              <w:rPr>
                <w:sz w:val="20"/>
                <w:szCs w:val="20"/>
              </w:rPr>
            </w:pPr>
          </w:p>
        </w:tc>
      </w:tr>
      <w:tr w:rsidR="001C3A40" w14:paraId="6148B864" w14:textId="77777777" w:rsidTr="001C3A40">
        <w:trPr>
          <w:trHeight w:val="240"/>
        </w:trPr>
        <w:tc>
          <w:tcPr>
            <w:tcW w:w="2145" w:type="pct"/>
            <w:tcBorders>
              <w:top w:val="nil"/>
              <w:left w:val="nil"/>
              <w:bottom w:val="nil"/>
              <w:right w:val="nil"/>
            </w:tcBorders>
            <w:shd w:val="clear" w:color="auto" w:fill="auto"/>
            <w:noWrap/>
            <w:vAlign w:val="bottom"/>
            <w:hideMark/>
          </w:tcPr>
          <w:p w14:paraId="4CDECC25" w14:textId="77777777" w:rsidR="001C3A40" w:rsidRDefault="001C3A40" w:rsidP="008A28F5">
            <w:pPr>
              <w:rPr>
                <w:rFonts w:ascii="Cambria" w:hAnsi="Cambria" w:cs="Arial"/>
                <w:b/>
                <w:bCs/>
                <w:color w:val="000000"/>
                <w:sz w:val="18"/>
                <w:szCs w:val="18"/>
              </w:rPr>
            </w:pPr>
            <w:r>
              <w:rPr>
                <w:rFonts w:ascii="Cambria" w:hAnsi="Cambria"/>
                <w:b/>
                <w:color w:val="000000"/>
                <w:sz w:val="18"/>
              </w:rPr>
              <w:t>Amortissement cumulé au 1er janvier 2020</w:t>
            </w:r>
          </w:p>
        </w:tc>
        <w:tc>
          <w:tcPr>
            <w:tcW w:w="617" w:type="pct"/>
            <w:tcBorders>
              <w:top w:val="nil"/>
              <w:left w:val="nil"/>
              <w:bottom w:val="nil"/>
              <w:right w:val="nil"/>
            </w:tcBorders>
            <w:shd w:val="clear" w:color="auto" w:fill="auto"/>
            <w:noWrap/>
            <w:vAlign w:val="bottom"/>
            <w:hideMark/>
          </w:tcPr>
          <w:p w14:paraId="1A4A931E" w14:textId="77777777" w:rsidR="001C3A40" w:rsidRDefault="001C3A40" w:rsidP="008A28F5">
            <w:pPr>
              <w:jc w:val="right"/>
              <w:rPr>
                <w:rFonts w:ascii="Cambria" w:hAnsi="Cambria" w:cs="Arial"/>
                <w:color w:val="000000"/>
                <w:sz w:val="18"/>
                <w:szCs w:val="18"/>
              </w:rPr>
            </w:pPr>
            <w:r>
              <w:rPr>
                <w:rFonts w:ascii="Cambria" w:hAnsi="Cambria"/>
                <w:color w:val="000000"/>
                <w:sz w:val="18"/>
              </w:rPr>
              <w:t>(2 787)</w:t>
            </w:r>
          </w:p>
        </w:tc>
        <w:tc>
          <w:tcPr>
            <w:tcW w:w="465" w:type="pct"/>
            <w:tcBorders>
              <w:top w:val="nil"/>
              <w:left w:val="nil"/>
              <w:bottom w:val="nil"/>
              <w:right w:val="nil"/>
            </w:tcBorders>
            <w:shd w:val="clear" w:color="auto" w:fill="auto"/>
            <w:noWrap/>
            <w:vAlign w:val="bottom"/>
            <w:hideMark/>
          </w:tcPr>
          <w:p w14:paraId="39FA9A0D" w14:textId="77777777" w:rsidR="001C3A40" w:rsidRDefault="001C3A40" w:rsidP="008A28F5">
            <w:pPr>
              <w:jc w:val="right"/>
              <w:rPr>
                <w:rFonts w:ascii="Cambria" w:hAnsi="Cambria" w:cs="Arial"/>
                <w:color w:val="000000"/>
                <w:sz w:val="18"/>
                <w:szCs w:val="18"/>
              </w:rPr>
            </w:pPr>
            <w:r>
              <w:rPr>
                <w:rFonts w:ascii="Cambria" w:hAnsi="Cambria"/>
                <w:color w:val="000000"/>
                <w:sz w:val="18"/>
              </w:rPr>
              <w:t>0</w:t>
            </w:r>
          </w:p>
        </w:tc>
        <w:tc>
          <w:tcPr>
            <w:tcW w:w="409" w:type="pct"/>
            <w:tcBorders>
              <w:top w:val="nil"/>
              <w:left w:val="nil"/>
              <w:bottom w:val="nil"/>
              <w:right w:val="nil"/>
            </w:tcBorders>
            <w:shd w:val="clear" w:color="auto" w:fill="auto"/>
            <w:noWrap/>
            <w:vAlign w:val="bottom"/>
            <w:hideMark/>
          </w:tcPr>
          <w:p w14:paraId="5DF4A862" w14:textId="77777777" w:rsidR="001C3A40" w:rsidRDefault="001C3A40" w:rsidP="008A28F5">
            <w:pPr>
              <w:jc w:val="right"/>
              <w:rPr>
                <w:rFonts w:ascii="Cambria" w:hAnsi="Cambria" w:cs="Arial"/>
                <w:color w:val="000000"/>
                <w:sz w:val="18"/>
                <w:szCs w:val="18"/>
              </w:rPr>
            </w:pPr>
            <w:r>
              <w:rPr>
                <w:rFonts w:ascii="Cambria" w:hAnsi="Cambria"/>
                <w:color w:val="000000"/>
                <w:sz w:val="18"/>
              </w:rPr>
              <w:t>0</w:t>
            </w:r>
          </w:p>
        </w:tc>
        <w:tc>
          <w:tcPr>
            <w:tcW w:w="897" w:type="pct"/>
            <w:tcBorders>
              <w:top w:val="nil"/>
              <w:left w:val="nil"/>
              <w:bottom w:val="nil"/>
              <w:right w:val="nil"/>
            </w:tcBorders>
            <w:shd w:val="clear" w:color="auto" w:fill="auto"/>
            <w:noWrap/>
            <w:vAlign w:val="bottom"/>
            <w:hideMark/>
          </w:tcPr>
          <w:p w14:paraId="0DEC9245" w14:textId="77777777" w:rsidR="001C3A40" w:rsidRDefault="001C3A40" w:rsidP="008A28F5">
            <w:pPr>
              <w:jc w:val="right"/>
              <w:rPr>
                <w:rFonts w:ascii="Cambria" w:hAnsi="Cambria" w:cs="Arial"/>
                <w:color w:val="000000"/>
                <w:sz w:val="18"/>
                <w:szCs w:val="18"/>
              </w:rPr>
            </w:pPr>
            <w:r>
              <w:rPr>
                <w:rFonts w:ascii="Cambria" w:hAnsi="Cambria"/>
                <w:color w:val="000000"/>
                <w:sz w:val="18"/>
              </w:rPr>
              <w:t>0</w:t>
            </w:r>
          </w:p>
        </w:tc>
        <w:tc>
          <w:tcPr>
            <w:tcW w:w="466" w:type="pct"/>
            <w:tcBorders>
              <w:top w:val="nil"/>
              <w:left w:val="nil"/>
              <w:bottom w:val="nil"/>
              <w:right w:val="nil"/>
            </w:tcBorders>
            <w:shd w:val="clear" w:color="auto" w:fill="auto"/>
            <w:noWrap/>
            <w:vAlign w:val="bottom"/>
            <w:hideMark/>
          </w:tcPr>
          <w:p w14:paraId="47B40C4D"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(2 787)</w:t>
            </w:r>
          </w:p>
        </w:tc>
      </w:tr>
      <w:tr w:rsidR="001C3A40" w14:paraId="7C558A48" w14:textId="77777777" w:rsidTr="001C3A40">
        <w:trPr>
          <w:trHeight w:val="240"/>
        </w:trPr>
        <w:tc>
          <w:tcPr>
            <w:tcW w:w="2145" w:type="pct"/>
            <w:tcBorders>
              <w:top w:val="nil"/>
              <w:left w:val="nil"/>
              <w:bottom w:val="nil"/>
              <w:right w:val="nil"/>
            </w:tcBorders>
            <w:shd w:val="clear" w:color="auto" w:fill="auto"/>
            <w:noWrap/>
            <w:vAlign w:val="bottom"/>
            <w:hideMark/>
          </w:tcPr>
          <w:p w14:paraId="3DD6CD0A" w14:textId="77777777" w:rsidR="001C3A40" w:rsidRDefault="001C3A40" w:rsidP="008A28F5">
            <w:pPr>
              <w:rPr>
                <w:rFonts w:ascii="Cambria" w:hAnsi="Cambria" w:cs="Arial"/>
                <w:color w:val="000000"/>
                <w:sz w:val="18"/>
                <w:szCs w:val="18"/>
              </w:rPr>
            </w:pPr>
            <w:r>
              <w:rPr>
                <w:rFonts w:ascii="Cambria" w:hAnsi="Cambria"/>
                <w:color w:val="000000"/>
                <w:sz w:val="18"/>
              </w:rPr>
              <w:t>Amortissement pour la période</w:t>
            </w:r>
          </w:p>
        </w:tc>
        <w:tc>
          <w:tcPr>
            <w:tcW w:w="617" w:type="pct"/>
            <w:tcBorders>
              <w:top w:val="nil"/>
              <w:left w:val="nil"/>
              <w:bottom w:val="single" w:sz="4" w:space="0" w:color="auto"/>
              <w:right w:val="nil"/>
            </w:tcBorders>
            <w:shd w:val="clear" w:color="auto" w:fill="auto"/>
            <w:noWrap/>
            <w:vAlign w:val="bottom"/>
            <w:hideMark/>
          </w:tcPr>
          <w:p w14:paraId="7484C402" w14:textId="77777777" w:rsidR="001C3A40" w:rsidRDefault="001C3A40" w:rsidP="008A28F5">
            <w:pPr>
              <w:jc w:val="right"/>
              <w:rPr>
                <w:rFonts w:ascii="Cambria" w:hAnsi="Cambria" w:cs="Arial"/>
                <w:color w:val="000000"/>
                <w:sz w:val="18"/>
                <w:szCs w:val="18"/>
              </w:rPr>
            </w:pPr>
            <w:r>
              <w:rPr>
                <w:rFonts w:ascii="Cambria" w:hAnsi="Cambria"/>
                <w:color w:val="000000"/>
                <w:sz w:val="18"/>
              </w:rPr>
              <w:t>(2 341)</w:t>
            </w:r>
          </w:p>
        </w:tc>
        <w:tc>
          <w:tcPr>
            <w:tcW w:w="465" w:type="pct"/>
            <w:tcBorders>
              <w:top w:val="nil"/>
              <w:left w:val="nil"/>
              <w:bottom w:val="single" w:sz="4" w:space="0" w:color="auto"/>
              <w:right w:val="nil"/>
            </w:tcBorders>
            <w:shd w:val="clear" w:color="auto" w:fill="auto"/>
            <w:noWrap/>
            <w:vAlign w:val="bottom"/>
            <w:hideMark/>
          </w:tcPr>
          <w:p w14:paraId="24607697" w14:textId="77777777" w:rsidR="001C3A40" w:rsidRDefault="001C3A40" w:rsidP="008A28F5">
            <w:pPr>
              <w:jc w:val="right"/>
              <w:rPr>
                <w:rFonts w:ascii="Cambria" w:hAnsi="Cambria" w:cs="Arial"/>
                <w:color w:val="000000"/>
                <w:sz w:val="18"/>
                <w:szCs w:val="18"/>
              </w:rPr>
            </w:pPr>
            <w:r>
              <w:rPr>
                <w:rFonts w:ascii="Cambria" w:hAnsi="Cambria"/>
                <w:color w:val="000000"/>
                <w:sz w:val="18"/>
              </w:rPr>
              <w:t>0</w:t>
            </w:r>
          </w:p>
        </w:tc>
        <w:tc>
          <w:tcPr>
            <w:tcW w:w="409" w:type="pct"/>
            <w:tcBorders>
              <w:top w:val="nil"/>
              <w:left w:val="nil"/>
              <w:bottom w:val="single" w:sz="4" w:space="0" w:color="auto"/>
              <w:right w:val="nil"/>
            </w:tcBorders>
            <w:shd w:val="clear" w:color="auto" w:fill="auto"/>
            <w:noWrap/>
            <w:vAlign w:val="bottom"/>
            <w:hideMark/>
          </w:tcPr>
          <w:p w14:paraId="23B24E0F" w14:textId="77777777" w:rsidR="001C3A40" w:rsidRDefault="001C3A40" w:rsidP="008A28F5">
            <w:pPr>
              <w:jc w:val="right"/>
              <w:rPr>
                <w:rFonts w:ascii="Cambria" w:hAnsi="Cambria" w:cs="Arial"/>
                <w:color w:val="000000"/>
                <w:sz w:val="18"/>
                <w:szCs w:val="18"/>
              </w:rPr>
            </w:pPr>
            <w:r>
              <w:rPr>
                <w:rFonts w:ascii="Cambria" w:hAnsi="Cambria"/>
                <w:color w:val="000000"/>
                <w:sz w:val="18"/>
              </w:rPr>
              <w:t>(138)</w:t>
            </w:r>
          </w:p>
        </w:tc>
        <w:tc>
          <w:tcPr>
            <w:tcW w:w="897" w:type="pct"/>
            <w:tcBorders>
              <w:top w:val="nil"/>
              <w:left w:val="nil"/>
              <w:bottom w:val="single" w:sz="4" w:space="0" w:color="auto"/>
              <w:right w:val="nil"/>
            </w:tcBorders>
            <w:shd w:val="clear" w:color="auto" w:fill="auto"/>
            <w:noWrap/>
            <w:vAlign w:val="bottom"/>
            <w:hideMark/>
          </w:tcPr>
          <w:p w14:paraId="0A6948B4" w14:textId="77777777" w:rsidR="001C3A40" w:rsidRDefault="001C3A40" w:rsidP="008A28F5">
            <w:pPr>
              <w:jc w:val="right"/>
              <w:rPr>
                <w:rFonts w:ascii="Cambria" w:hAnsi="Cambria" w:cs="Arial"/>
                <w:color w:val="000000"/>
                <w:sz w:val="18"/>
                <w:szCs w:val="18"/>
              </w:rPr>
            </w:pPr>
            <w:r>
              <w:rPr>
                <w:rFonts w:ascii="Cambria" w:hAnsi="Cambria"/>
                <w:color w:val="000000"/>
                <w:sz w:val="18"/>
              </w:rPr>
              <w:t>0</w:t>
            </w:r>
          </w:p>
        </w:tc>
        <w:tc>
          <w:tcPr>
            <w:tcW w:w="466" w:type="pct"/>
            <w:tcBorders>
              <w:top w:val="nil"/>
              <w:left w:val="nil"/>
              <w:bottom w:val="single" w:sz="4" w:space="0" w:color="auto"/>
              <w:right w:val="nil"/>
            </w:tcBorders>
            <w:shd w:val="clear" w:color="auto" w:fill="auto"/>
            <w:noWrap/>
            <w:vAlign w:val="bottom"/>
            <w:hideMark/>
          </w:tcPr>
          <w:p w14:paraId="0416DE29" w14:textId="77777777" w:rsidR="001C3A40" w:rsidRDefault="001C3A40" w:rsidP="008A28F5">
            <w:pPr>
              <w:jc w:val="right"/>
              <w:rPr>
                <w:rFonts w:ascii="Cambria" w:hAnsi="Cambria" w:cs="Arial"/>
                <w:color w:val="000000"/>
                <w:sz w:val="18"/>
                <w:szCs w:val="18"/>
              </w:rPr>
            </w:pPr>
            <w:r>
              <w:rPr>
                <w:rFonts w:ascii="Cambria" w:hAnsi="Cambria"/>
                <w:color w:val="000000"/>
                <w:sz w:val="18"/>
              </w:rPr>
              <w:t>(2 478)</w:t>
            </w:r>
          </w:p>
        </w:tc>
      </w:tr>
      <w:tr w:rsidR="001C3A40" w14:paraId="43393D1E" w14:textId="77777777" w:rsidTr="001C3A40">
        <w:trPr>
          <w:trHeight w:val="255"/>
        </w:trPr>
        <w:tc>
          <w:tcPr>
            <w:tcW w:w="2145" w:type="pct"/>
            <w:tcBorders>
              <w:top w:val="nil"/>
              <w:left w:val="nil"/>
              <w:bottom w:val="nil"/>
              <w:right w:val="nil"/>
            </w:tcBorders>
            <w:shd w:val="clear" w:color="auto" w:fill="auto"/>
            <w:noWrap/>
            <w:vAlign w:val="bottom"/>
            <w:hideMark/>
          </w:tcPr>
          <w:p w14:paraId="78A6DF9E" w14:textId="77777777" w:rsidR="001C3A40" w:rsidRDefault="001C3A40" w:rsidP="008A28F5">
            <w:pPr>
              <w:rPr>
                <w:rFonts w:ascii="Cambria" w:hAnsi="Cambria" w:cs="Arial"/>
                <w:b/>
                <w:bCs/>
                <w:color w:val="000000"/>
                <w:sz w:val="18"/>
                <w:szCs w:val="18"/>
              </w:rPr>
            </w:pPr>
            <w:r>
              <w:rPr>
                <w:rFonts w:ascii="Cambria" w:hAnsi="Cambria"/>
                <w:b/>
                <w:color w:val="000000"/>
                <w:sz w:val="18"/>
              </w:rPr>
              <w:t>Amortissement cumulé au 30 juin 2021</w:t>
            </w:r>
          </w:p>
        </w:tc>
        <w:tc>
          <w:tcPr>
            <w:tcW w:w="617" w:type="pct"/>
            <w:tcBorders>
              <w:top w:val="nil"/>
              <w:left w:val="nil"/>
              <w:bottom w:val="single" w:sz="8" w:space="0" w:color="auto"/>
              <w:right w:val="nil"/>
            </w:tcBorders>
            <w:shd w:val="clear" w:color="auto" w:fill="auto"/>
            <w:noWrap/>
            <w:vAlign w:val="bottom"/>
            <w:hideMark/>
          </w:tcPr>
          <w:p w14:paraId="34DDAD28"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(5 128)</w:t>
            </w:r>
          </w:p>
        </w:tc>
        <w:tc>
          <w:tcPr>
            <w:tcW w:w="465" w:type="pct"/>
            <w:tcBorders>
              <w:top w:val="nil"/>
              <w:left w:val="nil"/>
              <w:bottom w:val="single" w:sz="8" w:space="0" w:color="auto"/>
              <w:right w:val="nil"/>
            </w:tcBorders>
            <w:shd w:val="clear" w:color="auto" w:fill="auto"/>
            <w:noWrap/>
            <w:vAlign w:val="bottom"/>
            <w:hideMark/>
          </w:tcPr>
          <w:p w14:paraId="37489BA4"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0</w:t>
            </w:r>
          </w:p>
        </w:tc>
        <w:tc>
          <w:tcPr>
            <w:tcW w:w="409" w:type="pct"/>
            <w:tcBorders>
              <w:top w:val="nil"/>
              <w:left w:val="nil"/>
              <w:bottom w:val="single" w:sz="8" w:space="0" w:color="auto"/>
              <w:right w:val="nil"/>
            </w:tcBorders>
            <w:shd w:val="clear" w:color="auto" w:fill="auto"/>
            <w:noWrap/>
            <w:vAlign w:val="bottom"/>
            <w:hideMark/>
          </w:tcPr>
          <w:p w14:paraId="7787C0AF"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(138)</w:t>
            </w:r>
          </w:p>
        </w:tc>
        <w:tc>
          <w:tcPr>
            <w:tcW w:w="897" w:type="pct"/>
            <w:tcBorders>
              <w:top w:val="nil"/>
              <w:left w:val="nil"/>
              <w:bottom w:val="single" w:sz="8" w:space="0" w:color="auto"/>
              <w:right w:val="nil"/>
            </w:tcBorders>
            <w:shd w:val="clear" w:color="auto" w:fill="auto"/>
            <w:noWrap/>
            <w:vAlign w:val="bottom"/>
            <w:hideMark/>
          </w:tcPr>
          <w:p w14:paraId="2DF7FF2C"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0</w:t>
            </w:r>
          </w:p>
        </w:tc>
        <w:tc>
          <w:tcPr>
            <w:tcW w:w="466" w:type="pct"/>
            <w:tcBorders>
              <w:top w:val="nil"/>
              <w:left w:val="nil"/>
              <w:bottom w:val="single" w:sz="8" w:space="0" w:color="auto"/>
              <w:right w:val="nil"/>
            </w:tcBorders>
            <w:shd w:val="clear" w:color="auto" w:fill="auto"/>
            <w:noWrap/>
            <w:vAlign w:val="bottom"/>
            <w:hideMark/>
          </w:tcPr>
          <w:p w14:paraId="1E050FBB"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(5 266)</w:t>
            </w:r>
          </w:p>
        </w:tc>
      </w:tr>
      <w:tr w:rsidR="001C3A40" w14:paraId="6A7CDADE" w14:textId="77777777" w:rsidTr="001C3A40">
        <w:trPr>
          <w:trHeight w:val="240"/>
        </w:trPr>
        <w:tc>
          <w:tcPr>
            <w:tcW w:w="2145" w:type="pct"/>
            <w:tcBorders>
              <w:top w:val="nil"/>
              <w:left w:val="nil"/>
              <w:bottom w:val="nil"/>
              <w:right w:val="nil"/>
            </w:tcBorders>
            <w:shd w:val="clear" w:color="auto" w:fill="auto"/>
            <w:noWrap/>
            <w:vAlign w:val="bottom"/>
            <w:hideMark/>
          </w:tcPr>
          <w:p w14:paraId="05EA8CFB" w14:textId="77777777" w:rsidR="001C3A40" w:rsidRDefault="001C3A40" w:rsidP="008A28F5">
            <w:pPr>
              <w:jc w:val="right"/>
              <w:rPr>
                <w:rFonts w:ascii="Cambria" w:hAnsi="Cambria" w:cs="Arial"/>
                <w:b/>
                <w:bCs/>
                <w:color w:val="000000"/>
                <w:sz w:val="18"/>
                <w:szCs w:val="18"/>
              </w:rPr>
            </w:pPr>
          </w:p>
        </w:tc>
        <w:tc>
          <w:tcPr>
            <w:tcW w:w="617" w:type="pct"/>
            <w:tcBorders>
              <w:top w:val="nil"/>
              <w:left w:val="nil"/>
              <w:bottom w:val="nil"/>
              <w:right w:val="nil"/>
            </w:tcBorders>
            <w:shd w:val="clear" w:color="auto" w:fill="auto"/>
            <w:noWrap/>
            <w:vAlign w:val="bottom"/>
            <w:hideMark/>
          </w:tcPr>
          <w:p w14:paraId="122F2DF0" w14:textId="77777777" w:rsidR="001C3A40" w:rsidRDefault="001C3A40" w:rsidP="008A28F5">
            <w:pPr>
              <w:rPr>
                <w:sz w:val="20"/>
                <w:szCs w:val="20"/>
              </w:rPr>
            </w:pPr>
          </w:p>
        </w:tc>
        <w:tc>
          <w:tcPr>
            <w:tcW w:w="465" w:type="pct"/>
            <w:tcBorders>
              <w:top w:val="nil"/>
              <w:left w:val="nil"/>
              <w:bottom w:val="nil"/>
              <w:right w:val="nil"/>
            </w:tcBorders>
            <w:shd w:val="clear" w:color="auto" w:fill="auto"/>
            <w:noWrap/>
            <w:vAlign w:val="bottom"/>
            <w:hideMark/>
          </w:tcPr>
          <w:p w14:paraId="3701FEDE" w14:textId="77777777" w:rsidR="001C3A40" w:rsidRDefault="001C3A40" w:rsidP="008A28F5">
            <w:pPr>
              <w:rPr>
                <w:sz w:val="20"/>
                <w:szCs w:val="20"/>
              </w:rPr>
            </w:pPr>
          </w:p>
        </w:tc>
        <w:tc>
          <w:tcPr>
            <w:tcW w:w="409" w:type="pct"/>
            <w:tcBorders>
              <w:top w:val="nil"/>
              <w:left w:val="nil"/>
              <w:bottom w:val="nil"/>
              <w:right w:val="nil"/>
            </w:tcBorders>
            <w:shd w:val="clear" w:color="auto" w:fill="auto"/>
            <w:noWrap/>
            <w:vAlign w:val="bottom"/>
            <w:hideMark/>
          </w:tcPr>
          <w:p w14:paraId="629B6AB4" w14:textId="77777777" w:rsidR="001C3A40" w:rsidRDefault="001C3A40" w:rsidP="008A28F5">
            <w:pPr>
              <w:rPr>
                <w:sz w:val="20"/>
                <w:szCs w:val="20"/>
              </w:rPr>
            </w:pPr>
          </w:p>
        </w:tc>
        <w:tc>
          <w:tcPr>
            <w:tcW w:w="897" w:type="pct"/>
            <w:tcBorders>
              <w:top w:val="nil"/>
              <w:left w:val="nil"/>
              <w:bottom w:val="nil"/>
              <w:right w:val="nil"/>
            </w:tcBorders>
            <w:shd w:val="clear" w:color="auto" w:fill="auto"/>
            <w:noWrap/>
            <w:vAlign w:val="bottom"/>
            <w:hideMark/>
          </w:tcPr>
          <w:p w14:paraId="7F597658" w14:textId="77777777" w:rsidR="001C3A40" w:rsidRDefault="001C3A40" w:rsidP="008A28F5">
            <w:pPr>
              <w:rPr>
                <w:sz w:val="20"/>
                <w:szCs w:val="20"/>
              </w:rPr>
            </w:pPr>
          </w:p>
        </w:tc>
        <w:tc>
          <w:tcPr>
            <w:tcW w:w="466" w:type="pct"/>
            <w:tcBorders>
              <w:top w:val="nil"/>
              <w:left w:val="nil"/>
              <w:bottom w:val="nil"/>
              <w:right w:val="nil"/>
            </w:tcBorders>
            <w:shd w:val="clear" w:color="auto" w:fill="auto"/>
            <w:noWrap/>
            <w:vAlign w:val="bottom"/>
            <w:hideMark/>
          </w:tcPr>
          <w:p w14:paraId="261E10F2" w14:textId="77777777" w:rsidR="001C3A40" w:rsidRDefault="001C3A40" w:rsidP="008A28F5">
            <w:pPr>
              <w:rPr>
                <w:sz w:val="20"/>
                <w:szCs w:val="20"/>
              </w:rPr>
            </w:pPr>
          </w:p>
        </w:tc>
      </w:tr>
      <w:tr w:rsidR="001C3A40" w14:paraId="09A5C45C" w14:textId="77777777" w:rsidTr="001C3A40">
        <w:trPr>
          <w:trHeight w:val="240"/>
        </w:trPr>
        <w:tc>
          <w:tcPr>
            <w:tcW w:w="2145" w:type="pct"/>
            <w:tcBorders>
              <w:top w:val="nil"/>
              <w:left w:val="nil"/>
              <w:bottom w:val="nil"/>
              <w:right w:val="nil"/>
            </w:tcBorders>
            <w:shd w:val="clear" w:color="auto" w:fill="auto"/>
            <w:noWrap/>
            <w:vAlign w:val="bottom"/>
            <w:hideMark/>
          </w:tcPr>
          <w:p w14:paraId="52E57760" w14:textId="77777777" w:rsidR="001C3A40" w:rsidRDefault="001C3A40" w:rsidP="008A28F5">
            <w:pPr>
              <w:rPr>
                <w:rFonts w:ascii="Cambria" w:hAnsi="Cambria" w:cs="Arial"/>
                <w:b/>
                <w:bCs/>
                <w:color w:val="000000"/>
                <w:sz w:val="18"/>
                <w:szCs w:val="18"/>
              </w:rPr>
            </w:pPr>
            <w:r>
              <w:rPr>
                <w:rFonts w:ascii="Cambria" w:hAnsi="Cambria"/>
                <w:b/>
                <w:color w:val="000000"/>
                <w:sz w:val="18"/>
              </w:rPr>
              <w:t>Valeur nette comptable au 31 décembre 2020</w:t>
            </w:r>
          </w:p>
        </w:tc>
        <w:tc>
          <w:tcPr>
            <w:tcW w:w="617" w:type="pct"/>
            <w:tcBorders>
              <w:top w:val="nil"/>
              <w:left w:val="nil"/>
              <w:bottom w:val="nil"/>
              <w:right w:val="nil"/>
            </w:tcBorders>
            <w:shd w:val="clear" w:color="auto" w:fill="auto"/>
            <w:noWrap/>
            <w:vAlign w:val="bottom"/>
            <w:hideMark/>
          </w:tcPr>
          <w:p w14:paraId="482179F6"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11 773</w:t>
            </w:r>
          </w:p>
        </w:tc>
        <w:tc>
          <w:tcPr>
            <w:tcW w:w="465" w:type="pct"/>
            <w:tcBorders>
              <w:top w:val="nil"/>
              <w:left w:val="nil"/>
              <w:bottom w:val="nil"/>
              <w:right w:val="nil"/>
            </w:tcBorders>
            <w:shd w:val="clear" w:color="auto" w:fill="auto"/>
            <w:noWrap/>
            <w:vAlign w:val="bottom"/>
            <w:hideMark/>
          </w:tcPr>
          <w:p w14:paraId="4750B546"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2 912</w:t>
            </w:r>
          </w:p>
        </w:tc>
        <w:tc>
          <w:tcPr>
            <w:tcW w:w="409" w:type="pct"/>
            <w:tcBorders>
              <w:top w:val="nil"/>
              <w:left w:val="nil"/>
              <w:bottom w:val="nil"/>
              <w:right w:val="nil"/>
            </w:tcBorders>
            <w:shd w:val="clear" w:color="auto" w:fill="auto"/>
            <w:noWrap/>
            <w:vAlign w:val="bottom"/>
            <w:hideMark/>
          </w:tcPr>
          <w:p w14:paraId="7E470F46"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0</w:t>
            </w:r>
          </w:p>
        </w:tc>
        <w:tc>
          <w:tcPr>
            <w:tcW w:w="897" w:type="pct"/>
            <w:tcBorders>
              <w:top w:val="nil"/>
              <w:left w:val="nil"/>
              <w:bottom w:val="nil"/>
              <w:right w:val="nil"/>
            </w:tcBorders>
            <w:shd w:val="clear" w:color="auto" w:fill="auto"/>
            <w:noWrap/>
            <w:vAlign w:val="bottom"/>
            <w:hideMark/>
          </w:tcPr>
          <w:p w14:paraId="0721F043"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500</w:t>
            </w:r>
          </w:p>
        </w:tc>
        <w:tc>
          <w:tcPr>
            <w:tcW w:w="466" w:type="pct"/>
            <w:tcBorders>
              <w:top w:val="nil"/>
              <w:left w:val="nil"/>
              <w:bottom w:val="nil"/>
              <w:right w:val="nil"/>
            </w:tcBorders>
            <w:shd w:val="clear" w:color="auto" w:fill="auto"/>
            <w:noWrap/>
            <w:vAlign w:val="bottom"/>
            <w:hideMark/>
          </w:tcPr>
          <w:p w14:paraId="3C0AE952"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15 185</w:t>
            </w:r>
          </w:p>
        </w:tc>
      </w:tr>
      <w:tr w:rsidR="001C3A40" w14:paraId="3075D0FF" w14:textId="77777777" w:rsidTr="001C3A40">
        <w:trPr>
          <w:trHeight w:val="240"/>
        </w:trPr>
        <w:tc>
          <w:tcPr>
            <w:tcW w:w="2145" w:type="pct"/>
            <w:tcBorders>
              <w:top w:val="nil"/>
              <w:left w:val="nil"/>
              <w:bottom w:val="nil"/>
              <w:right w:val="nil"/>
            </w:tcBorders>
            <w:shd w:val="clear" w:color="auto" w:fill="auto"/>
            <w:noWrap/>
            <w:vAlign w:val="bottom"/>
            <w:hideMark/>
          </w:tcPr>
          <w:p w14:paraId="376AC188" w14:textId="77777777" w:rsidR="001C3A40" w:rsidRDefault="001C3A40" w:rsidP="008A28F5">
            <w:pPr>
              <w:rPr>
                <w:rFonts w:ascii="Cambria" w:hAnsi="Cambria" w:cs="Arial"/>
                <w:b/>
                <w:bCs/>
                <w:color w:val="000000"/>
                <w:sz w:val="18"/>
                <w:szCs w:val="18"/>
              </w:rPr>
            </w:pPr>
            <w:r>
              <w:rPr>
                <w:rFonts w:ascii="Cambria" w:hAnsi="Cambria"/>
                <w:b/>
                <w:color w:val="000000"/>
                <w:sz w:val="18"/>
              </w:rPr>
              <w:t>Valeur nette comptable au 30 juin 2021</w:t>
            </w:r>
          </w:p>
        </w:tc>
        <w:tc>
          <w:tcPr>
            <w:tcW w:w="617" w:type="pct"/>
            <w:tcBorders>
              <w:top w:val="nil"/>
              <w:left w:val="nil"/>
              <w:bottom w:val="nil"/>
              <w:right w:val="nil"/>
            </w:tcBorders>
            <w:shd w:val="clear" w:color="auto" w:fill="auto"/>
            <w:noWrap/>
            <w:vAlign w:val="bottom"/>
            <w:hideMark/>
          </w:tcPr>
          <w:p w14:paraId="158F5C85"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15 382</w:t>
            </w:r>
          </w:p>
        </w:tc>
        <w:tc>
          <w:tcPr>
            <w:tcW w:w="465" w:type="pct"/>
            <w:tcBorders>
              <w:top w:val="nil"/>
              <w:left w:val="nil"/>
              <w:bottom w:val="nil"/>
              <w:right w:val="nil"/>
            </w:tcBorders>
            <w:shd w:val="clear" w:color="auto" w:fill="auto"/>
            <w:noWrap/>
            <w:vAlign w:val="bottom"/>
            <w:hideMark/>
          </w:tcPr>
          <w:p w14:paraId="37DD1330"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3 112</w:t>
            </w:r>
          </w:p>
        </w:tc>
        <w:tc>
          <w:tcPr>
            <w:tcW w:w="409" w:type="pct"/>
            <w:tcBorders>
              <w:top w:val="nil"/>
              <w:left w:val="nil"/>
              <w:bottom w:val="nil"/>
              <w:right w:val="nil"/>
            </w:tcBorders>
            <w:shd w:val="clear" w:color="auto" w:fill="auto"/>
            <w:noWrap/>
            <w:vAlign w:val="bottom"/>
            <w:hideMark/>
          </w:tcPr>
          <w:p w14:paraId="3735ED1B"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4 863</w:t>
            </w:r>
          </w:p>
        </w:tc>
        <w:tc>
          <w:tcPr>
            <w:tcW w:w="897" w:type="pct"/>
            <w:tcBorders>
              <w:top w:val="nil"/>
              <w:left w:val="nil"/>
              <w:bottom w:val="nil"/>
              <w:right w:val="nil"/>
            </w:tcBorders>
            <w:shd w:val="clear" w:color="auto" w:fill="auto"/>
            <w:noWrap/>
            <w:vAlign w:val="bottom"/>
            <w:hideMark/>
          </w:tcPr>
          <w:p w14:paraId="2AD60864"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96 250</w:t>
            </w:r>
          </w:p>
        </w:tc>
        <w:tc>
          <w:tcPr>
            <w:tcW w:w="466" w:type="pct"/>
            <w:tcBorders>
              <w:top w:val="nil"/>
              <w:left w:val="nil"/>
              <w:bottom w:val="nil"/>
              <w:right w:val="nil"/>
            </w:tcBorders>
            <w:shd w:val="clear" w:color="auto" w:fill="auto"/>
            <w:noWrap/>
            <w:vAlign w:val="bottom"/>
            <w:hideMark/>
          </w:tcPr>
          <w:p w14:paraId="700CA729" w14:textId="77777777" w:rsidR="001C3A40" w:rsidRDefault="001C3A40" w:rsidP="008A28F5">
            <w:pPr>
              <w:jc w:val="right"/>
              <w:rPr>
                <w:rFonts w:ascii="Cambria" w:hAnsi="Cambria" w:cs="Arial"/>
                <w:b/>
                <w:bCs/>
                <w:color w:val="000000"/>
                <w:sz w:val="18"/>
                <w:szCs w:val="18"/>
              </w:rPr>
            </w:pPr>
            <w:r>
              <w:rPr>
                <w:rFonts w:ascii="Cambria" w:hAnsi="Cambria"/>
                <w:b/>
                <w:color w:val="000000"/>
                <w:sz w:val="18"/>
              </w:rPr>
              <w:t>119 607</w:t>
            </w:r>
          </w:p>
        </w:tc>
      </w:tr>
    </w:tbl>
    <w:p w14:paraId="50C4A85C" w14:textId="3926B91B" w:rsidR="00836C49" w:rsidRPr="00C17031" w:rsidRDefault="00836C49" w:rsidP="008A28F5">
      <w:pPr>
        <w:spacing w:line="276" w:lineRule="auto"/>
        <w:jc w:val="both"/>
        <w:rPr>
          <w:rFonts w:ascii="Cambria" w:hAnsi="Cambria"/>
          <w:sz w:val="22"/>
          <w:szCs w:val="22"/>
        </w:rPr>
      </w:pPr>
    </w:p>
    <w:p w14:paraId="6BBB17F8" w14:textId="77777777" w:rsidR="00C114EC" w:rsidRPr="00C17031" w:rsidRDefault="00C114EC" w:rsidP="008A28F5">
      <w:pPr>
        <w:spacing w:line="276" w:lineRule="auto"/>
        <w:jc w:val="both"/>
        <w:rPr>
          <w:rFonts w:ascii="Cambria" w:hAnsi="Cambria"/>
          <w:sz w:val="22"/>
          <w:szCs w:val="22"/>
        </w:rPr>
      </w:pPr>
      <w:r>
        <w:rPr>
          <w:rFonts w:ascii="Cambria" w:hAnsi="Cambria"/>
          <w:sz w:val="22"/>
        </w:rPr>
        <w:t>Comme souligné ci-dessus, les actifs incorporels sont représentés par les logiciels utilisés pour la gestion des points de vente.</w:t>
      </w:r>
    </w:p>
    <w:p w14:paraId="039368AD" w14:textId="19E294AE" w:rsidR="00C114EC" w:rsidRDefault="00C114EC" w:rsidP="008A28F5">
      <w:pPr>
        <w:spacing w:line="276" w:lineRule="auto"/>
        <w:jc w:val="both"/>
        <w:rPr>
          <w:rFonts w:ascii="Cambria" w:hAnsi="Cambria"/>
          <w:sz w:val="22"/>
          <w:szCs w:val="22"/>
        </w:rPr>
      </w:pPr>
      <w:r>
        <w:rPr>
          <w:rFonts w:ascii="Cambria" w:hAnsi="Cambria"/>
          <w:sz w:val="22"/>
        </w:rPr>
        <w:t>La variation de l'exercice, égale à 104 000 euros et calculée déduction faite de la charge d'amortissement de l'exercice, se réfère aux investissements dans les applications logicielles et dans la mise en œuvre du site web, à la capitalisation des coûts de la marque « Overkids » et aux actifs incorporels en cours de développement relatifs à la consultation visant à la cotation de Take Off sur le marché des actions AIM Italia de la Bourse italienne.</w:t>
      </w:r>
    </w:p>
    <w:p w14:paraId="492377C2" w14:textId="67EAD52E" w:rsidR="00E16D12" w:rsidRPr="00860026" w:rsidRDefault="00E16D12" w:rsidP="008A28F5">
      <w:pPr>
        <w:pStyle w:val="Titolo2"/>
        <w:numPr>
          <w:ilvl w:val="0"/>
          <w:numId w:val="6"/>
        </w:numPr>
        <w:spacing w:line="240" w:lineRule="auto"/>
        <w:ind w:left="357" w:right="0" w:hanging="357"/>
        <w:jc w:val="left"/>
        <w:rPr>
          <w:i w:val="0"/>
        </w:rPr>
      </w:pPr>
      <w:bookmarkStart w:id="66" w:name="_Toc112768632"/>
      <w:r>
        <w:rPr>
          <w:i w:val="0"/>
        </w:rPr>
        <w:t>Immobilisations corporelles pour droits d'utilisation</w:t>
      </w:r>
      <w:bookmarkEnd w:id="66"/>
    </w:p>
    <w:p w14:paraId="183CF285" w14:textId="158AA722" w:rsidR="00C114EC" w:rsidRDefault="00C114EC" w:rsidP="008A28F5">
      <w:pPr>
        <w:spacing w:line="276" w:lineRule="auto"/>
        <w:jc w:val="both"/>
        <w:rPr>
          <w:rFonts w:ascii="Cambria" w:hAnsi="Cambria"/>
          <w:sz w:val="22"/>
          <w:szCs w:val="22"/>
        </w:rPr>
      </w:pPr>
      <w:r>
        <w:rPr>
          <w:rFonts w:ascii="Cambria" w:hAnsi="Cambria"/>
          <w:sz w:val="22"/>
        </w:rPr>
        <w:t>La ventilation du poste « Immobilisations corporelles pour droits d'utilisation » au 30 juin 2021, par rapport aux mêmes valeurs au 31 décembre 2020, est présentée ci-dessous :</w:t>
      </w:r>
    </w:p>
    <w:tbl>
      <w:tblPr>
        <w:tblW w:w="9663" w:type="dxa"/>
        <w:tblCellMar>
          <w:left w:w="70" w:type="dxa"/>
          <w:right w:w="70" w:type="dxa"/>
        </w:tblCellMar>
        <w:tblLook w:val="04A0" w:firstRow="1" w:lastRow="0" w:firstColumn="1" w:lastColumn="0" w:noHBand="0" w:noVBand="1"/>
      </w:tblPr>
      <w:tblGrid>
        <w:gridCol w:w="3828"/>
        <w:gridCol w:w="1500"/>
        <w:gridCol w:w="1335"/>
        <w:gridCol w:w="1500"/>
        <w:gridCol w:w="1500"/>
      </w:tblGrid>
      <w:tr w:rsidR="002C6612" w14:paraId="7ABD996F" w14:textId="77777777" w:rsidTr="003F166F">
        <w:trPr>
          <w:trHeight w:val="252"/>
        </w:trPr>
        <w:tc>
          <w:tcPr>
            <w:tcW w:w="3828" w:type="dxa"/>
            <w:tcBorders>
              <w:top w:val="single" w:sz="4" w:space="0" w:color="0070C0"/>
              <w:left w:val="nil"/>
              <w:bottom w:val="single" w:sz="8" w:space="0" w:color="0070C0"/>
              <w:right w:val="nil"/>
            </w:tcBorders>
            <w:shd w:val="clear" w:color="auto" w:fill="auto"/>
            <w:noWrap/>
            <w:vAlign w:val="bottom"/>
            <w:hideMark/>
          </w:tcPr>
          <w:p w14:paraId="271B0F61" w14:textId="77777777" w:rsidR="002C6612" w:rsidRDefault="002C6612" w:rsidP="008A28F5">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500" w:type="dxa"/>
            <w:tcBorders>
              <w:top w:val="single" w:sz="4" w:space="0" w:color="0070C0"/>
              <w:left w:val="nil"/>
              <w:bottom w:val="single" w:sz="8" w:space="0" w:color="0070C0"/>
              <w:right w:val="nil"/>
            </w:tcBorders>
            <w:shd w:val="clear" w:color="auto" w:fill="auto"/>
            <w:vAlign w:val="bottom"/>
            <w:hideMark/>
          </w:tcPr>
          <w:p w14:paraId="5429B987" w14:textId="77777777" w:rsidR="002C6612" w:rsidRDefault="002C6612" w:rsidP="008A28F5">
            <w:pPr>
              <w:jc w:val="center"/>
              <w:rPr>
                <w:rFonts w:ascii="Cambria" w:hAnsi="Cambria" w:cs="Arial"/>
                <w:b/>
                <w:bCs/>
                <w:color w:val="000000"/>
                <w:sz w:val="18"/>
                <w:szCs w:val="18"/>
              </w:rPr>
            </w:pPr>
            <w:r>
              <w:rPr>
                <w:rFonts w:ascii="Cambria" w:hAnsi="Cambria"/>
                <w:b/>
                <w:color w:val="000000"/>
                <w:sz w:val="18"/>
              </w:rPr>
              <w:t>Propriétés</w:t>
            </w:r>
          </w:p>
        </w:tc>
        <w:tc>
          <w:tcPr>
            <w:tcW w:w="1335" w:type="dxa"/>
            <w:tcBorders>
              <w:top w:val="single" w:sz="4" w:space="0" w:color="0070C0"/>
              <w:left w:val="nil"/>
              <w:bottom w:val="single" w:sz="8" w:space="0" w:color="0070C0"/>
              <w:right w:val="nil"/>
            </w:tcBorders>
            <w:shd w:val="clear" w:color="auto" w:fill="auto"/>
            <w:vAlign w:val="bottom"/>
            <w:hideMark/>
          </w:tcPr>
          <w:p w14:paraId="5FBF6036" w14:textId="77777777" w:rsidR="002C6612" w:rsidRDefault="002C6612" w:rsidP="008A28F5">
            <w:pPr>
              <w:jc w:val="center"/>
              <w:rPr>
                <w:rFonts w:ascii="Cambria" w:hAnsi="Cambria" w:cs="Arial"/>
                <w:b/>
                <w:bCs/>
                <w:color w:val="000000"/>
                <w:sz w:val="18"/>
                <w:szCs w:val="18"/>
              </w:rPr>
            </w:pPr>
            <w:r>
              <w:rPr>
                <w:rFonts w:ascii="Cambria" w:hAnsi="Cambria"/>
                <w:b/>
                <w:color w:val="000000"/>
                <w:sz w:val="18"/>
              </w:rPr>
              <w:t>Véhicules</w:t>
            </w:r>
          </w:p>
        </w:tc>
        <w:tc>
          <w:tcPr>
            <w:tcW w:w="1500" w:type="dxa"/>
            <w:tcBorders>
              <w:top w:val="single" w:sz="4" w:space="0" w:color="0070C0"/>
              <w:left w:val="nil"/>
              <w:bottom w:val="single" w:sz="8" w:space="0" w:color="0070C0"/>
              <w:right w:val="nil"/>
            </w:tcBorders>
            <w:shd w:val="clear" w:color="auto" w:fill="auto"/>
            <w:vAlign w:val="bottom"/>
            <w:hideMark/>
          </w:tcPr>
          <w:p w14:paraId="4BDACE3C" w14:textId="77777777" w:rsidR="002C6612" w:rsidRDefault="002C6612" w:rsidP="008A28F5">
            <w:pPr>
              <w:jc w:val="center"/>
              <w:rPr>
                <w:rFonts w:ascii="Cambria" w:hAnsi="Cambria" w:cs="Arial"/>
                <w:b/>
                <w:bCs/>
                <w:color w:val="000000"/>
                <w:sz w:val="18"/>
                <w:szCs w:val="18"/>
              </w:rPr>
            </w:pPr>
            <w:r>
              <w:rPr>
                <w:rFonts w:ascii="Cambria" w:hAnsi="Cambria"/>
                <w:b/>
                <w:color w:val="000000"/>
                <w:sz w:val="18"/>
              </w:rPr>
              <w:t>Équipement</w:t>
            </w:r>
          </w:p>
        </w:tc>
        <w:tc>
          <w:tcPr>
            <w:tcW w:w="1500" w:type="dxa"/>
            <w:tcBorders>
              <w:top w:val="single" w:sz="4" w:space="0" w:color="0070C0"/>
              <w:left w:val="nil"/>
              <w:bottom w:val="single" w:sz="8" w:space="0" w:color="0070C0"/>
              <w:right w:val="nil"/>
            </w:tcBorders>
            <w:shd w:val="clear" w:color="auto" w:fill="auto"/>
            <w:vAlign w:val="bottom"/>
            <w:hideMark/>
          </w:tcPr>
          <w:p w14:paraId="2426ACBD" w14:textId="77777777" w:rsidR="002C6612" w:rsidRDefault="002C6612" w:rsidP="008A28F5">
            <w:pPr>
              <w:jc w:val="center"/>
              <w:rPr>
                <w:rFonts w:ascii="Cambria" w:hAnsi="Cambria" w:cs="Arial"/>
                <w:b/>
                <w:bCs/>
                <w:color w:val="000000"/>
                <w:sz w:val="18"/>
                <w:szCs w:val="18"/>
              </w:rPr>
            </w:pPr>
            <w:r>
              <w:rPr>
                <w:rFonts w:ascii="Cambria" w:hAnsi="Cambria"/>
                <w:b/>
                <w:color w:val="000000"/>
                <w:sz w:val="18"/>
              </w:rPr>
              <w:t>Total</w:t>
            </w:r>
          </w:p>
        </w:tc>
      </w:tr>
      <w:tr w:rsidR="002C6612" w14:paraId="7DEF8D80" w14:textId="77777777" w:rsidTr="003F166F">
        <w:trPr>
          <w:trHeight w:val="240"/>
        </w:trPr>
        <w:tc>
          <w:tcPr>
            <w:tcW w:w="3828" w:type="dxa"/>
            <w:tcBorders>
              <w:top w:val="nil"/>
              <w:left w:val="nil"/>
              <w:bottom w:val="nil"/>
              <w:right w:val="nil"/>
            </w:tcBorders>
            <w:shd w:val="clear" w:color="auto" w:fill="auto"/>
            <w:noWrap/>
            <w:vAlign w:val="bottom"/>
            <w:hideMark/>
          </w:tcPr>
          <w:p w14:paraId="5470626C" w14:textId="77777777" w:rsidR="002C6612" w:rsidRDefault="002C6612" w:rsidP="008A28F5">
            <w:pPr>
              <w:rPr>
                <w:rFonts w:ascii="Cambria" w:hAnsi="Cambria" w:cs="Arial"/>
                <w:b/>
                <w:bCs/>
                <w:color w:val="000000"/>
                <w:sz w:val="18"/>
                <w:szCs w:val="18"/>
              </w:rPr>
            </w:pPr>
            <w:r>
              <w:rPr>
                <w:rFonts w:ascii="Cambria" w:hAnsi="Cambria"/>
                <w:b/>
                <w:color w:val="000000"/>
                <w:sz w:val="18"/>
              </w:rPr>
              <w:t>Valeur historique au 31 décembre 2020</w:t>
            </w:r>
          </w:p>
        </w:tc>
        <w:tc>
          <w:tcPr>
            <w:tcW w:w="1500" w:type="dxa"/>
            <w:tcBorders>
              <w:top w:val="nil"/>
              <w:left w:val="nil"/>
              <w:bottom w:val="nil"/>
              <w:right w:val="nil"/>
            </w:tcBorders>
            <w:shd w:val="clear" w:color="auto" w:fill="auto"/>
            <w:noWrap/>
            <w:vAlign w:val="bottom"/>
            <w:hideMark/>
          </w:tcPr>
          <w:p w14:paraId="767CB5A7" w14:textId="77777777" w:rsidR="002C6612" w:rsidRDefault="002C6612" w:rsidP="008A28F5">
            <w:pPr>
              <w:jc w:val="right"/>
              <w:rPr>
                <w:rFonts w:ascii="Cambria" w:hAnsi="Cambria" w:cs="Arial"/>
                <w:b/>
                <w:bCs/>
                <w:color w:val="000000"/>
                <w:sz w:val="18"/>
                <w:szCs w:val="18"/>
              </w:rPr>
            </w:pPr>
            <w:r>
              <w:rPr>
                <w:rFonts w:ascii="Cambria" w:hAnsi="Cambria"/>
                <w:b/>
                <w:color w:val="000000"/>
                <w:sz w:val="18"/>
              </w:rPr>
              <w:t>10 114 128</w:t>
            </w:r>
          </w:p>
        </w:tc>
        <w:tc>
          <w:tcPr>
            <w:tcW w:w="1335" w:type="dxa"/>
            <w:tcBorders>
              <w:top w:val="nil"/>
              <w:left w:val="nil"/>
              <w:bottom w:val="nil"/>
              <w:right w:val="nil"/>
            </w:tcBorders>
            <w:shd w:val="clear" w:color="auto" w:fill="auto"/>
            <w:noWrap/>
            <w:vAlign w:val="bottom"/>
            <w:hideMark/>
          </w:tcPr>
          <w:p w14:paraId="2951C181" w14:textId="77777777" w:rsidR="002C6612" w:rsidRDefault="002C6612" w:rsidP="008A28F5">
            <w:pPr>
              <w:jc w:val="right"/>
              <w:rPr>
                <w:rFonts w:ascii="Cambria" w:hAnsi="Cambria" w:cs="Arial"/>
                <w:b/>
                <w:bCs/>
                <w:color w:val="000000"/>
                <w:sz w:val="18"/>
                <w:szCs w:val="18"/>
              </w:rPr>
            </w:pPr>
            <w:r>
              <w:rPr>
                <w:rFonts w:ascii="Cambria" w:hAnsi="Cambria"/>
                <w:b/>
                <w:color w:val="000000"/>
                <w:sz w:val="18"/>
              </w:rPr>
              <w:t>36 976</w:t>
            </w:r>
          </w:p>
        </w:tc>
        <w:tc>
          <w:tcPr>
            <w:tcW w:w="1500" w:type="dxa"/>
            <w:tcBorders>
              <w:top w:val="nil"/>
              <w:left w:val="nil"/>
              <w:bottom w:val="nil"/>
              <w:right w:val="nil"/>
            </w:tcBorders>
            <w:shd w:val="clear" w:color="auto" w:fill="auto"/>
            <w:noWrap/>
            <w:vAlign w:val="bottom"/>
            <w:hideMark/>
          </w:tcPr>
          <w:p w14:paraId="407932D4" w14:textId="77777777" w:rsidR="002C6612" w:rsidRDefault="002C6612" w:rsidP="008A28F5">
            <w:pPr>
              <w:jc w:val="right"/>
              <w:rPr>
                <w:rFonts w:ascii="Cambria" w:hAnsi="Cambria" w:cs="Arial"/>
                <w:b/>
                <w:bCs/>
                <w:color w:val="000000"/>
                <w:sz w:val="18"/>
                <w:szCs w:val="18"/>
              </w:rPr>
            </w:pPr>
            <w:r>
              <w:rPr>
                <w:rFonts w:ascii="Cambria" w:hAnsi="Cambria"/>
                <w:b/>
                <w:color w:val="000000"/>
                <w:sz w:val="18"/>
              </w:rPr>
              <w:t>20 022</w:t>
            </w:r>
          </w:p>
        </w:tc>
        <w:tc>
          <w:tcPr>
            <w:tcW w:w="1500" w:type="dxa"/>
            <w:tcBorders>
              <w:top w:val="nil"/>
              <w:left w:val="nil"/>
              <w:bottom w:val="nil"/>
              <w:right w:val="nil"/>
            </w:tcBorders>
            <w:shd w:val="clear" w:color="auto" w:fill="auto"/>
            <w:noWrap/>
            <w:vAlign w:val="bottom"/>
            <w:hideMark/>
          </w:tcPr>
          <w:p w14:paraId="049FB501" w14:textId="77777777" w:rsidR="002C6612" w:rsidRDefault="002C6612" w:rsidP="008A28F5">
            <w:pPr>
              <w:jc w:val="right"/>
              <w:rPr>
                <w:rFonts w:ascii="Cambria" w:hAnsi="Cambria" w:cs="Arial"/>
                <w:b/>
                <w:bCs/>
                <w:color w:val="000000"/>
                <w:sz w:val="18"/>
                <w:szCs w:val="18"/>
              </w:rPr>
            </w:pPr>
            <w:r>
              <w:rPr>
                <w:rFonts w:ascii="Cambria" w:hAnsi="Cambria"/>
                <w:b/>
                <w:color w:val="000000"/>
                <w:sz w:val="18"/>
              </w:rPr>
              <w:t>10 171 126</w:t>
            </w:r>
          </w:p>
        </w:tc>
      </w:tr>
      <w:tr w:rsidR="002C6612" w14:paraId="574D3BBF" w14:textId="77777777" w:rsidTr="003F166F">
        <w:trPr>
          <w:trHeight w:val="240"/>
        </w:trPr>
        <w:tc>
          <w:tcPr>
            <w:tcW w:w="3828" w:type="dxa"/>
            <w:tcBorders>
              <w:top w:val="nil"/>
              <w:left w:val="nil"/>
              <w:bottom w:val="nil"/>
              <w:right w:val="nil"/>
            </w:tcBorders>
            <w:shd w:val="clear" w:color="auto" w:fill="auto"/>
            <w:noWrap/>
            <w:vAlign w:val="bottom"/>
            <w:hideMark/>
          </w:tcPr>
          <w:p w14:paraId="6A1452CC" w14:textId="77777777" w:rsidR="002C6612" w:rsidRDefault="002C6612">
            <w:pPr>
              <w:outlineLvl w:val="0"/>
              <w:rPr>
                <w:rFonts w:ascii="Cambria" w:hAnsi="Cambria" w:cs="Arial"/>
                <w:color w:val="000000"/>
                <w:sz w:val="18"/>
                <w:szCs w:val="18"/>
              </w:rPr>
            </w:pPr>
            <w:bookmarkStart w:id="67" w:name="_Toc101455505"/>
            <w:bookmarkStart w:id="68" w:name="_Toc112768633"/>
            <w:r>
              <w:rPr>
                <w:rFonts w:ascii="Cambria" w:hAnsi="Cambria"/>
                <w:color w:val="000000"/>
                <w:sz w:val="18"/>
              </w:rPr>
              <w:t>Renégociations</w:t>
            </w:r>
            <w:bookmarkEnd w:id="67"/>
            <w:bookmarkEnd w:id="68"/>
          </w:p>
        </w:tc>
        <w:tc>
          <w:tcPr>
            <w:tcW w:w="1500" w:type="dxa"/>
            <w:tcBorders>
              <w:top w:val="nil"/>
              <w:left w:val="nil"/>
              <w:bottom w:val="nil"/>
              <w:right w:val="nil"/>
            </w:tcBorders>
            <w:shd w:val="clear" w:color="auto" w:fill="auto"/>
            <w:noWrap/>
            <w:vAlign w:val="bottom"/>
            <w:hideMark/>
          </w:tcPr>
          <w:p w14:paraId="28B93A25" w14:textId="77777777" w:rsidR="002C6612" w:rsidRDefault="002C6612">
            <w:pPr>
              <w:jc w:val="right"/>
              <w:outlineLvl w:val="0"/>
              <w:rPr>
                <w:rFonts w:ascii="Cambria" w:hAnsi="Cambria" w:cs="Arial"/>
                <w:color w:val="000000"/>
                <w:sz w:val="18"/>
                <w:szCs w:val="18"/>
              </w:rPr>
            </w:pPr>
            <w:bookmarkStart w:id="69" w:name="_Toc101455506"/>
            <w:bookmarkStart w:id="70" w:name="_Toc112768634"/>
            <w:r>
              <w:rPr>
                <w:rFonts w:ascii="Cambria" w:hAnsi="Cambria"/>
                <w:color w:val="000000"/>
                <w:sz w:val="18"/>
              </w:rPr>
              <w:t>(87 190)</w:t>
            </w:r>
            <w:bookmarkEnd w:id="69"/>
            <w:bookmarkEnd w:id="70"/>
          </w:p>
        </w:tc>
        <w:tc>
          <w:tcPr>
            <w:tcW w:w="1335" w:type="dxa"/>
            <w:tcBorders>
              <w:top w:val="nil"/>
              <w:left w:val="nil"/>
              <w:bottom w:val="nil"/>
              <w:right w:val="nil"/>
            </w:tcBorders>
            <w:shd w:val="clear" w:color="auto" w:fill="auto"/>
            <w:noWrap/>
            <w:vAlign w:val="bottom"/>
            <w:hideMark/>
          </w:tcPr>
          <w:p w14:paraId="64F875B4" w14:textId="77777777" w:rsidR="002C6612" w:rsidRDefault="002C6612">
            <w:pPr>
              <w:jc w:val="right"/>
              <w:outlineLvl w:val="0"/>
              <w:rPr>
                <w:rFonts w:ascii="Cambria" w:hAnsi="Cambria" w:cs="Arial"/>
                <w:color w:val="000000"/>
                <w:sz w:val="18"/>
                <w:szCs w:val="18"/>
              </w:rPr>
            </w:pPr>
            <w:bookmarkStart w:id="71" w:name="_Toc101455507"/>
            <w:bookmarkStart w:id="72" w:name="_Toc112768635"/>
            <w:r>
              <w:rPr>
                <w:rFonts w:ascii="Cambria" w:hAnsi="Cambria"/>
                <w:color w:val="000000"/>
                <w:sz w:val="18"/>
              </w:rPr>
              <w:t>0</w:t>
            </w:r>
            <w:bookmarkEnd w:id="71"/>
            <w:bookmarkEnd w:id="72"/>
          </w:p>
        </w:tc>
        <w:tc>
          <w:tcPr>
            <w:tcW w:w="1500" w:type="dxa"/>
            <w:tcBorders>
              <w:top w:val="nil"/>
              <w:left w:val="nil"/>
              <w:bottom w:val="nil"/>
              <w:right w:val="nil"/>
            </w:tcBorders>
            <w:shd w:val="clear" w:color="auto" w:fill="auto"/>
            <w:noWrap/>
            <w:vAlign w:val="bottom"/>
            <w:hideMark/>
          </w:tcPr>
          <w:p w14:paraId="2AC8798C" w14:textId="77777777" w:rsidR="002C6612" w:rsidRDefault="002C6612">
            <w:pPr>
              <w:jc w:val="right"/>
              <w:outlineLvl w:val="0"/>
              <w:rPr>
                <w:rFonts w:ascii="Cambria" w:hAnsi="Cambria" w:cs="Arial"/>
                <w:color w:val="000000"/>
                <w:sz w:val="18"/>
                <w:szCs w:val="18"/>
              </w:rPr>
            </w:pPr>
            <w:bookmarkStart w:id="73" w:name="_Toc101455508"/>
            <w:bookmarkStart w:id="74" w:name="_Toc112768636"/>
            <w:r>
              <w:rPr>
                <w:rFonts w:ascii="Cambria" w:hAnsi="Cambria"/>
                <w:color w:val="000000"/>
                <w:sz w:val="18"/>
              </w:rPr>
              <w:t>0</w:t>
            </w:r>
            <w:bookmarkEnd w:id="73"/>
            <w:bookmarkEnd w:id="74"/>
          </w:p>
        </w:tc>
        <w:tc>
          <w:tcPr>
            <w:tcW w:w="1500" w:type="dxa"/>
            <w:tcBorders>
              <w:top w:val="nil"/>
              <w:left w:val="nil"/>
              <w:bottom w:val="nil"/>
              <w:right w:val="nil"/>
            </w:tcBorders>
            <w:shd w:val="clear" w:color="auto" w:fill="auto"/>
            <w:noWrap/>
            <w:vAlign w:val="bottom"/>
            <w:hideMark/>
          </w:tcPr>
          <w:p w14:paraId="67EBACB3" w14:textId="77777777" w:rsidR="002C6612" w:rsidRDefault="002C6612">
            <w:pPr>
              <w:jc w:val="right"/>
              <w:outlineLvl w:val="0"/>
              <w:rPr>
                <w:rFonts w:ascii="Cambria" w:hAnsi="Cambria" w:cs="Arial"/>
                <w:color w:val="000000"/>
                <w:sz w:val="18"/>
                <w:szCs w:val="18"/>
              </w:rPr>
            </w:pPr>
            <w:bookmarkStart w:id="75" w:name="_Toc101455509"/>
            <w:bookmarkStart w:id="76" w:name="_Toc112768637"/>
            <w:r>
              <w:rPr>
                <w:rFonts w:ascii="Cambria" w:hAnsi="Cambria"/>
                <w:color w:val="000000"/>
                <w:sz w:val="18"/>
              </w:rPr>
              <w:t>(87 190)</w:t>
            </w:r>
            <w:bookmarkEnd w:id="75"/>
            <w:bookmarkEnd w:id="76"/>
          </w:p>
        </w:tc>
      </w:tr>
      <w:tr w:rsidR="002C6612" w14:paraId="2F538CDA" w14:textId="77777777" w:rsidTr="003F166F">
        <w:trPr>
          <w:trHeight w:val="240"/>
        </w:trPr>
        <w:tc>
          <w:tcPr>
            <w:tcW w:w="3828" w:type="dxa"/>
            <w:tcBorders>
              <w:top w:val="nil"/>
              <w:left w:val="nil"/>
              <w:bottom w:val="nil"/>
              <w:right w:val="nil"/>
            </w:tcBorders>
            <w:shd w:val="clear" w:color="auto" w:fill="auto"/>
            <w:noWrap/>
            <w:vAlign w:val="bottom"/>
            <w:hideMark/>
          </w:tcPr>
          <w:p w14:paraId="48F9FDBB" w14:textId="77777777" w:rsidR="002C6612" w:rsidRDefault="002C6612">
            <w:pPr>
              <w:outlineLvl w:val="0"/>
              <w:rPr>
                <w:rFonts w:ascii="Cambria" w:hAnsi="Cambria" w:cs="Arial"/>
                <w:color w:val="000000"/>
                <w:sz w:val="18"/>
                <w:szCs w:val="18"/>
              </w:rPr>
            </w:pPr>
            <w:bookmarkStart w:id="77" w:name="_Toc101455510"/>
            <w:bookmarkStart w:id="78" w:name="_Toc112768638"/>
            <w:r>
              <w:rPr>
                <w:rFonts w:ascii="Cambria" w:hAnsi="Cambria"/>
                <w:color w:val="000000"/>
                <w:sz w:val="18"/>
              </w:rPr>
              <w:t>Augmentations pour la période</w:t>
            </w:r>
            <w:bookmarkEnd w:id="77"/>
            <w:bookmarkEnd w:id="78"/>
          </w:p>
        </w:tc>
        <w:tc>
          <w:tcPr>
            <w:tcW w:w="1500" w:type="dxa"/>
            <w:tcBorders>
              <w:top w:val="nil"/>
              <w:left w:val="nil"/>
              <w:bottom w:val="nil"/>
              <w:right w:val="nil"/>
            </w:tcBorders>
            <w:shd w:val="clear" w:color="auto" w:fill="auto"/>
            <w:noWrap/>
            <w:vAlign w:val="bottom"/>
            <w:hideMark/>
          </w:tcPr>
          <w:p w14:paraId="3987C5A0" w14:textId="77777777" w:rsidR="002C6612" w:rsidRDefault="002C6612">
            <w:pPr>
              <w:jc w:val="right"/>
              <w:outlineLvl w:val="0"/>
              <w:rPr>
                <w:rFonts w:ascii="Cambria" w:hAnsi="Cambria" w:cs="Arial"/>
                <w:color w:val="000000"/>
                <w:sz w:val="18"/>
                <w:szCs w:val="18"/>
              </w:rPr>
            </w:pPr>
            <w:bookmarkStart w:id="79" w:name="_Toc101455511"/>
            <w:bookmarkStart w:id="80" w:name="_Toc112768639"/>
            <w:r>
              <w:rPr>
                <w:rFonts w:ascii="Cambria" w:hAnsi="Cambria"/>
                <w:color w:val="000000"/>
                <w:sz w:val="18"/>
              </w:rPr>
              <w:t>191 424</w:t>
            </w:r>
            <w:bookmarkEnd w:id="79"/>
            <w:bookmarkEnd w:id="80"/>
          </w:p>
        </w:tc>
        <w:tc>
          <w:tcPr>
            <w:tcW w:w="1335" w:type="dxa"/>
            <w:tcBorders>
              <w:top w:val="nil"/>
              <w:left w:val="nil"/>
              <w:bottom w:val="nil"/>
              <w:right w:val="nil"/>
            </w:tcBorders>
            <w:shd w:val="clear" w:color="auto" w:fill="auto"/>
            <w:noWrap/>
            <w:vAlign w:val="bottom"/>
            <w:hideMark/>
          </w:tcPr>
          <w:p w14:paraId="28B56B09" w14:textId="77777777" w:rsidR="002C6612" w:rsidRDefault="002C6612">
            <w:pPr>
              <w:jc w:val="right"/>
              <w:outlineLvl w:val="0"/>
              <w:rPr>
                <w:rFonts w:ascii="Cambria" w:hAnsi="Cambria" w:cs="Arial"/>
                <w:color w:val="000000"/>
                <w:sz w:val="18"/>
                <w:szCs w:val="18"/>
              </w:rPr>
            </w:pPr>
            <w:bookmarkStart w:id="81" w:name="_Toc101455512"/>
            <w:bookmarkStart w:id="82" w:name="_Toc112768640"/>
            <w:r>
              <w:rPr>
                <w:rFonts w:ascii="Cambria" w:hAnsi="Cambria"/>
                <w:color w:val="000000"/>
                <w:sz w:val="18"/>
              </w:rPr>
              <w:t>0</w:t>
            </w:r>
            <w:bookmarkEnd w:id="81"/>
            <w:bookmarkEnd w:id="82"/>
          </w:p>
        </w:tc>
        <w:tc>
          <w:tcPr>
            <w:tcW w:w="1500" w:type="dxa"/>
            <w:tcBorders>
              <w:top w:val="nil"/>
              <w:left w:val="nil"/>
              <w:bottom w:val="nil"/>
              <w:right w:val="nil"/>
            </w:tcBorders>
            <w:shd w:val="clear" w:color="auto" w:fill="auto"/>
            <w:noWrap/>
            <w:vAlign w:val="bottom"/>
            <w:hideMark/>
          </w:tcPr>
          <w:p w14:paraId="52D7FEED" w14:textId="77777777" w:rsidR="002C6612" w:rsidRDefault="002C6612">
            <w:pPr>
              <w:jc w:val="right"/>
              <w:outlineLvl w:val="0"/>
              <w:rPr>
                <w:rFonts w:ascii="Cambria" w:hAnsi="Cambria" w:cs="Arial"/>
                <w:color w:val="000000"/>
                <w:sz w:val="18"/>
                <w:szCs w:val="18"/>
              </w:rPr>
            </w:pPr>
            <w:bookmarkStart w:id="83" w:name="_Toc101455513"/>
            <w:bookmarkStart w:id="84" w:name="_Toc112768641"/>
            <w:r>
              <w:rPr>
                <w:rFonts w:ascii="Cambria" w:hAnsi="Cambria"/>
                <w:color w:val="000000"/>
                <w:sz w:val="18"/>
              </w:rPr>
              <w:t>0</w:t>
            </w:r>
            <w:bookmarkEnd w:id="83"/>
            <w:bookmarkEnd w:id="84"/>
          </w:p>
        </w:tc>
        <w:tc>
          <w:tcPr>
            <w:tcW w:w="1500" w:type="dxa"/>
            <w:tcBorders>
              <w:top w:val="nil"/>
              <w:left w:val="nil"/>
              <w:bottom w:val="nil"/>
              <w:right w:val="nil"/>
            </w:tcBorders>
            <w:shd w:val="clear" w:color="auto" w:fill="auto"/>
            <w:noWrap/>
            <w:vAlign w:val="bottom"/>
            <w:hideMark/>
          </w:tcPr>
          <w:p w14:paraId="435BAEF4" w14:textId="77777777" w:rsidR="002C6612" w:rsidRDefault="002C6612">
            <w:pPr>
              <w:jc w:val="right"/>
              <w:outlineLvl w:val="0"/>
              <w:rPr>
                <w:rFonts w:ascii="Cambria" w:hAnsi="Cambria" w:cs="Arial"/>
                <w:color w:val="000000"/>
                <w:sz w:val="18"/>
                <w:szCs w:val="18"/>
              </w:rPr>
            </w:pPr>
            <w:bookmarkStart w:id="85" w:name="_Toc101455514"/>
            <w:bookmarkStart w:id="86" w:name="_Toc112768642"/>
            <w:r>
              <w:rPr>
                <w:rFonts w:ascii="Cambria" w:hAnsi="Cambria"/>
                <w:color w:val="000000"/>
                <w:sz w:val="18"/>
              </w:rPr>
              <w:t>191 424</w:t>
            </w:r>
            <w:bookmarkEnd w:id="85"/>
            <w:bookmarkEnd w:id="86"/>
          </w:p>
        </w:tc>
      </w:tr>
      <w:tr w:rsidR="002C6612" w14:paraId="2D7E742A" w14:textId="77777777" w:rsidTr="00454EE7">
        <w:trPr>
          <w:trHeight w:val="1148"/>
        </w:trPr>
        <w:tc>
          <w:tcPr>
            <w:tcW w:w="3828" w:type="dxa"/>
            <w:tcBorders>
              <w:top w:val="nil"/>
              <w:left w:val="nil"/>
              <w:bottom w:val="nil"/>
              <w:right w:val="nil"/>
            </w:tcBorders>
            <w:shd w:val="clear" w:color="auto" w:fill="auto"/>
            <w:noWrap/>
            <w:vAlign w:val="bottom"/>
            <w:hideMark/>
          </w:tcPr>
          <w:p w14:paraId="334F423D" w14:textId="77777777" w:rsidR="002C6612" w:rsidRDefault="002C6612">
            <w:pPr>
              <w:outlineLvl w:val="0"/>
              <w:rPr>
                <w:rFonts w:ascii="Cambria" w:hAnsi="Cambria" w:cs="Arial"/>
                <w:color w:val="000000"/>
                <w:sz w:val="18"/>
                <w:szCs w:val="18"/>
              </w:rPr>
            </w:pPr>
            <w:bookmarkStart w:id="87" w:name="_Toc101455515"/>
            <w:bookmarkStart w:id="88" w:name="_Toc112768643"/>
            <w:r>
              <w:rPr>
                <w:rFonts w:ascii="Cambria" w:hAnsi="Cambria"/>
                <w:color w:val="000000"/>
                <w:sz w:val="18"/>
              </w:rPr>
              <w:t>Résiliations</w:t>
            </w:r>
            <w:bookmarkEnd w:id="87"/>
            <w:bookmarkEnd w:id="88"/>
          </w:p>
        </w:tc>
        <w:tc>
          <w:tcPr>
            <w:tcW w:w="1500" w:type="dxa"/>
            <w:tcBorders>
              <w:top w:val="nil"/>
              <w:left w:val="nil"/>
              <w:bottom w:val="nil"/>
              <w:right w:val="nil"/>
            </w:tcBorders>
            <w:shd w:val="clear" w:color="auto" w:fill="auto"/>
            <w:noWrap/>
            <w:vAlign w:val="bottom"/>
            <w:hideMark/>
          </w:tcPr>
          <w:p w14:paraId="02ACFD19" w14:textId="77777777" w:rsidR="002C6612" w:rsidRDefault="002C6612">
            <w:pPr>
              <w:jc w:val="right"/>
              <w:outlineLvl w:val="0"/>
              <w:rPr>
                <w:rFonts w:ascii="Cambria" w:hAnsi="Cambria" w:cs="Arial"/>
                <w:color w:val="000000"/>
                <w:sz w:val="18"/>
                <w:szCs w:val="18"/>
              </w:rPr>
            </w:pPr>
            <w:bookmarkStart w:id="89" w:name="_Toc101455516"/>
            <w:bookmarkStart w:id="90" w:name="_Toc112768644"/>
            <w:r>
              <w:rPr>
                <w:rFonts w:ascii="Cambria" w:hAnsi="Cambria"/>
                <w:color w:val="000000"/>
                <w:sz w:val="18"/>
              </w:rPr>
              <w:t>0</w:t>
            </w:r>
            <w:bookmarkEnd w:id="89"/>
            <w:bookmarkEnd w:id="90"/>
          </w:p>
        </w:tc>
        <w:tc>
          <w:tcPr>
            <w:tcW w:w="1335" w:type="dxa"/>
            <w:tcBorders>
              <w:top w:val="nil"/>
              <w:left w:val="nil"/>
              <w:bottom w:val="nil"/>
              <w:right w:val="nil"/>
            </w:tcBorders>
            <w:shd w:val="clear" w:color="auto" w:fill="auto"/>
            <w:noWrap/>
            <w:vAlign w:val="bottom"/>
            <w:hideMark/>
          </w:tcPr>
          <w:p w14:paraId="417660E1" w14:textId="77777777" w:rsidR="002C6612" w:rsidRDefault="002C6612">
            <w:pPr>
              <w:jc w:val="right"/>
              <w:outlineLvl w:val="0"/>
              <w:rPr>
                <w:rFonts w:ascii="Cambria" w:hAnsi="Cambria" w:cs="Arial"/>
                <w:color w:val="000000"/>
                <w:sz w:val="18"/>
                <w:szCs w:val="18"/>
              </w:rPr>
            </w:pPr>
            <w:bookmarkStart w:id="91" w:name="_Toc101455517"/>
            <w:bookmarkStart w:id="92" w:name="_Toc112768645"/>
            <w:r>
              <w:rPr>
                <w:rFonts w:ascii="Cambria" w:hAnsi="Cambria"/>
                <w:color w:val="000000"/>
                <w:sz w:val="18"/>
              </w:rPr>
              <w:t>0</w:t>
            </w:r>
            <w:bookmarkEnd w:id="91"/>
            <w:bookmarkEnd w:id="92"/>
          </w:p>
        </w:tc>
        <w:tc>
          <w:tcPr>
            <w:tcW w:w="1500" w:type="dxa"/>
            <w:tcBorders>
              <w:top w:val="nil"/>
              <w:left w:val="nil"/>
              <w:bottom w:val="nil"/>
              <w:right w:val="nil"/>
            </w:tcBorders>
            <w:shd w:val="clear" w:color="auto" w:fill="auto"/>
            <w:noWrap/>
            <w:vAlign w:val="bottom"/>
            <w:hideMark/>
          </w:tcPr>
          <w:p w14:paraId="756F6570" w14:textId="77777777" w:rsidR="002C6612" w:rsidRDefault="002C6612">
            <w:pPr>
              <w:jc w:val="right"/>
              <w:outlineLvl w:val="0"/>
              <w:rPr>
                <w:rFonts w:ascii="Cambria" w:hAnsi="Cambria" w:cs="Arial"/>
                <w:color w:val="000000"/>
                <w:sz w:val="18"/>
                <w:szCs w:val="18"/>
              </w:rPr>
            </w:pPr>
            <w:bookmarkStart w:id="93" w:name="_Toc101455518"/>
            <w:bookmarkStart w:id="94" w:name="_Toc112768646"/>
            <w:r>
              <w:rPr>
                <w:rFonts w:ascii="Cambria" w:hAnsi="Cambria"/>
                <w:color w:val="000000"/>
                <w:sz w:val="18"/>
              </w:rPr>
              <w:t>0</w:t>
            </w:r>
            <w:bookmarkEnd w:id="93"/>
            <w:bookmarkEnd w:id="94"/>
          </w:p>
        </w:tc>
        <w:tc>
          <w:tcPr>
            <w:tcW w:w="1500" w:type="dxa"/>
            <w:tcBorders>
              <w:top w:val="nil"/>
              <w:left w:val="nil"/>
              <w:bottom w:val="nil"/>
              <w:right w:val="nil"/>
            </w:tcBorders>
            <w:shd w:val="clear" w:color="auto" w:fill="auto"/>
            <w:noWrap/>
            <w:vAlign w:val="bottom"/>
            <w:hideMark/>
          </w:tcPr>
          <w:p w14:paraId="4D937864" w14:textId="77777777" w:rsidR="002C6612" w:rsidRDefault="002C6612">
            <w:pPr>
              <w:jc w:val="right"/>
              <w:outlineLvl w:val="0"/>
              <w:rPr>
                <w:rFonts w:ascii="Cambria" w:hAnsi="Cambria" w:cs="Arial"/>
                <w:color w:val="000000"/>
                <w:sz w:val="18"/>
                <w:szCs w:val="18"/>
              </w:rPr>
            </w:pPr>
            <w:bookmarkStart w:id="95" w:name="_Toc101455519"/>
            <w:bookmarkStart w:id="96" w:name="_Toc112768647"/>
            <w:r>
              <w:rPr>
                <w:rFonts w:ascii="Cambria" w:hAnsi="Cambria"/>
                <w:color w:val="000000"/>
                <w:sz w:val="18"/>
              </w:rPr>
              <w:t>0</w:t>
            </w:r>
            <w:bookmarkEnd w:id="95"/>
            <w:bookmarkEnd w:id="96"/>
          </w:p>
        </w:tc>
      </w:tr>
      <w:tr w:rsidR="002C6612" w14:paraId="4D81C6CD" w14:textId="77777777" w:rsidTr="003F166F">
        <w:trPr>
          <w:trHeight w:val="252"/>
        </w:trPr>
        <w:tc>
          <w:tcPr>
            <w:tcW w:w="3828" w:type="dxa"/>
            <w:tcBorders>
              <w:top w:val="nil"/>
              <w:left w:val="nil"/>
              <w:bottom w:val="nil"/>
              <w:right w:val="nil"/>
            </w:tcBorders>
            <w:shd w:val="clear" w:color="auto" w:fill="auto"/>
            <w:noWrap/>
            <w:vAlign w:val="bottom"/>
            <w:hideMark/>
          </w:tcPr>
          <w:p w14:paraId="673B2EF2" w14:textId="77777777" w:rsidR="002C6612" w:rsidRDefault="002C6612">
            <w:pPr>
              <w:outlineLvl w:val="0"/>
              <w:rPr>
                <w:rFonts w:ascii="Cambria" w:hAnsi="Cambria" w:cs="Arial"/>
                <w:b/>
                <w:bCs/>
                <w:color w:val="000000"/>
                <w:sz w:val="18"/>
                <w:szCs w:val="18"/>
              </w:rPr>
            </w:pPr>
            <w:bookmarkStart w:id="97" w:name="_Toc101455520"/>
            <w:bookmarkStart w:id="98" w:name="_Toc112768648"/>
            <w:r>
              <w:rPr>
                <w:rFonts w:ascii="Cambria" w:hAnsi="Cambria"/>
                <w:b/>
                <w:color w:val="000000"/>
                <w:sz w:val="18"/>
              </w:rPr>
              <w:lastRenderedPageBreak/>
              <w:t>Valeur historique au 30 juin 2021</w:t>
            </w:r>
            <w:bookmarkEnd w:id="97"/>
            <w:bookmarkEnd w:id="98"/>
          </w:p>
        </w:tc>
        <w:tc>
          <w:tcPr>
            <w:tcW w:w="1500" w:type="dxa"/>
            <w:tcBorders>
              <w:top w:val="single" w:sz="4" w:space="0" w:color="auto"/>
              <w:left w:val="nil"/>
              <w:bottom w:val="single" w:sz="8" w:space="0" w:color="auto"/>
              <w:right w:val="nil"/>
            </w:tcBorders>
            <w:shd w:val="clear" w:color="auto" w:fill="auto"/>
            <w:noWrap/>
            <w:vAlign w:val="bottom"/>
            <w:hideMark/>
          </w:tcPr>
          <w:p w14:paraId="6484E2E3" w14:textId="77777777" w:rsidR="002C6612" w:rsidRDefault="002C6612">
            <w:pPr>
              <w:jc w:val="right"/>
              <w:outlineLvl w:val="0"/>
              <w:rPr>
                <w:rFonts w:ascii="Cambria" w:hAnsi="Cambria" w:cs="Arial"/>
                <w:b/>
                <w:bCs/>
                <w:color w:val="000000"/>
                <w:sz w:val="18"/>
                <w:szCs w:val="18"/>
              </w:rPr>
            </w:pPr>
            <w:bookmarkStart w:id="99" w:name="_Toc101455521"/>
            <w:bookmarkStart w:id="100" w:name="_Toc112768649"/>
            <w:r>
              <w:rPr>
                <w:rFonts w:ascii="Cambria" w:hAnsi="Cambria"/>
                <w:b/>
                <w:color w:val="000000"/>
                <w:sz w:val="18"/>
              </w:rPr>
              <w:t>10 218 362</w:t>
            </w:r>
            <w:bookmarkEnd w:id="99"/>
            <w:bookmarkEnd w:id="100"/>
          </w:p>
        </w:tc>
        <w:tc>
          <w:tcPr>
            <w:tcW w:w="1335" w:type="dxa"/>
            <w:tcBorders>
              <w:top w:val="single" w:sz="4" w:space="0" w:color="auto"/>
              <w:left w:val="nil"/>
              <w:bottom w:val="single" w:sz="8" w:space="0" w:color="auto"/>
              <w:right w:val="nil"/>
            </w:tcBorders>
            <w:shd w:val="clear" w:color="auto" w:fill="auto"/>
            <w:noWrap/>
            <w:vAlign w:val="bottom"/>
            <w:hideMark/>
          </w:tcPr>
          <w:p w14:paraId="59010AA9" w14:textId="77777777" w:rsidR="002C6612" w:rsidRDefault="002C6612">
            <w:pPr>
              <w:jc w:val="right"/>
              <w:outlineLvl w:val="0"/>
              <w:rPr>
                <w:rFonts w:ascii="Cambria" w:hAnsi="Cambria" w:cs="Arial"/>
                <w:b/>
                <w:bCs/>
                <w:color w:val="000000"/>
                <w:sz w:val="18"/>
                <w:szCs w:val="18"/>
              </w:rPr>
            </w:pPr>
            <w:bookmarkStart w:id="101" w:name="_Toc101455522"/>
            <w:bookmarkStart w:id="102" w:name="_Toc112768650"/>
            <w:r>
              <w:rPr>
                <w:rFonts w:ascii="Cambria" w:hAnsi="Cambria"/>
                <w:b/>
                <w:color w:val="000000"/>
                <w:sz w:val="18"/>
              </w:rPr>
              <w:t>36 976</w:t>
            </w:r>
            <w:bookmarkEnd w:id="101"/>
            <w:bookmarkEnd w:id="102"/>
          </w:p>
        </w:tc>
        <w:tc>
          <w:tcPr>
            <w:tcW w:w="1500" w:type="dxa"/>
            <w:tcBorders>
              <w:top w:val="single" w:sz="4" w:space="0" w:color="auto"/>
              <w:left w:val="nil"/>
              <w:bottom w:val="single" w:sz="8" w:space="0" w:color="auto"/>
              <w:right w:val="nil"/>
            </w:tcBorders>
            <w:shd w:val="clear" w:color="auto" w:fill="auto"/>
            <w:noWrap/>
            <w:vAlign w:val="bottom"/>
            <w:hideMark/>
          </w:tcPr>
          <w:p w14:paraId="1802DA53" w14:textId="77777777" w:rsidR="002C6612" w:rsidRDefault="002C6612">
            <w:pPr>
              <w:jc w:val="right"/>
              <w:outlineLvl w:val="0"/>
              <w:rPr>
                <w:rFonts w:ascii="Cambria" w:hAnsi="Cambria" w:cs="Arial"/>
                <w:b/>
                <w:bCs/>
                <w:color w:val="000000"/>
                <w:sz w:val="18"/>
                <w:szCs w:val="18"/>
              </w:rPr>
            </w:pPr>
            <w:bookmarkStart w:id="103" w:name="_Toc101455523"/>
            <w:bookmarkStart w:id="104" w:name="_Toc112768651"/>
            <w:r>
              <w:rPr>
                <w:rFonts w:ascii="Cambria" w:hAnsi="Cambria"/>
                <w:b/>
                <w:color w:val="000000"/>
                <w:sz w:val="18"/>
              </w:rPr>
              <w:t>20 022</w:t>
            </w:r>
            <w:bookmarkEnd w:id="103"/>
            <w:bookmarkEnd w:id="104"/>
          </w:p>
        </w:tc>
        <w:tc>
          <w:tcPr>
            <w:tcW w:w="1500" w:type="dxa"/>
            <w:tcBorders>
              <w:top w:val="single" w:sz="4" w:space="0" w:color="auto"/>
              <w:left w:val="nil"/>
              <w:bottom w:val="single" w:sz="8" w:space="0" w:color="auto"/>
              <w:right w:val="nil"/>
            </w:tcBorders>
            <w:shd w:val="clear" w:color="auto" w:fill="auto"/>
            <w:noWrap/>
            <w:vAlign w:val="bottom"/>
            <w:hideMark/>
          </w:tcPr>
          <w:p w14:paraId="407E6F54" w14:textId="77777777" w:rsidR="002C6612" w:rsidRDefault="002C6612">
            <w:pPr>
              <w:jc w:val="right"/>
              <w:outlineLvl w:val="0"/>
              <w:rPr>
                <w:rFonts w:ascii="Cambria" w:hAnsi="Cambria" w:cs="Arial"/>
                <w:b/>
                <w:bCs/>
                <w:color w:val="000000"/>
                <w:sz w:val="18"/>
                <w:szCs w:val="18"/>
              </w:rPr>
            </w:pPr>
            <w:bookmarkStart w:id="105" w:name="_Toc101455524"/>
            <w:bookmarkStart w:id="106" w:name="_Toc112768652"/>
            <w:r>
              <w:rPr>
                <w:rFonts w:ascii="Cambria" w:hAnsi="Cambria"/>
                <w:b/>
                <w:color w:val="000000"/>
                <w:sz w:val="18"/>
              </w:rPr>
              <w:t>10 275 360</w:t>
            </w:r>
            <w:bookmarkEnd w:id="105"/>
            <w:bookmarkEnd w:id="106"/>
          </w:p>
        </w:tc>
      </w:tr>
      <w:tr w:rsidR="002C6612" w14:paraId="4C3A933D" w14:textId="77777777" w:rsidTr="003F166F">
        <w:trPr>
          <w:trHeight w:val="240"/>
        </w:trPr>
        <w:tc>
          <w:tcPr>
            <w:tcW w:w="3828" w:type="dxa"/>
            <w:tcBorders>
              <w:top w:val="nil"/>
              <w:left w:val="nil"/>
              <w:bottom w:val="nil"/>
              <w:right w:val="nil"/>
            </w:tcBorders>
            <w:shd w:val="clear" w:color="auto" w:fill="auto"/>
            <w:noWrap/>
            <w:vAlign w:val="bottom"/>
            <w:hideMark/>
          </w:tcPr>
          <w:p w14:paraId="06B485C9" w14:textId="77777777" w:rsidR="002C6612" w:rsidRDefault="002C6612">
            <w:pPr>
              <w:jc w:val="right"/>
              <w:outlineLvl w:val="0"/>
              <w:rPr>
                <w:rFonts w:ascii="Cambria" w:hAnsi="Cambria" w:cs="Arial"/>
                <w:b/>
                <w:bCs/>
                <w:color w:val="000000"/>
                <w:sz w:val="18"/>
                <w:szCs w:val="18"/>
              </w:rPr>
            </w:pPr>
          </w:p>
        </w:tc>
        <w:tc>
          <w:tcPr>
            <w:tcW w:w="1500" w:type="dxa"/>
            <w:tcBorders>
              <w:top w:val="nil"/>
              <w:left w:val="nil"/>
              <w:bottom w:val="nil"/>
              <w:right w:val="nil"/>
            </w:tcBorders>
            <w:shd w:val="clear" w:color="auto" w:fill="auto"/>
            <w:noWrap/>
            <w:vAlign w:val="bottom"/>
            <w:hideMark/>
          </w:tcPr>
          <w:p w14:paraId="567D254B" w14:textId="77777777" w:rsidR="002C6612" w:rsidRDefault="002C6612">
            <w:pPr>
              <w:rPr>
                <w:sz w:val="20"/>
                <w:szCs w:val="20"/>
              </w:rPr>
            </w:pPr>
          </w:p>
        </w:tc>
        <w:tc>
          <w:tcPr>
            <w:tcW w:w="1335" w:type="dxa"/>
            <w:tcBorders>
              <w:top w:val="nil"/>
              <w:left w:val="nil"/>
              <w:bottom w:val="nil"/>
              <w:right w:val="nil"/>
            </w:tcBorders>
            <w:shd w:val="clear" w:color="auto" w:fill="auto"/>
            <w:noWrap/>
            <w:vAlign w:val="bottom"/>
            <w:hideMark/>
          </w:tcPr>
          <w:p w14:paraId="1A0C8DB5" w14:textId="77777777" w:rsidR="002C6612" w:rsidRDefault="002C6612">
            <w:pPr>
              <w:rPr>
                <w:sz w:val="20"/>
                <w:szCs w:val="20"/>
              </w:rPr>
            </w:pPr>
          </w:p>
        </w:tc>
        <w:tc>
          <w:tcPr>
            <w:tcW w:w="1500" w:type="dxa"/>
            <w:tcBorders>
              <w:top w:val="nil"/>
              <w:left w:val="nil"/>
              <w:bottom w:val="nil"/>
              <w:right w:val="nil"/>
            </w:tcBorders>
            <w:shd w:val="clear" w:color="auto" w:fill="auto"/>
            <w:noWrap/>
            <w:vAlign w:val="bottom"/>
            <w:hideMark/>
          </w:tcPr>
          <w:p w14:paraId="6EA51BF6" w14:textId="77777777" w:rsidR="002C6612" w:rsidRDefault="002C6612">
            <w:pPr>
              <w:rPr>
                <w:sz w:val="20"/>
                <w:szCs w:val="20"/>
              </w:rPr>
            </w:pPr>
          </w:p>
        </w:tc>
        <w:tc>
          <w:tcPr>
            <w:tcW w:w="1500" w:type="dxa"/>
            <w:tcBorders>
              <w:top w:val="nil"/>
              <w:left w:val="nil"/>
              <w:bottom w:val="nil"/>
              <w:right w:val="nil"/>
            </w:tcBorders>
            <w:shd w:val="clear" w:color="auto" w:fill="auto"/>
            <w:noWrap/>
            <w:vAlign w:val="bottom"/>
            <w:hideMark/>
          </w:tcPr>
          <w:p w14:paraId="4F2EA9F2" w14:textId="77777777" w:rsidR="002C6612" w:rsidRDefault="002C6612">
            <w:pPr>
              <w:rPr>
                <w:sz w:val="20"/>
                <w:szCs w:val="20"/>
              </w:rPr>
            </w:pPr>
          </w:p>
        </w:tc>
      </w:tr>
      <w:tr w:rsidR="002C6612" w14:paraId="746A19B9" w14:textId="77777777" w:rsidTr="003F166F">
        <w:trPr>
          <w:trHeight w:val="240"/>
        </w:trPr>
        <w:tc>
          <w:tcPr>
            <w:tcW w:w="3828" w:type="dxa"/>
            <w:tcBorders>
              <w:top w:val="nil"/>
              <w:left w:val="nil"/>
              <w:bottom w:val="nil"/>
              <w:right w:val="nil"/>
            </w:tcBorders>
            <w:shd w:val="clear" w:color="auto" w:fill="auto"/>
            <w:noWrap/>
            <w:vAlign w:val="bottom"/>
            <w:hideMark/>
          </w:tcPr>
          <w:p w14:paraId="7A549C47" w14:textId="77777777" w:rsidR="002C6612" w:rsidRDefault="002C6612">
            <w:pPr>
              <w:rPr>
                <w:rFonts w:ascii="Cambria" w:hAnsi="Cambria" w:cs="Arial"/>
                <w:b/>
                <w:bCs/>
                <w:color w:val="000000"/>
                <w:sz w:val="18"/>
                <w:szCs w:val="18"/>
              </w:rPr>
            </w:pPr>
            <w:r>
              <w:rPr>
                <w:rFonts w:ascii="Cambria" w:hAnsi="Cambria"/>
                <w:b/>
                <w:color w:val="000000"/>
                <w:sz w:val="18"/>
              </w:rPr>
              <w:t>Amortissement cumulé au 31 décembre 2020</w:t>
            </w:r>
          </w:p>
        </w:tc>
        <w:tc>
          <w:tcPr>
            <w:tcW w:w="1500" w:type="dxa"/>
            <w:tcBorders>
              <w:top w:val="nil"/>
              <w:left w:val="nil"/>
              <w:bottom w:val="nil"/>
              <w:right w:val="nil"/>
            </w:tcBorders>
            <w:shd w:val="clear" w:color="auto" w:fill="auto"/>
            <w:noWrap/>
            <w:vAlign w:val="bottom"/>
            <w:hideMark/>
          </w:tcPr>
          <w:p w14:paraId="1AFC5565" w14:textId="77777777" w:rsidR="002C6612" w:rsidRDefault="002C6612">
            <w:pPr>
              <w:jc w:val="right"/>
              <w:rPr>
                <w:rFonts w:ascii="Cambria" w:hAnsi="Cambria" w:cs="Arial"/>
                <w:b/>
                <w:bCs/>
                <w:color w:val="000000"/>
                <w:sz w:val="18"/>
                <w:szCs w:val="18"/>
              </w:rPr>
            </w:pPr>
            <w:r>
              <w:rPr>
                <w:rFonts w:ascii="Cambria" w:hAnsi="Cambria"/>
                <w:b/>
                <w:color w:val="000000"/>
                <w:sz w:val="18"/>
              </w:rPr>
              <w:t>(2 377 374)</w:t>
            </w:r>
          </w:p>
        </w:tc>
        <w:tc>
          <w:tcPr>
            <w:tcW w:w="1335" w:type="dxa"/>
            <w:tcBorders>
              <w:top w:val="nil"/>
              <w:left w:val="nil"/>
              <w:bottom w:val="nil"/>
              <w:right w:val="nil"/>
            </w:tcBorders>
            <w:shd w:val="clear" w:color="auto" w:fill="auto"/>
            <w:noWrap/>
            <w:vAlign w:val="bottom"/>
            <w:hideMark/>
          </w:tcPr>
          <w:p w14:paraId="5D64B212" w14:textId="77777777" w:rsidR="002C6612" w:rsidRDefault="002C6612">
            <w:pPr>
              <w:jc w:val="right"/>
              <w:rPr>
                <w:rFonts w:ascii="Cambria" w:hAnsi="Cambria" w:cs="Arial"/>
                <w:b/>
                <w:bCs/>
                <w:color w:val="000000"/>
                <w:sz w:val="18"/>
                <w:szCs w:val="18"/>
              </w:rPr>
            </w:pPr>
            <w:r>
              <w:rPr>
                <w:rFonts w:ascii="Cambria" w:hAnsi="Cambria"/>
                <w:b/>
                <w:color w:val="000000"/>
                <w:sz w:val="18"/>
              </w:rPr>
              <w:t>(2 774)</w:t>
            </w:r>
          </w:p>
        </w:tc>
        <w:tc>
          <w:tcPr>
            <w:tcW w:w="1500" w:type="dxa"/>
            <w:tcBorders>
              <w:top w:val="nil"/>
              <w:left w:val="nil"/>
              <w:bottom w:val="nil"/>
              <w:right w:val="nil"/>
            </w:tcBorders>
            <w:shd w:val="clear" w:color="auto" w:fill="auto"/>
            <w:noWrap/>
            <w:vAlign w:val="bottom"/>
            <w:hideMark/>
          </w:tcPr>
          <w:p w14:paraId="7B104715" w14:textId="77777777" w:rsidR="002C6612" w:rsidRDefault="002C6612">
            <w:pPr>
              <w:jc w:val="right"/>
              <w:rPr>
                <w:rFonts w:ascii="Cambria" w:hAnsi="Cambria" w:cs="Arial"/>
                <w:b/>
                <w:bCs/>
                <w:color w:val="000000"/>
                <w:sz w:val="18"/>
                <w:szCs w:val="18"/>
              </w:rPr>
            </w:pPr>
            <w:r>
              <w:rPr>
                <w:rFonts w:ascii="Cambria" w:hAnsi="Cambria"/>
                <w:b/>
                <w:color w:val="000000"/>
                <w:sz w:val="18"/>
              </w:rPr>
              <w:t>(1 178)</w:t>
            </w:r>
          </w:p>
        </w:tc>
        <w:tc>
          <w:tcPr>
            <w:tcW w:w="1500" w:type="dxa"/>
            <w:tcBorders>
              <w:top w:val="nil"/>
              <w:left w:val="nil"/>
              <w:bottom w:val="nil"/>
              <w:right w:val="nil"/>
            </w:tcBorders>
            <w:shd w:val="clear" w:color="auto" w:fill="auto"/>
            <w:noWrap/>
            <w:vAlign w:val="bottom"/>
            <w:hideMark/>
          </w:tcPr>
          <w:p w14:paraId="3A83FC12" w14:textId="77777777" w:rsidR="002C6612" w:rsidRDefault="002C6612">
            <w:pPr>
              <w:jc w:val="right"/>
              <w:rPr>
                <w:rFonts w:ascii="Cambria" w:hAnsi="Cambria" w:cs="Arial"/>
                <w:b/>
                <w:bCs/>
                <w:color w:val="000000"/>
                <w:sz w:val="18"/>
                <w:szCs w:val="18"/>
              </w:rPr>
            </w:pPr>
            <w:r>
              <w:rPr>
                <w:rFonts w:ascii="Cambria" w:hAnsi="Cambria"/>
                <w:b/>
                <w:color w:val="000000"/>
                <w:sz w:val="18"/>
              </w:rPr>
              <w:t>(2 381 326)</w:t>
            </w:r>
          </w:p>
        </w:tc>
      </w:tr>
      <w:tr w:rsidR="002C6612" w14:paraId="5BD8BC7F" w14:textId="77777777" w:rsidTr="003F166F">
        <w:trPr>
          <w:trHeight w:val="240"/>
        </w:trPr>
        <w:tc>
          <w:tcPr>
            <w:tcW w:w="3828" w:type="dxa"/>
            <w:tcBorders>
              <w:top w:val="nil"/>
              <w:left w:val="nil"/>
              <w:bottom w:val="nil"/>
              <w:right w:val="nil"/>
            </w:tcBorders>
            <w:shd w:val="clear" w:color="auto" w:fill="auto"/>
            <w:noWrap/>
            <w:vAlign w:val="bottom"/>
            <w:hideMark/>
          </w:tcPr>
          <w:p w14:paraId="2569D096" w14:textId="77777777" w:rsidR="002C6612" w:rsidRDefault="002C6612">
            <w:pPr>
              <w:outlineLvl w:val="0"/>
              <w:rPr>
                <w:rFonts w:ascii="Cambria" w:hAnsi="Cambria" w:cs="Arial"/>
                <w:color w:val="000000"/>
                <w:sz w:val="18"/>
                <w:szCs w:val="18"/>
              </w:rPr>
            </w:pPr>
            <w:bookmarkStart w:id="107" w:name="_Toc101455525"/>
            <w:bookmarkStart w:id="108" w:name="_Toc112768653"/>
            <w:r>
              <w:rPr>
                <w:rFonts w:ascii="Cambria" w:hAnsi="Cambria"/>
                <w:color w:val="000000"/>
                <w:sz w:val="18"/>
              </w:rPr>
              <w:t>Dépréciation pour la période</w:t>
            </w:r>
            <w:bookmarkEnd w:id="107"/>
            <w:bookmarkEnd w:id="108"/>
          </w:p>
        </w:tc>
        <w:tc>
          <w:tcPr>
            <w:tcW w:w="1500" w:type="dxa"/>
            <w:tcBorders>
              <w:top w:val="nil"/>
              <w:left w:val="nil"/>
              <w:bottom w:val="nil"/>
              <w:right w:val="nil"/>
            </w:tcBorders>
            <w:shd w:val="clear" w:color="auto" w:fill="auto"/>
            <w:noWrap/>
            <w:vAlign w:val="bottom"/>
            <w:hideMark/>
          </w:tcPr>
          <w:p w14:paraId="6773C010" w14:textId="77777777" w:rsidR="002C6612" w:rsidRDefault="002C6612">
            <w:pPr>
              <w:jc w:val="right"/>
              <w:outlineLvl w:val="0"/>
              <w:rPr>
                <w:rFonts w:ascii="Cambria" w:hAnsi="Cambria" w:cs="Arial"/>
                <w:color w:val="000000"/>
                <w:sz w:val="18"/>
                <w:szCs w:val="18"/>
              </w:rPr>
            </w:pPr>
            <w:bookmarkStart w:id="109" w:name="_Toc101455526"/>
            <w:bookmarkStart w:id="110" w:name="_Toc112768654"/>
            <w:r>
              <w:rPr>
                <w:rFonts w:ascii="Cambria" w:hAnsi="Cambria"/>
                <w:color w:val="000000"/>
                <w:sz w:val="18"/>
              </w:rPr>
              <w:t>(755 551)</w:t>
            </w:r>
            <w:bookmarkEnd w:id="109"/>
            <w:bookmarkEnd w:id="110"/>
          </w:p>
        </w:tc>
        <w:tc>
          <w:tcPr>
            <w:tcW w:w="1335" w:type="dxa"/>
            <w:tcBorders>
              <w:top w:val="nil"/>
              <w:left w:val="nil"/>
              <w:bottom w:val="nil"/>
              <w:right w:val="nil"/>
            </w:tcBorders>
            <w:shd w:val="clear" w:color="auto" w:fill="auto"/>
            <w:noWrap/>
            <w:vAlign w:val="bottom"/>
            <w:hideMark/>
          </w:tcPr>
          <w:p w14:paraId="5E9C2125" w14:textId="77777777" w:rsidR="002C6612" w:rsidRDefault="002C6612">
            <w:pPr>
              <w:jc w:val="right"/>
              <w:outlineLvl w:val="0"/>
              <w:rPr>
                <w:rFonts w:ascii="Cambria" w:hAnsi="Cambria" w:cs="Arial"/>
                <w:color w:val="000000"/>
                <w:sz w:val="18"/>
                <w:szCs w:val="18"/>
              </w:rPr>
            </w:pPr>
            <w:bookmarkStart w:id="111" w:name="_Toc101455527"/>
            <w:bookmarkStart w:id="112" w:name="_Toc112768655"/>
            <w:r>
              <w:rPr>
                <w:rFonts w:ascii="Cambria" w:hAnsi="Cambria"/>
                <w:color w:val="000000"/>
                <w:sz w:val="18"/>
              </w:rPr>
              <w:t>(8 323)</w:t>
            </w:r>
            <w:bookmarkEnd w:id="111"/>
            <w:bookmarkEnd w:id="112"/>
          </w:p>
        </w:tc>
        <w:tc>
          <w:tcPr>
            <w:tcW w:w="1500" w:type="dxa"/>
            <w:tcBorders>
              <w:top w:val="nil"/>
              <w:left w:val="nil"/>
              <w:bottom w:val="nil"/>
              <w:right w:val="nil"/>
            </w:tcBorders>
            <w:shd w:val="clear" w:color="auto" w:fill="auto"/>
            <w:noWrap/>
            <w:vAlign w:val="bottom"/>
            <w:hideMark/>
          </w:tcPr>
          <w:p w14:paraId="26B06188" w14:textId="77777777" w:rsidR="002C6612" w:rsidRDefault="002C6612">
            <w:pPr>
              <w:jc w:val="right"/>
              <w:outlineLvl w:val="0"/>
              <w:rPr>
                <w:rFonts w:ascii="Cambria" w:hAnsi="Cambria" w:cs="Arial"/>
                <w:color w:val="000000"/>
                <w:sz w:val="18"/>
                <w:szCs w:val="18"/>
              </w:rPr>
            </w:pPr>
            <w:bookmarkStart w:id="113" w:name="_Toc101455528"/>
            <w:bookmarkStart w:id="114" w:name="_Toc112768656"/>
            <w:r>
              <w:rPr>
                <w:rFonts w:ascii="Cambria" w:hAnsi="Cambria"/>
                <w:color w:val="000000"/>
                <w:sz w:val="18"/>
              </w:rPr>
              <w:t>(4 711)</w:t>
            </w:r>
            <w:bookmarkEnd w:id="113"/>
            <w:bookmarkEnd w:id="114"/>
          </w:p>
        </w:tc>
        <w:tc>
          <w:tcPr>
            <w:tcW w:w="1500" w:type="dxa"/>
            <w:tcBorders>
              <w:top w:val="nil"/>
              <w:left w:val="nil"/>
              <w:bottom w:val="nil"/>
              <w:right w:val="nil"/>
            </w:tcBorders>
            <w:shd w:val="clear" w:color="auto" w:fill="auto"/>
            <w:noWrap/>
            <w:vAlign w:val="bottom"/>
            <w:hideMark/>
          </w:tcPr>
          <w:p w14:paraId="579A771F" w14:textId="77777777" w:rsidR="002C6612" w:rsidRDefault="002C6612">
            <w:pPr>
              <w:jc w:val="right"/>
              <w:outlineLvl w:val="0"/>
              <w:rPr>
                <w:rFonts w:ascii="Cambria" w:hAnsi="Cambria" w:cs="Arial"/>
                <w:color w:val="000000"/>
                <w:sz w:val="18"/>
                <w:szCs w:val="18"/>
              </w:rPr>
            </w:pPr>
            <w:bookmarkStart w:id="115" w:name="_Toc101455529"/>
            <w:bookmarkStart w:id="116" w:name="_Toc112768657"/>
            <w:r>
              <w:rPr>
                <w:rFonts w:ascii="Cambria" w:hAnsi="Cambria"/>
                <w:color w:val="000000"/>
                <w:sz w:val="18"/>
              </w:rPr>
              <w:t>(768 585)</w:t>
            </w:r>
            <w:bookmarkEnd w:id="115"/>
            <w:bookmarkEnd w:id="116"/>
          </w:p>
        </w:tc>
      </w:tr>
      <w:tr w:rsidR="002C6612" w14:paraId="054F399A" w14:textId="77777777" w:rsidTr="003F166F">
        <w:trPr>
          <w:trHeight w:val="240"/>
        </w:trPr>
        <w:tc>
          <w:tcPr>
            <w:tcW w:w="3828" w:type="dxa"/>
            <w:tcBorders>
              <w:top w:val="nil"/>
              <w:left w:val="nil"/>
              <w:bottom w:val="nil"/>
              <w:right w:val="nil"/>
            </w:tcBorders>
            <w:shd w:val="clear" w:color="auto" w:fill="auto"/>
            <w:noWrap/>
            <w:vAlign w:val="bottom"/>
            <w:hideMark/>
          </w:tcPr>
          <w:p w14:paraId="24C444FB" w14:textId="77777777" w:rsidR="002C6612" w:rsidRDefault="002C6612">
            <w:pPr>
              <w:outlineLvl w:val="0"/>
              <w:rPr>
                <w:rFonts w:ascii="Cambria" w:hAnsi="Cambria" w:cs="Arial"/>
                <w:color w:val="000000"/>
                <w:sz w:val="18"/>
                <w:szCs w:val="18"/>
              </w:rPr>
            </w:pPr>
            <w:bookmarkStart w:id="117" w:name="_Toc101455530"/>
            <w:bookmarkStart w:id="118" w:name="_Toc112768658"/>
            <w:r>
              <w:rPr>
                <w:rFonts w:ascii="Cambria" w:hAnsi="Cambria"/>
                <w:color w:val="000000"/>
                <w:sz w:val="18"/>
              </w:rPr>
              <w:t>Résiliations</w:t>
            </w:r>
            <w:bookmarkEnd w:id="117"/>
            <w:bookmarkEnd w:id="118"/>
          </w:p>
        </w:tc>
        <w:tc>
          <w:tcPr>
            <w:tcW w:w="1500" w:type="dxa"/>
            <w:tcBorders>
              <w:top w:val="nil"/>
              <w:left w:val="nil"/>
              <w:bottom w:val="nil"/>
              <w:right w:val="nil"/>
            </w:tcBorders>
            <w:shd w:val="clear" w:color="auto" w:fill="auto"/>
            <w:noWrap/>
            <w:vAlign w:val="bottom"/>
            <w:hideMark/>
          </w:tcPr>
          <w:p w14:paraId="189719CB" w14:textId="77777777" w:rsidR="002C6612" w:rsidRDefault="002C6612">
            <w:pPr>
              <w:jc w:val="right"/>
              <w:outlineLvl w:val="0"/>
              <w:rPr>
                <w:rFonts w:ascii="Cambria" w:hAnsi="Cambria" w:cs="Arial"/>
                <w:color w:val="000000"/>
                <w:sz w:val="18"/>
                <w:szCs w:val="18"/>
              </w:rPr>
            </w:pPr>
            <w:bookmarkStart w:id="119" w:name="_Toc101455531"/>
            <w:bookmarkStart w:id="120" w:name="_Toc112768659"/>
            <w:r>
              <w:rPr>
                <w:rFonts w:ascii="Cambria" w:hAnsi="Cambria"/>
                <w:color w:val="000000"/>
                <w:sz w:val="18"/>
              </w:rPr>
              <w:t>0</w:t>
            </w:r>
            <w:bookmarkEnd w:id="119"/>
            <w:bookmarkEnd w:id="120"/>
          </w:p>
        </w:tc>
        <w:tc>
          <w:tcPr>
            <w:tcW w:w="1335" w:type="dxa"/>
            <w:tcBorders>
              <w:top w:val="nil"/>
              <w:left w:val="nil"/>
              <w:bottom w:val="nil"/>
              <w:right w:val="nil"/>
            </w:tcBorders>
            <w:shd w:val="clear" w:color="auto" w:fill="auto"/>
            <w:noWrap/>
            <w:vAlign w:val="bottom"/>
            <w:hideMark/>
          </w:tcPr>
          <w:p w14:paraId="77C53498" w14:textId="77777777" w:rsidR="002C6612" w:rsidRDefault="002C6612">
            <w:pPr>
              <w:jc w:val="right"/>
              <w:outlineLvl w:val="0"/>
              <w:rPr>
                <w:rFonts w:ascii="Cambria" w:hAnsi="Cambria" w:cs="Arial"/>
                <w:color w:val="000000"/>
                <w:sz w:val="18"/>
                <w:szCs w:val="18"/>
              </w:rPr>
            </w:pPr>
            <w:bookmarkStart w:id="121" w:name="_Toc101455532"/>
            <w:bookmarkStart w:id="122" w:name="_Toc112768660"/>
            <w:r>
              <w:rPr>
                <w:rFonts w:ascii="Cambria" w:hAnsi="Cambria"/>
                <w:color w:val="000000"/>
                <w:sz w:val="18"/>
              </w:rPr>
              <w:t>0</w:t>
            </w:r>
            <w:bookmarkEnd w:id="121"/>
            <w:bookmarkEnd w:id="122"/>
          </w:p>
        </w:tc>
        <w:tc>
          <w:tcPr>
            <w:tcW w:w="1500" w:type="dxa"/>
            <w:tcBorders>
              <w:top w:val="nil"/>
              <w:left w:val="nil"/>
              <w:bottom w:val="nil"/>
              <w:right w:val="nil"/>
            </w:tcBorders>
            <w:shd w:val="clear" w:color="auto" w:fill="auto"/>
            <w:noWrap/>
            <w:vAlign w:val="bottom"/>
            <w:hideMark/>
          </w:tcPr>
          <w:p w14:paraId="637F9FBB" w14:textId="77777777" w:rsidR="002C6612" w:rsidRDefault="002C6612">
            <w:pPr>
              <w:jc w:val="right"/>
              <w:outlineLvl w:val="0"/>
              <w:rPr>
                <w:rFonts w:ascii="Cambria" w:hAnsi="Cambria" w:cs="Arial"/>
                <w:color w:val="000000"/>
                <w:sz w:val="18"/>
                <w:szCs w:val="18"/>
              </w:rPr>
            </w:pPr>
          </w:p>
        </w:tc>
        <w:tc>
          <w:tcPr>
            <w:tcW w:w="1500" w:type="dxa"/>
            <w:tcBorders>
              <w:top w:val="nil"/>
              <w:left w:val="nil"/>
              <w:bottom w:val="nil"/>
              <w:right w:val="nil"/>
            </w:tcBorders>
            <w:shd w:val="clear" w:color="auto" w:fill="auto"/>
            <w:noWrap/>
            <w:vAlign w:val="bottom"/>
            <w:hideMark/>
          </w:tcPr>
          <w:p w14:paraId="321FB428" w14:textId="77777777" w:rsidR="002C6612" w:rsidRDefault="002C6612">
            <w:pPr>
              <w:jc w:val="right"/>
              <w:outlineLvl w:val="0"/>
              <w:rPr>
                <w:rFonts w:ascii="Cambria" w:hAnsi="Cambria" w:cs="Arial"/>
                <w:color w:val="000000"/>
                <w:sz w:val="18"/>
                <w:szCs w:val="18"/>
              </w:rPr>
            </w:pPr>
            <w:bookmarkStart w:id="123" w:name="_Toc101455533"/>
            <w:bookmarkStart w:id="124" w:name="_Toc112768661"/>
            <w:r>
              <w:rPr>
                <w:rFonts w:ascii="Cambria" w:hAnsi="Cambria"/>
                <w:color w:val="000000"/>
                <w:sz w:val="18"/>
              </w:rPr>
              <w:t>0</w:t>
            </w:r>
            <w:bookmarkEnd w:id="123"/>
            <w:bookmarkEnd w:id="124"/>
          </w:p>
        </w:tc>
      </w:tr>
      <w:tr w:rsidR="002C6612" w14:paraId="473EC1B3" w14:textId="77777777" w:rsidTr="003F166F">
        <w:trPr>
          <w:trHeight w:val="252"/>
        </w:trPr>
        <w:tc>
          <w:tcPr>
            <w:tcW w:w="3828" w:type="dxa"/>
            <w:tcBorders>
              <w:top w:val="nil"/>
              <w:left w:val="nil"/>
              <w:bottom w:val="nil"/>
              <w:right w:val="nil"/>
            </w:tcBorders>
            <w:shd w:val="clear" w:color="auto" w:fill="auto"/>
            <w:noWrap/>
            <w:vAlign w:val="bottom"/>
            <w:hideMark/>
          </w:tcPr>
          <w:p w14:paraId="4B617EF8" w14:textId="77777777" w:rsidR="002C6612" w:rsidRDefault="002C6612">
            <w:pPr>
              <w:outlineLvl w:val="0"/>
              <w:rPr>
                <w:rFonts w:ascii="Cambria" w:hAnsi="Cambria" w:cs="Arial"/>
                <w:b/>
                <w:bCs/>
                <w:color w:val="000000"/>
                <w:sz w:val="18"/>
                <w:szCs w:val="18"/>
              </w:rPr>
            </w:pPr>
            <w:bookmarkStart w:id="125" w:name="_Toc101455534"/>
            <w:bookmarkStart w:id="126" w:name="_Toc112768662"/>
            <w:r>
              <w:rPr>
                <w:rFonts w:ascii="Cambria" w:hAnsi="Cambria"/>
                <w:b/>
                <w:color w:val="000000"/>
                <w:sz w:val="18"/>
              </w:rPr>
              <w:t>Amortissement cumulé au 30 juin 2021</w:t>
            </w:r>
            <w:bookmarkEnd w:id="125"/>
            <w:bookmarkEnd w:id="126"/>
          </w:p>
        </w:tc>
        <w:tc>
          <w:tcPr>
            <w:tcW w:w="1500" w:type="dxa"/>
            <w:tcBorders>
              <w:top w:val="single" w:sz="4" w:space="0" w:color="auto"/>
              <w:left w:val="nil"/>
              <w:bottom w:val="single" w:sz="8" w:space="0" w:color="auto"/>
              <w:right w:val="nil"/>
            </w:tcBorders>
            <w:shd w:val="clear" w:color="auto" w:fill="auto"/>
            <w:noWrap/>
            <w:vAlign w:val="bottom"/>
            <w:hideMark/>
          </w:tcPr>
          <w:p w14:paraId="7650C882" w14:textId="77777777" w:rsidR="002C6612" w:rsidRDefault="002C6612">
            <w:pPr>
              <w:jc w:val="right"/>
              <w:outlineLvl w:val="0"/>
              <w:rPr>
                <w:rFonts w:ascii="Cambria" w:hAnsi="Cambria" w:cs="Arial"/>
                <w:b/>
                <w:bCs/>
                <w:color w:val="000000"/>
                <w:sz w:val="18"/>
                <w:szCs w:val="18"/>
              </w:rPr>
            </w:pPr>
            <w:bookmarkStart w:id="127" w:name="_Toc101455535"/>
            <w:bookmarkStart w:id="128" w:name="_Toc112768663"/>
            <w:r>
              <w:rPr>
                <w:rFonts w:ascii="Cambria" w:hAnsi="Cambria"/>
                <w:b/>
                <w:color w:val="000000"/>
                <w:sz w:val="18"/>
              </w:rPr>
              <w:t>(3 132 925)</w:t>
            </w:r>
            <w:bookmarkEnd w:id="127"/>
            <w:bookmarkEnd w:id="128"/>
          </w:p>
        </w:tc>
        <w:tc>
          <w:tcPr>
            <w:tcW w:w="1335" w:type="dxa"/>
            <w:tcBorders>
              <w:top w:val="single" w:sz="4" w:space="0" w:color="auto"/>
              <w:left w:val="nil"/>
              <w:bottom w:val="single" w:sz="8" w:space="0" w:color="auto"/>
              <w:right w:val="nil"/>
            </w:tcBorders>
            <w:shd w:val="clear" w:color="auto" w:fill="auto"/>
            <w:noWrap/>
            <w:vAlign w:val="bottom"/>
            <w:hideMark/>
          </w:tcPr>
          <w:p w14:paraId="142909F5" w14:textId="77777777" w:rsidR="002C6612" w:rsidRDefault="002C6612">
            <w:pPr>
              <w:jc w:val="right"/>
              <w:outlineLvl w:val="0"/>
              <w:rPr>
                <w:rFonts w:ascii="Cambria" w:hAnsi="Cambria" w:cs="Arial"/>
                <w:b/>
                <w:bCs/>
                <w:color w:val="000000"/>
                <w:sz w:val="18"/>
                <w:szCs w:val="18"/>
              </w:rPr>
            </w:pPr>
            <w:bookmarkStart w:id="129" w:name="_Toc101455536"/>
            <w:bookmarkStart w:id="130" w:name="_Toc112768664"/>
            <w:r>
              <w:rPr>
                <w:rFonts w:ascii="Cambria" w:hAnsi="Cambria"/>
                <w:b/>
                <w:color w:val="000000"/>
                <w:sz w:val="18"/>
              </w:rPr>
              <w:t>(11 097)</w:t>
            </w:r>
            <w:bookmarkEnd w:id="129"/>
            <w:bookmarkEnd w:id="130"/>
          </w:p>
        </w:tc>
        <w:tc>
          <w:tcPr>
            <w:tcW w:w="1500" w:type="dxa"/>
            <w:tcBorders>
              <w:top w:val="single" w:sz="4" w:space="0" w:color="auto"/>
              <w:left w:val="nil"/>
              <w:bottom w:val="single" w:sz="8" w:space="0" w:color="auto"/>
              <w:right w:val="nil"/>
            </w:tcBorders>
            <w:shd w:val="clear" w:color="auto" w:fill="auto"/>
            <w:noWrap/>
            <w:vAlign w:val="bottom"/>
            <w:hideMark/>
          </w:tcPr>
          <w:p w14:paraId="056FB0AF" w14:textId="77777777" w:rsidR="002C6612" w:rsidRDefault="002C6612">
            <w:pPr>
              <w:jc w:val="right"/>
              <w:outlineLvl w:val="0"/>
              <w:rPr>
                <w:rFonts w:ascii="Cambria" w:hAnsi="Cambria" w:cs="Arial"/>
                <w:b/>
                <w:bCs/>
                <w:color w:val="000000"/>
                <w:sz w:val="18"/>
                <w:szCs w:val="18"/>
              </w:rPr>
            </w:pPr>
            <w:bookmarkStart w:id="131" w:name="_Toc101455537"/>
            <w:bookmarkStart w:id="132" w:name="_Toc112768665"/>
            <w:r>
              <w:rPr>
                <w:rFonts w:ascii="Cambria" w:hAnsi="Cambria"/>
                <w:b/>
                <w:color w:val="000000"/>
                <w:sz w:val="18"/>
              </w:rPr>
              <w:t>(5 889)</w:t>
            </w:r>
            <w:bookmarkEnd w:id="131"/>
            <w:bookmarkEnd w:id="132"/>
          </w:p>
        </w:tc>
        <w:tc>
          <w:tcPr>
            <w:tcW w:w="1500" w:type="dxa"/>
            <w:tcBorders>
              <w:top w:val="single" w:sz="4" w:space="0" w:color="auto"/>
              <w:left w:val="nil"/>
              <w:bottom w:val="single" w:sz="8" w:space="0" w:color="auto"/>
              <w:right w:val="nil"/>
            </w:tcBorders>
            <w:shd w:val="clear" w:color="auto" w:fill="auto"/>
            <w:noWrap/>
            <w:vAlign w:val="bottom"/>
            <w:hideMark/>
          </w:tcPr>
          <w:p w14:paraId="28D9D14A" w14:textId="77777777" w:rsidR="002C6612" w:rsidRDefault="002C6612">
            <w:pPr>
              <w:jc w:val="right"/>
              <w:outlineLvl w:val="0"/>
              <w:rPr>
                <w:rFonts w:ascii="Cambria" w:hAnsi="Cambria" w:cs="Arial"/>
                <w:b/>
                <w:bCs/>
                <w:color w:val="000000"/>
                <w:sz w:val="18"/>
                <w:szCs w:val="18"/>
              </w:rPr>
            </w:pPr>
            <w:bookmarkStart w:id="133" w:name="_Toc101455538"/>
            <w:bookmarkStart w:id="134" w:name="_Toc112768666"/>
            <w:r>
              <w:rPr>
                <w:rFonts w:ascii="Cambria" w:hAnsi="Cambria"/>
                <w:b/>
                <w:color w:val="000000"/>
                <w:sz w:val="18"/>
              </w:rPr>
              <w:t>(3 149 911)</w:t>
            </w:r>
            <w:bookmarkEnd w:id="133"/>
            <w:bookmarkEnd w:id="134"/>
          </w:p>
        </w:tc>
      </w:tr>
      <w:tr w:rsidR="002C6612" w14:paraId="01EC256B" w14:textId="77777777" w:rsidTr="003F166F">
        <w:trPr>
          <w:trHeight w:val="240"/>
        </w:trPr>
        <w:tc>
          <w:tcPr>
            <w:tcW w:w="3828" w:type="dxa"/>
            <w:tcBorders>
              <w:top w:val="nil"/>
              <w:left w:val="nil"/>
              <w:bottom w:val="nil"/>
              <w:right w:val="nil"/>
            </w:tcBorders>
            <w:shd w:val="clear" w:color="auto" w:fill="auto"/>
            <w:noWrap/>
            <w:vAlign w:val="bottom"/>
            <w:hideMark/>
          </w:tcPr>
          <w:p w14:paraId="4D99C43F" w14:textId="77777777" w:rsidR="002C6612" w:rsidRDefault="002C6612">
            <w:pPr>
              <w:jc w:val="right"/>
              <w:outlineLvl w:val="0"/>
              <w:rPr>
                <w:rFonts w:ascii="Cambria" w:hAnsi="Cambria" w:cs="Arial"/>
                <w:b/>
                <w:bCs/>
                <w:color w:val="000000"/>
                <w:sz w:val="18"/>
                <w:szCs w:val="18"/>
              </w:rPr>
            </w:pPr>
          </w:p>
        </w:tc>
        <w:tc>
          <w:tcPr>
            <w:tcW w:w="1500" w:type="dxa"/>
            <w:tcBorders>
              <w:top w:val="nil"/>
              <w:left w:val="nil"/>
              <w:bottom w:val="nil"/>
              <w:right w:val="nil"/>
            </w:tcBorders>
            <w:shd w:val="clear" w:color="auto" w:fill="auto"/>
            <w:noWrap/>
            <w:vAlign w:val="bottom"/>
            <w:hideMark/>
          </w:tcPr>
          <w:p w14:paraId="1F0A8506" w14:textId="77777777" w:rsidR="002C6612" w:rsidRDefault="002C6612">
            <w:pPr>
              <w:outlineLvl w:val="0"/>
              <w:rPr>
                <w:sz w:val="20"/>
                <w:szCs w:val="20"/>
              </w:rPr>
            </w:pPr>
          </w:p>
        </w:tc>
        <w:tc>
          <w:tcPr>
            <w:tcW w:w="1335" w:type="dxa"/>
            <w:tcBorders>
              <w:top w:val="nil"/>
              <w:left w:val="nil"/>
              <w:bottom w:val="nil"/>
              <w:right w:val="nil"/>
            </w:tcBorders>
            <w:shd w:val="clear" w:color="auto" w:fill="auto"/>
            <w:noWrap/>
            <w:vAlign w:val="bottom"/>
            <w:hideMark/>
          </w:tcPr>
          <w:p w14:paraId="719DEC60" w14:textId="77777777" w:rsidR="002C6612" w:rsidRDefault="002C6612">
            <w:pPr>
              <w:outlineLvl w:val="0"/>
              <w:rPr>
                <w:sz w:val="20"/>
                <w:szCs w:val="20"/>
              </w:rPr>
            </w:pPr>
          </w:p>
        </w:tc>
        <w:tc>
          <w:tcPr>
            <w:tcW w:w="1500" w:type="dxa"/>
            <w:tcBorders>
              <w:top w:val="nil"/>
              <w:left w:val="nil"/>
              <w:bottom w:val="nil"/>
              <w:right w:val="nil"/>
            </w:tcBorders>
            <w:shd w:val="clear" w:color="auto" w:fill="auto"/>
            <w:noWrap/>
            <w:vAlign w:val="bottom"/>
            <w:hideMark/>
          </w:tcPr>
          <w:p w14:paraId="52821DBA" w14:textId="77777777" w:rsidR="002C6612" w:rsidRDefault="002C6612">
            <w:pPr>
              <w:outlineLvl w:val="0"/>
              <w:rPr>
                <w:sz w:val="20"/>
                <w:szCs w:val="20"/>
              </w:rPr>
            </w:pPr>
          </w:p>
        </w:tc>
        <w:tc>
          <w:tcPr>
            <w:tcW w:w="1500" w:type="dxa"/>
            <w:tcBorders>
              <w:top w:val="nil"/>
              <w:left w:val="nil"/>
              <w:bottom w:val="nil"/>
              <w:right w:val="nil"/>
            </w:tcBorders>
            <w:shd w:val="clear" w:color="auto" w:fill="auto"/>
            <w:noWrap/>
            <w:vAlign w:val="bottom"/>
            <w:hideMark/>
          </w:tcPr>
          <w:p w14:paraId="64BB5657" w14:textId="77777777" w:rsidR="002C6612" w:rsidRDefault="002C6612">
            <w:pPr>
              <w:outlineLvl w:val="0"/>
              <w:rPr>
                <w:sz w:val="20"/>
                <w:szCs w:val="20"/>
              </w:rPr>
            </w:pPr>
          </w:p>
        </w:tc>
      </w:tr>
      <w:tr w:rsidR="002C6612" w14:paraId="234E2C2A" w14:textId="77777777" w:rsidTr="003F166F">
        <w:trPr>
          <w:trHeight w:val="240"/>
        </w:trPr>
        <w:tc>
          <w:tcPr>
            <w:tcW w:w="3828" w:type="dxa"/>
            <w:tcBorders>
              <w:top w:val="nil"/>
              <w:left w:val="nil"/>
              <w:bottom w:val="nil"/>
              <w:right w:val="nil"/>
            </w:tcBorders>
            <w:shd w:val="clear" w:color="auto" w:fill="auto"/>
            <w:noWrap/>
            <w:vAlign w:val="bottom"/>
            <w:hideMark/>
          </w:tcPr>
          <w:p w14:paraId="47089701" w14:textId="77777777" w:rsidR="002C6612" w:rsidRDefault="002C6612">
            <w:pPr>
              <w:rPr>
                <w:rFonts w:ascii="Cambria" w:hAnsi="Cambria" w:cs="Arial"/>
                <w:b/>
                <w:bCs/>
                <w:color w:val="000000"/>
                <w:sz w:val="18"/>
                <w:szCs w:val="18"/>
              </w:rPr>
            </w:pPr>
            <w:r>
              <w:rPr>
                <w:rFonts w:ascii="Cambria" w:hAnsi="Cambria"/>
                <w:b/>
                <w:color w:val="000000"/>
                <w:sz w:val="18"/>
              </w:rPr>
              <w:t>Valeur nette comptable au 31 décembre 2020</w:t>
            </w:r>
          </w:p>
        </w:tc>
        <w:tc>
          <w:tcPr>
            <w:tcW w:w="1500" w:type="dxa"/>
            <w:tcBorders>
              <w:top w:val="nil"/>
              <w:left w:val="nil"/>
              <w:bottom w:val="nil"/>
              <w:right w:val="nil"/>
            </w:tcBorders>
            <w:shd w:val="clear" w:color="auto" w:fill="auto"/>
            <w:noWrap/>
            <w:vAlign w:val="bottom"/>
            <w:hideMark/>
          </w:tcPr>
          <w:p w14:paraId="2F95DCA1" w14:textId="77777777" w:rsidR="002C6612" w:rsidRDefault="002C6612">
            <w:pPr>
              <w:jc w:val="right"/>
              <w:rPr>
                <w:rFonts w:ascii="Cambria" w:hAnsi="Cambria" w:cs="Arial"/>
                <w:b/>
                <w:bCs/>
                <w:color w:val="000000"/>
                <w:sz w:val="18"/>
                <w:szCs w:val="18"/>
              </w:rPr>
            </w:pPr>
            <w:r>
              <w:rPr>
                <w:rFonts w:ascii="Cambria" w:hAnsi="Cambria"/>
                <w:b/>
                <w:color w:val="000000"/>
                <w:sz w:val="18"/>
              </w:rPr>
              <w:t>7 736 754</w:t>
            </w:r>
          </w:p>
        </w:tc>
        <w:tc>
          <w:tcPr>
            <w:tcW w:w="1335" w:type="dxa"/>
            <w:tcBorders>
              <w:top w:val="nil"/>
              <w:left w:val="nil"/>
              <w:bottom w:val="nil"/>
              <w:right w:val="nil"/>
            </w:tcBorders>
            <w:shd w:val="clear" w:color="auto" w:fill="auto"/>
            <w:noWrap/>
            <w:vAlign w:val="bottom"/>
            <w:hideMark/>
          </w:tcPr>
          <w:p w14:paraId="233DC91B" w14:textId="77777777" w:rsidR="002C6612" w:rsidRDefault="002C6612">
            <w:pPr>
              <w:jc w:val="right"/>
              <w:rPr>
                <w:rFonts w:ascii="Cambria" w:hAnsi="Cambria" w:cs="Arial"/>
                <w:b/>
                <w:bCs/>
                <w:color w:val="000000"/>
                <w:sz w:val="18"/>
                <w:szCs w:val="18"/>
              </w:rPr>
            </w:pPr>
            <w:r>
              <w:rPr>
                <w:rFonts w:ascii="Cambria" w:hAnsi="Cambria"/>
                <w:b/>
                <w:color w:val="000000"/>
                <w:sz w:val="18"/>
              </w:rPr>
              <w:t>34 202</w:t>
            </w:r>
          </w:p>
        </w:tc>
        <w:tc>
          <w:tcPr>
            <w:tcW w:w="1500" w:type="dxa"/>
            <w:tcBorders>
              <w:top w:val="nil"/>
              <w:left w:val="nil"/>
              <w:bottom w:val="nil"/>
              <w:right w:val="nil"/>
            </w:tcBorders>
            <w:shd w:val="clear" w:color="auto" w:fill="auto"/>
            <w:noWrap/>
            <w:vAlign w:val="bottom"/>
            <w:hideMark/>
          </w:tcPr>
          <w:p w14:paraId="1458E8A1" w14:textId="77777777" w:rsidR="002C6612" w:rsidRDefault="002C6612">
            <w:pPr>
              <w:jc w:val="right"/>
              <w:rPr>
                <w:rFonts w:ascii="Cambria" w:hAnsi="Cambria" w:cs="Arial"/>
                <w:b/>
                <w:bCs/>
                <w:color w:val="000000"/>
                <w:sz w:val="18"/>
                <w:szCs w:val="18"/>
              </w:rPr>
            </w:pPr>
            <w:r>
              <w:rPr>
                <w:rFonts w:ascii="Cambria" w:hAnsi="Cambria"/>
                <w:b/>
                <w:color w:val="000000"/>
                <w:sz w:val="18"/>
              </w:rPr>
              <w:t>18 845</w:t>
            </w:r>
          </w:p>
        </w:tc>
        <w:tc>
          <w:tcPr>
            <w:tcW w:w="1500" w:type="dxa"/>
            <w:tcBorders>
              <w:top w:val="nil"/>
              <w:left w:val="nil"/>
              <w:bottom w:val="nil"/>
              <w:right w:val="nil"/>
            </w:tcBorders>
            <w:shd w:val="clear" w:color="auto" w:fill="auto"/>
            <w:noWrap/>
            <w:vAlign w:val="bottom"/>
            <w:hideMark/>
          </w:tcPr>
          <w:p w14:paraId="31E11778" w14:textId="77777777" w:rsidR="002C6612" w:rsidRDefault="002C6612">
            <w:pPr>
              <w:jc w:val="right"/>
              <w:rPr>
                <w:rFonts w:ascii="Cambria" w:hAnsi="Cambria" w:cs="Arial"/>
                <w:b/>
                <w:bCs/>
                <w:color w:val="000000"/>
                <w:sz w:val="18"/>
                <w:szCs w:val="18"/>
              </w:rPr>
            </w:pPr>
            <w:r>
              <w:rPr>
                <w:rFonts w:ascii="Cambria" w:hAnsi="Cambria"/>
                <w:b/>
                <w:color w:val="000000"/>
                <w:sz w:val="18"/>
              </w:rPr>
              <w:t>7 789 800</w:t>
            </w:r>
          </w:p>
        </w:tc>
      </w:tr>
      <w:tr w:rsidR="002C6612" w14:paraId="5BDC37EB" w14:textId="77777777" w:rsidTr="003F166F">
        <w:trPr>
          <w:trHeight w:val="240"/>
        </w:trPr>
        <w:tc>
          <w:tcPr>
            <w:tcW w:w="3828" w:type="dxa"/>
            <w:tcBorders>
              <w:top w:val="nil"/>
              <w:left w:val="nil"/>
              <w:bottom w:val="nil"/>
              <w:right w:val="nil"/>
            </w:tcBorders>
            <w:shd w:val="clear" w:color="auto" w:fill="auto"/>
            <w:noWrap/>
            <w:vAlign w:val="bottom"/>
            <w:hideMark/>
          </w:tcPr>
          <w:p w14:paraId="09010B5F" w14:textId="77777777" w:rsidR="002C6612" w:rsidRDefault="002C6612">
            <w:pPr>
              <w:rPr>
                <w:rFonts w:ascii="Cambria" w:hAnsi="Cambria" w:cs="Arial"/>
                <w:b/>
                <w:bCs/>
                <w:color w:val="000000"/>
                <w:sz w:val="18"/>
                <w:szCs w:val="18"/>
              </w:rPr>
            </w:pPr>
            <w:r>
              <w:rPr>
                <w:rFonts w:ascii="Cambria" w:hAnsi="Cambria"/>
                <w:b/>
                <w:color w:val="000000"/>
                <w:sz w:val="18"/>
              </w:rPr>
              <w:t>Valeur nette comptable au 30 juin 2021</w:t>
            </w:r>
          </w:p>
        </w:tc>
        <w:tc>
          <w:tcPr>
            <w:tcW w:w="1500" w:type="dxa"/>
            <w:tcBorders>
              <w:top w:val="nil"/>
              <w:left w:val="nil"/>
              <w:bottom w:val="nil"/>
              <w:right w:val="nil"/>
            </w:tcBorders>
            <w:shd w:val="clear" w:color="auto" w:fill="auto"/>
            <w:noWrap/>
            <w:vAlign w:val="bottom"/>
            <w:hideMark/>
          </w:tcPr>
          <w:p w14:paraId="081DF343" w14:textId="77777777" w:rsidR="002C6612" w:rsidRDefault="002C6612">
            <w:pPr>
              <w:jc w:val="right"/>
              <w:rPr>
                <w:rFonts w:ascii="Cambria" w:hAnsi="Cambria" w:cs="Arial"/>
                <w:b/>
                <w:bCs/>
                <w:color w:val="000000"/>
                <w:sz w:val="18"/>
                <w:szCs w:val="18"/>
              </w:rPr>
            </w:pPr>
            <w:r>
              <w:rPr>
                <w:rFonts w:ascii="Cambria" w:hAnsi="Cambria"/>
                <w:b/>
                <w:color w:val="000000"/>
                <w:sz w:val="18"/>
              </w:rPr>
              <w:t>7 085 437</w:t>
            </w:r>
          </w:p>
        </w:tc>
        <w:tc>
          <w:tcPr>
            <w:tcW w:w="1335" w:type="dxa"/>
            <w:tcBorders>
              <w:top w:val="nil"/>
              <w:left w:val="nil"/>
              <w:bottom w:val="nil"/>
              <w:right w:val="nil"/>
            </w:tcBorders>
            <w:shd w:val="clear" w:color="auto" w:fill="auto"/>
            <w:noWrap/>
            <w:vAlign w:val="bottom"/>
            <w:hideMark/>
          </w:tcPr>
          <w:p w14:paraId="000A0A37" w14:textId="77777777" w:rsidR="002C6612" w:rsidRDefault="002C6612">
            <w:pPr>
              <w:jc w:val="right"/>
              <w:rPr>
                <w:rFonts w:ascii="Cambria" w:hAnsi="Cambria" w:cs="Arial"/>
                <w:b/>
                <w:bCs/>
                <w:color w:val="000000"/>
                <w:sz w:val="18"/>
                <w:szCs w:val="18"/>
              </w:rPr>
            </w:pPr>
            <w:r>
              <w:rPr>
                <w:rFonts w:ascii="Cambria" w:hAnsi="Cambria"/>
                <w:b/>
                <w:color w:val="000000"/>
                <w:sz w:val="18"/>
              </w:rPr>
              <w:t>25 879</w:t>
            </w:r>
          </w:p>
        </w:tc>
        <w:tc>
          <w:tcPr>
            <w:tcW w:w="1500" w:type="dxa"/>
            <w:tcBorders>
              <w:top w:val="nil"/>
              <w:left w:val="nil"/>
              <w:bottom w:val="nil"/>
              <w:right w:val="nil"/>
            </w:tcBorders>
            <w:shd w:val="clear" w:color="auto" w:fill="auto"/>
            <w:noWrap/>
            <w:vAlign w:val="bottom"/>
            <w:hideMark/>
          </w:tcPr>
          <w:p w14:paraId="1C368E4A" w14:textId="77777777" w:rsidR="002C6612" w:rsidRDefault="002C6612">
            <w:pPr>
              <w:jc w:val="right"/>
              <w:rPr>
                <w:rFonts w:ascii="Cambria" w:hAnsi="Cambria" w:cs="Arial"/>
                <w:b/>
                <w:bCs/>
                <w:color w:val="000000"/>
                <w:sz w:val="18"/>
                <w:szCs w:val="18"/>
              </w:rPr>
            </w:pPr>
            <w:r>
              <w:rPr>
                <w:rFonts w:ascii="Cambria" w:hAnsi="Cambria"/>
                <w:b/>
                <w:color w:val="000000"/>
                <w:sz w:val="18"/>
              </w:rPr>
              <w:t>14 134</w:t>
            </w:r>
          </w:p>
        </w:tc>
        <w:tc>
          <w:tcPr>
            <w:tcW w:w="1500" w:type="dxa"/>
            <w:tcBorders>
              <w:top w:val="nil"/>
              <w:left w:val="nil"/>
              <w:bottom w:val="nil"/>
              <w:right w:val="nil"/>
            </w:tcBorders>
            <w:shd w:val="clear" w:color="auto" w:fill="auto"/>
            <w:noWrap/>
            <w:vAlign w:val="bottom"/>
            <w:hideMark/>
          </w:tcPr>
          <w:p w14:paraId="73FD6A19" w14:textId="77777777" w:rsidR="002C6612" w:rsidRDefault="002C6612">
            <w:pPr>
              <w:jc w:val="right"/>
              <w:rPr>
                <w:rFonts w:ascii="Cambria" w:hAnsi="Cambria" w:cs="Arial"/>
                <w:b/>
                <w:bCs/>
                <w:color w:val="000000"/>
                <w:sz w:val="18"/>
                <w:szCs w:val="18"/>
              </w:rPr>
            </w:pPr>
            <w:r>
              <w:rPr>
                <w:rFonts w:ascii="Cambria" w:hAnsi="Cambria"/>
                <w:b/>
                <w:color w:val="000000"/>
                <w:sz w:val="18"/>
              </w:rPr>
              <w:t>7 125 449</w:t>
            </w:r>
          </w:p>
        </w:tc>
      </w:tr>
    </w:tbl>
    <w:p w14:paraId="51CF4794" w14:textId="77777777" w:rsidR="007F24E1" w:rsidRDefault="007F24E1" w:rsidP="00C114EC">
      <w:pPr>
        <w:spacing w:after="200" w:line="276" w:lineRule="auto"/>
        <w:jc w:val="both"/>
        <w:rPr>
          <w:rFonts w:ascii="Cambria" w:hAnsi="Cambria"/>
          <w:sz w:val="22"/>
          <w:szCs w:val="22"/>
        </w:rPr>
      </w:pPr>
    </w:p>
    <w:p w14:paraId="6E3ACCB5" w14:textId="3E2C403F" w:rsidR="00C114EC" w:rsidRPr="00C17031" w:rsidRDefault="00C114EC" w:rsidP="00C114EC">
      <w:pPr>
        <w:spacing w:after="200" w:line="276" w:lineRule="auto"/>
        <w:jc w:val="both"/>
        <w:rPr>
          <w:rFonts w:ascii="Cambria" w:hAnsi="Cambria"/>
          <w:sz w:val="22"/>
          <w:szCs w:val="22"/>
        </w:rPr>
      </w:pPr>
      <w:r>
        <w:rPr>
          <w:rFonts w:ascii="Cambria" w:hAnsi="Cambria"/>
          <w:sz w:val="22"/>
        </w:rPr>
        <w:t>Les droits d'utilisation se réfèrent principalement aux contrats de location immobilière en vigueur et relatifs aux points de vente Take Off, au siège d'Over, ainsi qu'aux véhicules et aux équipements de bureau sur une base résiduelle. La variation de la période comprend l'effet des amortissements pour 769 000 euros, les augmentations dues à l'ouverture de nouveaux points de vente pour 191 000 euros, ainsi que l'effet dérivant des changements contractuels stipulés en 2021, liés à la pandémie en cours, qui ont conduit à la redéfinition des montants dus sur certains contrats de location existants. Ces changements ont entraîné une réduction des actifs du droit d'utilisation, ainsi qu'une réduction correspondante des passifs de location, de 87 000 euros.</w:t>
      </w:r>
    </w:p>
    <w:p w14:paraId="60CC3117" w14:textId="48B70E7F" w:rsidR="00DE1EA4" w:rsidRPr="00C17031" w:rsidRDefault="00717E63" w:rsidP="00F17EF1">
      <w:pPr>
        <w:spacing w:after="200" w:line="276" w:lineRule="auto"/>
        <w:jc w:val="both"/>
        <w:rPr>
          <w:rFonts w:ascii="Cambria" w:hAnsi="Cambria"/>
          <w:sz w:val="22"/>
          <w:szCs w:val="22"/>
        </w:rPr>
      </w:pPr>
      <w:r>
        <w:rPr>
          <w:rFonts w:ascii="Cambria" w:hAnsi="Cambria"/>
          <w:sz w:val="22"/>
        </w:rPr>
        <w:t>Il convient de noter que, comme l'exige le paragraphe 59 de la norme IFRS 16, les droits d'utilisation se rapportent à la location des points de vente Take Off et Over, ainsi que de deux véhicules de société et de matériel de bureau. En outre, aucune provision n'est constituée pour les éléments suivants : garanties sur la valeur résiduelle des actifs, contrats de location non encore stipulés pour lesquels le preneur a contracté une obligation ; restrictions ou accords imposés par les contrats de location et les opérations de cession-bail. En ce qui concerne l'exercice de l'option de prolongation ou de résiliation, se référer au paragraphe précédent « Normes comptables et critères d'évaluation adoptés - Leasing ».</w:t>
      </w:r>
    </w:p>
    <w:p w14:paraId="14842A95" w14:textId="5B4DFB91" w:rsidR="00181BB1" w:rsidRPr="00C17031" w:rsidRDefault="00181BB1" w:rsidP="00C114EC">
      <w:pPr>
        <w:spacing w:after="200" w:line="276" w:lineRule="auto"/>
        <w:jc w:val="both"/>
        <w:rPr>
          <w:rFonts w:ascii="Cambria" w:hAnsi="Cambria"/>
          <w:sz w:val="22"/>
          <w:szCs w:val="22"/>
        </w:rPr>
      </w:pPr>
      <w:r>
        <w:rPr>
          <w:rFonts w:ascii="Cambria" w:hAnsi="Cambria"/>
          <w:sz w:val="22"/>
        </w:rPr>
        <w:t>Au 30 juin 2021, conformément aux dispositions de la norme IAS 36, la direction a considéré l'effet économique et financier causé par l'épidémie COVID-19 comme un événement déclencheur, en effectuant les évaluations appropriées afin d'identifier les éventuelles réductions de valeur (</w:t>
      </w:r>
      <w:proofErr w:type="spellStart"/>
      <w:r>
        <w:rPr>
          <w:rFonts w:ascii="Cambria" w:hAnsi="Cambria"/>
          <w:sz w:val="22"/>
        </w:rPr>
        <w:t>impairment</w:t>
      </w:r>
      <w:proofErr w:type="spellEnd"/>
      <w:r>
        <w:rPr>
          <w:rFonts w:ascii="Cambria" w:hAnsi="Cambria"/>
          <w:sz w:val="22"/>
        </w:rPr>
        <w:t xml:space="preserve">). En ce qui concerne plus particulièrement les points de vente loués, la direction a analysé la performance de tous les points de vente et a conclu qu'il n'était pas nécessaire de procéder à un test de dépréciation pour aucun des points de vente analysés au 30 juin 2021. </w:t>
      </w:r>
    </w:p>
    <w:p w14:paraId="089110CA" w14:textId="77777777" w:rsidR="00E16D12" w:rsidRPr="00C513D9" w:rsidRDefault="00C114EC" w:rsidP="00E16D12">
      <w:pPr>
        <w:pStyle w:val="Titolo2"/>
        <w:numPr>
          <w:ilvl w:val="0"/>
          <w:numId w:val="6"/>
        </w:numPr>
        <w:spacing w:line="240" w:lineRule="auto"/>
        <w:ind w:left="357" w:right="0" w:hanging="357"/>
        <w:jc w:val="left"/>
        <w:rPr>
          <w:i w:val="0"/>
        </w:rPr>
      </w:pPr>
      <w:bookmarkStart w:id="135" w:name="_Toc112768667"/>
      <w:r>
        <w:rPr>
          <w:i w:val="0"/>
        </w:rPr>
        <w:t>Autres créances à long terme</w:t>
      </w:r>
      <w:bookmarkEnd w:id="135"/>
    </w:p>
    <w:p w14:paraId="403DBB26" w14:textId="77777777" w:rsidR="00E16D12" w:rsidRPr="00C17031" w:rsidRDefault="00E16D12" w:rsidP="00E16D12">
      <w:pPr>
        <w:rPr>
          <w:rFonts w:ascii="Cambria" w:hAnsi="Cambria"/>
          <w:highlight w:val="green"/>
        </w:rPr>
      </w:pPr>
    </w:p>
    <w:p w14:paraId="1B416943" w14:textId="288AC7D4" w:rsidR="00C114EC" w:rsidRDefault="00C114EC" w:rsidP="00C114EC">
      <w:pPr>
        <w:spacing w:after="200" w:line="276" w:lineRule="auto"/>
        <w:jc w:val="both"/>
        <w:rPr>
          <w:rFonts w:ascii="Cambria" w:hAnsi="Cambria"/>
          <w:sz w:val="22"/>
          <w:szCs w:val="22"/>
        </w:rPr>
      </w:pPr>
      <w:r>
        <w:rPr>
          <w:rFonts w:ascii="Cambria" w:hAnsi="Cambria"/>
          <w:sz w:val="22"/>
        </w:rPr>
        <w:t>La ventilation du poste « </w:t>
      </w:r>
      <w:r>
        <w:rPr>
          <w:rFonts w:ascii="Cambria" w:hAnsi="Cambria"/>
          <w:i/>
          <w:iCs/>
          <w:sz w:val="22"/>
        </w:rPr>
        <w:t>A</w:t>
      </w:r>
      <w:r>
        <w:rPr>
          <w:rFonts w:ascii="Cambria" w:hAnsi="Cambria"/>
          <w:sz w:val="22"/>
        </w:rPr>
        <w:t>utres actifs à long terme » au 30 juin 2021, par rapport aux mêmes valeurs au 31 décembre 2020, est présentée ci-dessous :</w:t>
      </w:r>
    </w:p>
    <w:tbl>
      <w:tblPr>
        <w:tblW w:w="5000" w:type="pct"/>
        <w:tblCellMar>
          <w:left w:w="70" w:type="dxa"/>
          <w:right w:w="70" w:type="dxa"/>
        </w:tblCellMar>
        <w:tblLook w:val="04A0" w:firstRow="1" w:lastRow="0" w:firstColumn="1" w:lastColumn="0" w:noHBand="0" w:noVBand="1"/>
      </w:tblPr>
      <w:tblGrid>
        <w:gridCol w:w="3609"/>
        <w:gridCol w:w="2010"/>
        <w:gridCol w:w="2010"/>
        <w:gridCol w:w="2009"/>
      </w:tblGrid>
      <w:tr w:rsidR="00D17CAC" w14:paraId="79CBF155" w14:textId="77777777" w:rsidTr="00D17CAC">
        <w:trPr>
          <w:trHeight w:val="495"/>
        </w:trPr>
        <w:tc>
          <w:tcPr>
            <w:tcW w:w="1872" w:type="pct"/>
            <w:tcBorders>
              <w:top w:val="single" w:sz="4" w:space="0" w:color="0070C0"/>
              <w:left w:val="nil"/>
              <w:bottom w:val="single" w:sz="8" w:space="0" w:color="0070C0"/>
              <w:right w:val="nil"/>
            </w:tcBorders>
            <w:shd w:val="clear" w:color="auto" w:fill="auto"/>
            <w:noWrap/>
            <w:vAlign w:val="bottom"/>
            <w:hideMark/>
          </w:tcPr>
          <w:p w14:paraId="0544B434" w14:textId="77777777" w:rsidR="00D17CAC" w:rsidRDefault="00D17CAC">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043" w:type="pct"/>
            <w:tcBorders>
              <w:top w:val="single" w:sz="4" w:space="0" w:color="0070C0"/>
              <w:left w:val="nil"/>
              <w:bottom w:val="single" w:sz="8" w:space="0" w:color="0070C0"/>
              <w:right w:val="nil"/>
            </w:tcBorders>
            <w:shd w:val="clear" w:color="auto" w:fill="auto"/>
            <w:vAlign w:val="bottom"/>
            <w:hideMark/>
          </w:tcPr>
          <w:p w14:paraId="37C1DA33" w14:textId="77777777" w:rsidR="00D17CAC" w:rsidRDefault="00D17CAC">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1043" w:type="pct"/>
            <w:tcBorders>
              <w:top w:val="single" w:sz="4" w:space="0" w:color="0070C0"/>
              <w:left w:val="nil"/>
              <w:bottom w:val="single" w:sz="8" w:space="0" w:color="0070C0"/>
              <w:right w:val="nil"/>
            </w:tcBorders>
            <w:shd w:val="clear" w:color="auto" w:fill="auto"/>
            <w:vAlign w:val="bottom"/>
            <w:hideMark/>
          </w:tcPr>
          <w:p w14:paraId="22DCAFEB" w14:textId="77777777" w:rsidR="00D17CAC" w:rsidRDefault="00D17CAC">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c>
          <w:tcPr>
            <w:tcW w:w="1043" w:type="pct"/>
            <w:tcBorders>
              <w:top w:val="single" w:sz="4" w:space="0" w:color="0070C0"/>
              <w:left w:val="nil"/>
              <w:bottom w:val="single" w:sz="8" w:space="0" w:color="0070C0"/>
              <w:right w:val="nil"/>
            </w:tcBorders>
            <w:shd w:val="clear" w:color="auto" w:fill="auto"/>
            <w:vAlign w:val="bottom"/>
            <w:hideMark/>
          </w:tcPr>
          <w:p w14:paraId="0755989A" w14:textId="77777777" w:rsidR="00D17CAC" w:rsidRDefault="00D17CAC">
            <w:pPr>
              <w:jc w:val="right"/>
              <w:rPr>
                <w:rFonts w:ascii="Cambria" w:hAnsi="Cambria" w:cs="Arial"/>
                <w:b/>
                <w:bCs/>
                <w:color w:val="000000"/>
                <w:sz w:val="18"/>
                <w:szCs w:val="18"/>
              </w:rPr>
            </w:pPr>
            <w:r>
              <w:rPr>
                <w:rFonts w:ascii="Cambria" w:hAnsi="Cambria"/>
                <w:b/>
                <w:color w:val="000000"/>
                <w:sz w:val="18"/>
              </w:rPr>
              <w:t>Variation</w:t>
            </w:r>
          </w:p>
        </w:tc>
      </w:tr>
      <w:tr w:rsidR="00D17CAC" w14:paraId="51B239FC" w14:textId="77777777" w:rsidTr="00D17CAC">
        <w:trPr>
          <w:trHeight w:val="240"/>
        </w:trPr>
        <w:tc>
          <w:tcPr>
            <w:tcW w:w="1872" w:type="pct"/>
            <w:tcBorders>
              <w:top w:val="nil"/>
              <w:left w:val="nil"/>
              <w:bottom w:val="nil"/>
              <w:right w:val="nil"/>
            </w:tcBorders>
            <w:shd w:val="clear" w:color="auto" w:fill="auto"/>
            <w:noWrap/>
            <w:vAlign w:val="bottom"/>
            <w:hideMark/>
          </w:tcPr>
          <w:p w14:paraId="1FF63C39" w14:textId="77777777" w:rsidR="00D17CAC" w:rsidRDefault="00D17CAC">
            <w:pPr>
              <w:rPr>
                <w:rFonts w:ascii="Cambria" w:hAnsi="Cambria" w:cs="Arial"/>
                <w:color w:val="000000"/>
                <w:sz w:val="18"/>
                <w:szCs w:val="18"/>
              </w:rPr>
            </w:pPr>
            <w:r>
              <w:rPr>
                <w:rFonts w:ascii="Cambria" w:hAnsi="Cambria"/>
                <w:color w:val="000000"/>
                <w:sz w:val="18"/>
              </w:rPr>
              <w:t>Placements à terme</w:t>
            </w:r>
          </w:p>
        </w:tc>
        <w:tc>
          <w:tcPr>
            <w:tcW w:w="1043" w:type="pct"/>
            <w:tcBorders>
              <w:top w:val="nil"/>
              <w:left w:val="nil"/>
              <w:bottom w:val="nil"/>
              <w:right w:val="nil"/>
            </w:tcBorders>
            <w:shd w:val="clear" w:color="auto" w:fill="auto"/>
            <w:noWrap/>
            <w:vAlign w:val="bottom"/>
            <w:hideMark/>
          </w:tcPr>
          <w:p w14:paraId="44711160" w14:textId="77777777" w:rsidR="00D17CAC" w:rsidRDefault="00D17CAC">
            <w:pPr>
              <w:jc w:val="right"/>
              <w:rPr>
                <w:rFonts w:ascii="Cambria" w:hAnsi="Cambria" w:cs="Arial"/>
                <w:color w:val="000000"/>
                <w:sz w:val="18"/>
                <w:szCs w:val="18"/>
              </w:rPr>
            </w:pPr>
            <w:r>
              <w:rPr>
                <w:rFonts w:ascii="Cambria" w:hAnsi="Cambria"/>
                <w:color w:val="000000"/>
                <w:sz w:val="18"/>
              </w:rPr>
              <w:t>470 071</w:t>
            </w:r>
          </w:p>
        </w:tc>
        <w:tc>
          <w:tcPr>
            <w:tcW w:w="1043" w:type="pct"/>
            <w:tcBorders>
              <w:top w:val="nil"/>
              <w:left w:val="nil"/>
              <w:bottom w:val="nil"/>
              <w:right w:val="nil"/>
            </w:tcBorders>
            <w:shd w:val="clear" w:color="auto" w:fill="auto"/>
            <w:noWrap/>
            <w:vAlign w:val="bottom"/>
            <w:hideMark/>
          </w:tcPr>
          <w:p w14:paraId="40B47255" w14:textId="77777777" w:rsidR="00D17CAC" w:rsidRDefault="00D17CAC">
            <w:pPr>
              <w:jc w:val="right"/>
              <w:rPr>
                <w:rFonts w:ascii="Cambria" w:hAnsi="Cambria" w:cs="Arial"/>
                <w:color w:val="000000"/>
                <w:sz w:val="18"/>
                <w:szCs w:val="18"/>
              </w:rPr>
            </w:pPr>
            <w:r>
              <w:rPr>
                <w:rFonts w:ascii="Cambria" w:hAnsi="Cambria"/>
                <w:color w:val="000000"/>
                <w:sz w:val="18"/>
              </w:rPr>
              <w:t>479 103</w:t>
            </w:r>
          </w:p>
        </w:tc>
        <w:tc>
          <w:tcPr>
            <w:tcW w:w="1043" w:type="pct"/>
            <w:tcBorders>
              <w:top w:val="nil"/>
              <w:left w:val="nil"/>
              <w:bottom w:val="nil"/>
              <w:right w:val="nil"/>
            </w:tcBorders>
            <w:shd w:val="clear" w:color="auto" w:fill="auto"/>
            <w:noWrap/>
            <w:vAlign w:val="bottom"/>
            <w:hideMark/>
          </w:tcPr>
          <w:p w14:paraId="6592F447" w14:textId="77777777" w:rsidR="00D17CAC" w:rsidRDefault="00D17CAC">
            <w:pPr>
              <w:jc w:val="right"/>
              <w:rPr>
                <w:rFonts w:ascii="Cambria" w:hAnsi="Cambria" w:cs="Arial"/>
                <w:color w:val="000000"/>
                <w:sz w:val="18"/>
                <w:szCs w:val="18"/>
              </w:rPr>
            </w:pPr>
            <w:r>
              <w:rPr>
                <w:rFonts w:ascii="Cambria" w:hAnsi="Cambria"/>
                <w:color w:val="000000"/>
                <w:sz w:val="18"/>
              </w:rPr>
              <w:t>(9 032)</w:t>
            </w:r>
          </w:p>
        </w:tc>
      </w:tr>
      <w:tr w:rsidR="00D17CAC" w14:paraId="37E70093" w14:textId="77777777" w:rsidTr="00454EE7">
        <w:trPr>
          <w:trHeight w:val="70"/>
        </w:trPr>
        <w:tc>
          <w:tcPr>
            <w:tcW w:w="1872" w:type="pct"/>
            <w:tcBorders>
              <w:top w:val="nil"/>
              <w:left w:val="nil"/>
              <w:bottom w:val="nil"/>
              <w:right w:val="nil"/>
            </w:tcBorders>
            <w:shd w:val="clear" w:color="auto" w:fill="auto"/>
            <w:noWrap/>
            <w:vAlign w:val="bottom"/>
            <w:hideMark/>
          </w:tcPr>
          <w:p w14:paraId="3D674B7E" w14:textId="77777777" w:rsidR="00D17CAC" w:rsidRDefault="00D17CAC">
            <w:pPr>
              <w:rPr>
                <w:rFonts w:ascii="Cambria" w:hAnsi="Cambria" w:cs="Arial"/>
                <w:b/>
                <w:bCs/>
                <w:color w:val="000000"/>
                <w:sz w:val="18"/>
                <w:szCs w:val="18"/>
              </w:rPr>
            </w:pPr>
            <w:r>
              <w:rPr>
                <w:rFonts w:ascii="Cambria" w:hAnsi="Cambria"/>
                <w:b/>
                <w:color w:val="000000"/>
                <w:sz w:val="18"/>
              </w:rPr>
              <w:t>Total Autres actifs à long terme</w:t>
            </w:r>
          </w:p>
        </w:tc>
        <w:tc>
          <w:tcPr>
            <w:tcW w:w="1043" w:type="pct"/>
            <w:tcBorders>
              <w:top w:val="single" w:sz="4" w:space="0" w:color="auto"/>
              <w:left w:val="nil"/>
              <w:bottom w:val="single" w:sz="8" w:space="0" w:color="auto"/>
              <w:right w:val="nil"/>
            </w:tcBorders>
            <w:shd w:val="clear" w:color="auto" w:fill="auto"/>
            <w:noWrap/>
            <w:vAlign w:val="bottom"/>
            <w:hideMark/>
          </w:tcPr>
          <w:p w14:paraId="3EC7FD89" w14:textId="77777777" w:rsidR="00D17CAC" w:rsidRDefault="00D17CAC">
            <w:pPr>
              <w:jc w:val="right"/>
              <w:rPr>
                <w:rFonts w:ascii="Cambria" w:hAnsi="Cambria" w:cs="Arial"/>
                <w:b/>
                <w:bCs/>
                <w:color w:val="000000"/>
                <w:sz w:val="18"/>
                <w:szCs w:val="18"/>
              </w:rPr>
            </w:pPr>
            <w:r>
              <w:rPr>
                <w:rFonts w:ascii="Cambria" w:hAnsi="Cambria"/>
                <w:b/>
                <w:color w:val="000000"/>
                <w:sz w:val="18"/>
              </w:rPr>
              <w:t>470 071</w:t>
            </w:r>
          </w:p>
        </w:tc>
        <w:tc>
          <w:tcPr>
            <w:tcW w:w="1043" w:type="pct"/>
            <w:tcBorders>
              <w:top w:val="single" w:sz="4" w:space="0" w:color="auto"/>
              <w:left w:val="nil"/>
              <w:bottom w:val="single" w:sz="8" w:space="0" w:color="auto"/>
              <w:right w:val="nil"/>
            </w:tcBorders>
            <w:shd w:val="clear" w:color="auto" w:fill="auto"/>
            <w:noWrap/>
            <w:vAlign w:val="bottom"/>
            <w:hideMark/>
          </w:tcPr>
          <w:p w14:paraId="195645AA" w14:textId="77777777" w:rsidR="00D17CAC" w:rsidRDefault="00D17CAC">
            <w:pPr>
              <w:jc w:val="right"/>
              <w:rPr>
                <w:rFonts w:ascii="Cambria" w:hAnsi="Cambria" w:cs="Arial"/>
                <w:b/>
                <w:bCs/>
                <w:color w:val="000000"/>
                <w:sz w:val="18"/>
                <w:szCs w:val="18"/>
              </w:rPr>
            </w:pPr>
            <w:r>
              <w:rPr>
                <w:rFonts w:ascii="Cambria" w:hAnsi="Cambria"/>
                <w:b/>
                <w:color w:val="000000"/>
                <w:sz w:val="18"/>
              </w:rPr>
              <w:t>479 103</w:t>
            </w:r>
          </w:p>
        </w:tc>
        <w:tc>
          <w:tcPr>
            <w:tcW w:w="1043" w:type="pct"/>
            <w:tcBorders>
              <w:top w:val="single" w:sz="4" w:space="0" w:color="auto"/>
              <w:left w:val="nil"/>
              <w:bottom w:val="single" w:sz="8" w:space="0" w:color="auto"/>
              <w:right w:val="nil"/>
            </w:tcBorders>
            <w:shd w:val="clear" w:color="auto" w:fill="auto"/>
            <w:noWrap/>
            <w:vAlign w:val="bottom"/>
            <w:hideMark/>
          </w:tcPr>
          <w:p w14:paraId="1DBB5CE2" w14:textId="77777777" w:rsidR="00D17CAC" w:rsidRDefault="00D17CAC">
            <w:pPr>
              <w:jc w:val="right"/>
              <w:rPr>
                <w:rFonts w:ascii="Cambria" w:hAnsi="Cambria" w:cs="Arial"/>
                <w:b/>
                <w:bCs/>
                <w:color w:val="000000"/>
                <w:sz w:val="18"/>
                <w:szCs w:val="18"/>
              </w:rPr>
            </w:pPr>
            <w:r>
              <w:rPr>
                <w:rFonts w:ascii="Cambria" w:hAnsi="Cambria"/>
                <w:b/>
                <w:color w:val="000000"/>
                <w:sz w:val="18"/>
              </w:rPr>
              <w:t>(9 032)</w:t>
            </w:r>
          </w:p>
        </w:tc>
      </w:tr>
    </w:tbl>
    <w:p w14:paraId="35947D70" w14:textId="65456F2B" w:rsidR="00836C49" w:rsidRPr="00C17031" w:rsidRDefault="00836C49" w:rsidP="00C114EC">
      <w:pPr>
        <w:spacing w:after="200" w:line="276" w:lineRule="auto"/>
        <w:jc w:val="both"/>
        <w:rPr>
          <w:rFonts w:ascii="Cambria" w:hAnsi="Cambria"/>
          <w:sz w:val="22"/>
          <w:szCs w:val="22"/>
        </w:rPr>
      </w:pPr>
    </w:p>
    <w:p w14:paraId="160442AE" w14:textId="09541F11" w:rsidR="00C114EC" w:rsidRDefault="00C114EC" w:rsidP="001E56C5">
      <w:pPr>
        <w:spacing w:line="276" w:lineRule="auto"/>
        <w:jc w:val="both"/>
        <w:rPr>
          <w:rFonts w:ascii="Cambria" w:hAnsi="Cambria"/>
          <w:sz w:val="22"/>
          <w:szCs w:val="22"/>
        </w:rPr>
      </w:pPr>
      <w:r>
        <w:rPr>
          <w:rFonts w:ascii="Cambria" w:hAnsi="Cambria"/>
          <w:sz w:val="22"/>
        </w:rPr>
        <w:t>Ce poste comprend principalement des cautions émises sur les services publics pour environ 2 800 000 euros et des dépôts à terme sur les contrats de location de certains locaux commerciaux où sont réalisées les activités de vente pour 467 000 euros.</w:t>
      </w:r>
    </w:p>
    <w:p w14:paraId="0985DD1D" w14:textId="77777777" w:rsidR="00431400" w:rsidRPr="00C17031" w:rsidRDefault="00431400" w:rsidP="001E56C5">
      <w:pPr>
        <w:spacing w:line="276" w:lineRule="auto"/>
        <w:jc w:val="both"/>
        <w:rPr>
          <w:rFonts w:ascii="Cambria" w:hAnsi="Cambria"/>
          <w:color w:val="FF0000"/>
          <w:sz w:val="22"/>
          <w:szCs w:val="22"/>
        </w:rPr>
      </w:pPr>
    </w:p>
    <w:p w14:paraId="3C7EBD51" w14:textId="77777777" w:rsidR="00F83C77" w:rsidRDefault="00C114EC" w:rsidP="00F83C77">
      <w:pPr>
        <w:pStyle w:val="Titolo2"/>
        <w:numPr>
          <w:ilvl w:val="0"/>
          <w:numId w:val="6"/>
        </w:numPr>
        <w:spacing w:line="240" w:lineRule="auto"/>
        <w:ind w:left="357" w:right="0" w:hanging="357"/>
        <w:jc w:val="left"/>
        <w:rPr>
          <w:i w:val="0"/>
        </w:rPr>
      </w:pPr>
      <w:bookmarkStart w:id="136" w:name="_Toc112768668"/>
      <w:r>
        <w:rPr>
          <w:i w:val="0"/>
        </w:rPr>
        <w:t>Actif d’impôt différé</w:t>
      </w:r>
      <w:bookmarkEnd w:id="136"/>
    </w:p>
    <w:p w14:paraId="6531976D" w14:textId="77777777" w:rsidR="002203FC" w:rsidRDefault="002203FC" w:rsidP="001E56C5">
      <w:pPr>
        <w:ind w:left="357"/>
      </w:pPr>
    </w:p>
    <w:p w14:paraId="3A8B29FB" w14:textId="728B9D99" w:rsidR="002203FC" w:rsidRDefault="002203FC" w:rsidP="001B6BD6">
      <w:pPr>
        <w:spacing w:line="276" w:lineRule="auto"/>
        <w:jc w:val="both"/>
        <w:rPr>
          <w:rFonts w:ascii="Cambria" w:hAnsi="Cambria"/>
          <w:sz w:val="22"/>
          <w:szCs w:val="22"/>
        </w:rPr>
      </w:pPr>
      <w:r>
        <w:rPr>
          <w:rFonts w:ascii="Cambria" w:hAnsi="Cambria"/>
          <w:sz w:val="22"/>
        </w:rPr>
        <w:t>La ventilation du poste « Actif d’impôt différé » au 30 juin 2021, par rapport aux mêmes valeurs au 31 décembre 2020, est présentée ci-dessous :</w:t>
      </w:r>
    </w:p>
    <w:p w14:paraId="3B2EB325" w14:textId="099B69BD" w:rsidR="00836C49" w:rsidRDefault="00836C49" w:rsidP="001B6BD6">
      <w:pPr>
        <w:spacing w:line="276" w:lineRule="auto"/>
        <w:jc w:val="both"/>
        <w:rPr>
          <w:rFonts w:ascii="Cambria" w:hAnsi="Cambria"/>
          <w:sz w:val="22"/>
          <w:szCs w:val="22"/>
        </w:rPr>
      </w:pPr>
    </w:p>
    <w:tbl>
      <w:tblPr>
        <w:tblW w:w="5000" w:type="pct"/>
        <w:tblCellMar>
          <w:left w:w="70" w:type="dxa"/>
          <w:right w:w="70" w:type="dxa"/>
        </w:tblCellMar>
        <w:tblLook w:val="04A0" w:firstRow="1" w:lastRow="0" w:firstColumn="1" w:lastColumn="0" w:noHBand="0" w:noVBand="1"/>
      </w:tblPr>
      <w:tblGrid>
        <w:gridCol w:w="3467"/>
        <w:gridCol w:w="2057"/>
        <w:gridCol w:w="2057"/>
        <w:gridCol w:w="2057"/>
      </w:tblGrid>
      <w:tr w:rsidR="00D17CAC" w14:paraId="672FEE9B" w14:textId="77777777" w:rsidTr="00D17CAC">
        <w:trPr>
          <w:trHeight w:val="465"/>
        </w:trPr>
        <w:tc>
          <w:tcPr>
            <w:tcW w:w="1799" w:type="pct"/>
            <w:tcBorders>
              <w:top w:val="single" w:sz="4" w:space="0" w:color="0070C0"/>
              <w:left w:val="nil"/>
              <w:bottom w:val="single" w:sz="8" w:space="0" w:color="0070C0"/>
              <w:right w:val="nil"/>
            </w:tcBorders>
            <w:shd w:val="clear" w:color="auto" w:fill="auto"/>
            <w:noWrap/>
            <w:vAlign w:val="bottom"/>
            <w:hideMark/>
          </w:tcPr>
          <w:p w14:paraId="60AB3065" w14:textId="77777777" w:rsidR="00D17CAC" w:rsidRDefault="00D17CAC">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067" w:type="pct"/>
            <w:tcBorders>
              <w:top w:val="single" w:sz="4" w:space="0" w:color="0070C0"/>
              <w:left w:val="nil"/>
              <w:bottom w:val="single" w:sz="8" w:space="0" w:color="0070C0"/>
              <w:right w:val="nil"/>
            </w:tcBorders>
            <w:shd w:val="clear" w:color="auto" w:fill="auto"/>
            <w:vAlign w:val="bottom"/>
            <w:hideMark/>
          </w:tcPr>
          <w:p w14:paraId="226C8BB4" w14:textId="77777777" w:rsidR="00D17CAC" w:rsidRDefault="00D17CAC">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1067" w:type="pct"/>
            <w:tcBorders>
              <w:top w:val="single" w:sz="4" w:space="0" w:color="0070C0"/>
              <w:left w:val="nil"/>
              <w:bottom w:val="single" w:sz="8" w:space="0" w:color="0070C0"/>
              <w:right w:val="nil"/>
            </w:tcBorders>
            <w:shd w:val="clear" w:color="auto" w:fill="auto"/>
            <w:vAlign w:val="bottom"/>
            <w:hideMark/>
          </w:tcPr>
          <w:p w14:paraId="39383947" w14:textId="77777777" w:rsidR="00D17CAC" w:rsidRDefault="00D17CAC">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c>
          <w:tcPr>
            <w:tcW w:w="1067" w:type="pct"/>
            <w:tcBorders>
              <w:top w:val="single" w:sz="4" w:space="0" w:color="0070C0"/>
              <w:left w:val="nil"/>
              <w:bottom w:val="single" w:sz="8" w:space="0" w:color="0070C0"/>
              <w:right w:val="nil"/>
            </w:tcBorders>
            <w:shd w:val="clear" w:color="auto" w:fill="auto"/>
            <w:vAlign w:val="bottom"/>
            <w:hideMark/>
          </w:tcPr>
          <w:p w14:paraId="3CFA3E2C" w14:textId="77777777" w:rsidR="00D17CAC" w:rsidRDefault="00D17CAC">
            <w:pPr>
              <w:jc w:val="right"/>
              <w:rPr>
                <w:rFonts w:ascii="Cambria" w:hAnsi="Cambria" w:cs="Arial"/>
                <w:b/>
                <w:bCs/>
                <w:color w:val="000000"/>
                <w:sz w:val="18"/>
                <w:szCs w:val="18"/>
              </w:rPr>
            </w:pPr>
            <w:r>
              <w:rPr>
                <w:rFonts w:ascii="Cambria" w:hAnsi="Cambria"/>
                <w:b/>
                <w:color w:val="000000"/>
                <w:sz w:val="18"/>
              </w:rPr>
              <w:t>Variation</w:t>
            </w:r>
          </w:p>
        </w:tc>
      </w:tr>
      <w:tr w:rsidR="00FB2C8F" w14:paraId="5A0B31DA" w14:textId="77777777" w:rsidTr="00D17CAC">
        <w:trPr>
          <w:trHeight w:val="240"/>
        </w:trPr>
        <w:tc>
          <w:tcPr>
            <w:tcW w:w="1799" w:type="pct"/>
            <w:tcBorders>
              <w:top w:val="nil"/>
              <w:left w:val="nil"/>
              <w:bottom w:val="nil"/>
              <w:right w:val="nil"/>
            </w:tcBorders>
            <w:shd w:val="clear" w:color="auto" w:fill="auto"/>
            <w:noWrap/>
            <w:vAlign w:val="bottom"/>
            <w:hideMark/>
          </w:tcPr>
          <w:p w14:paraId="34E19B3B" w14:textId="77777777" w:rsidR="00FB2C8F" w:rsidRDefault="00FB2C8F" w:rsidP="00FB2C8F">
            <w:pPr>
              <w:rPr>
                <w:rFonts w:ascii="Cambria" w:hAnsi="Cambria" w:cs="Arial"/>
                <w:color w:val="000000"/>
                <w:sz w:val="18"/>
                <w:szCs w:val="18"/>
              </w:rPr>
            </w:pPr>
            <w:r>
              <w:rPr>
                <w:rFonts w:ascii="Cambria" w:hAnsi="Cambria"/>
                <w:color w:val="000000"/>
                <w:sz w:val="18"/>
              </w:rPr>
              <w:t>Actif d’impôt différé</w:t>
            </w:r>
          </w:p>
        </w:tc>
        <w:tc>
          <w:tcPr>
            <w:tcW w:w="1067" w:type="pct"/>
            <w:tcBorders>
              <w:top w:val="nil"/>
              <w:left w:val="nil"/>
              <w:bottom w:val="nil"/>
              <w:right w:val="nil"/>
            </w:tcBorders>
            <w:shd w:val="clear" w:color="auto" w:fill="auto"/>
            <w:noWrap/>
            <w:vAlign w:val="bottom"/>
            <w:hideMark/>
          </w:tcPr>
          <w:p w14:paraId="4E0D07FD" w14:textId="592F0580" w:rsidR="00FB2C8F" w:rsidRDefault="00FB2C8F" w:rsidP="00FB2C8F">
            <w:pPr>
              <w:jc w:val="right"/>
              <w:rPr>
                <w:rFonts w:ascii="Cambria" w:hAnsi="Cambria" w:cs="Arial"/>
                <w:color w:val="000000"/>
                <w:sz w:val="18"/>
                <w:szCs w:val="18"/>
              </w:rPr>
            </w:pPr>
            <w:r>
              <w:rPr>
                <w:rFonts w:ascii="Cambria" w:hAnsi="Cambria"/>
                <w:color w:val="000000"/>
                <w:sz w:val="18"/>
              </w:rPr>
              <w:t>1 361 408</w:t>
            </w:r>
          </w:p>
        </w:tc>
        <w:tc>
          <w:tcPr>
            <w:tcW w:w="1067" w:type="pct"/>
            <w:tcBorders>
              <w:top w:val="nil"/>
              <w:left w:val="nil"/>
              <w:bottom w:val="nil"/>
              <w:right w:val="nil"/>
            </w:tcBorders>
            <w:shd w:val="clear" w:color="auto" w:fill="auto"/>
            <w:noWrap/>
            <w:vAlign w:val="bottom"/>
            <w:hideMark/>
          </w:tcPr>
          <w:p w14:paraId="64F861C7" w14:textId="31C1AB29" w:rsidR="00FB2C8F" w:rsidRDefault="00FB2C8F" w:rsidP="00FB2C8F">
            <w:pPr>
              <w:jc w:val="right"/>
              <w:rPr>
                <w:rFonts w:ascii="Cambria" w:hAnsi="Cambria" w:cs="Arial"/>
                <w:color w:val="000000"/>
                <w:sz w:val="18"/>
                <w:szCs w:val="18"/>
              </w:rPr>
            </w:pPr>
            <w:r>
              <w:rPr>
                <w:rFonts w:ascii="Cambria" w:hAnsi="Cambria"/>
                <w:color w:val="000000"/>
                <w:sz w:val="18"/>
              </w:rPr>
              <w:t>1 543 811</w:t>
            </w:r>
          </w:p>
        </w:tc>
        <w:tc>
          <w:tcPr>
            <w:tcW w:w="1067" w:type="pct"/>
            <w:tcBorders>
              <w:top w:val="nil"/>
              <w:left w:val="nil"/>
              <w:bottom w:val="nil"/>
              <w:right w:val="nil"/>
            </w:tcBorders>
            <w:shd w:val="clear" w:color="auto" w:fill="auto"/>
            <w:noWrap/>
            <w:vAlign w:val="bottom"/>
            <w:hideMark/>
          </w:tcPr>
          <w:p w14:paraId="27CC0C93" w14:textId="64FD3C5D" w:rsidR="00FB2C8F" w:rsidRDefault="00FB2C8F" w:rsidP="00FB2C8F">
            <w:pPr>
              <w:jc w:val="right"/>
              <w:rPr>
                <w:rFonts w:ascii="Cambria" w:hAnsi="Cambria" w:cs="Arial"/>
                <w:color w:val="000000"/>
                <w:sz w:val="18"/>
                <w:szCs w:val="18"/>
              </w:rPr>
            </w:pPr>
            <w:r>
              <w:rPr>
                <w:rFonts w:ascii="Cambria" w:hAnsi="Cambria"/>
                <w:color w:val="000000"/>
                <w:sz w:val="18"/>
              </w:rPr>
              <w:t>(182 403)</w:t>
            </w:r>
          </w:p>
        </w:tc>
      </w:tr>
      <w:tr w:rsidR="00FB2C8F" w14:paraId="4A6FDF84" w14:textId="77777777" w:rsidTr="00D17CAC">
        <w:trPr>
          <w:trHeight w:val="255"/>
        </w:trPr>
        <w:tc>
          <w:tcPr>
            <w:tcW w:w="1799" w:type="pct"/>
            <w:tcBorders>
              <w:top w:val="nil"/>
              <w:left w:val="nil"/>
              <w:bottom w:val="nil"/>
              <w:right w:val="nil"/>
            </w:tcBorders>
            <w:shd w:val="clear" w:color="auto" w:fill="auto"/>
            <w:noWrap/>
            <w:vAlign w:val="bottom"/>
            <w:hideMark/>
          </w:tcPr>
          <w:p w14:paraId="7A8458D9" w14:textId="77777777" w:rsidR="00FB2C8F" w:rsidRDefault="00FB2C8F" w:rsidP="00FB2C8F">
            <w:pPr>
              <w:rPr>
                <w:rFonts w:ascii="Cambria" w:hAnsi="Cambria" w:cs="Arial"/>
                <w:b/>
                <w:bCs/>
                <w:color w:val="000000"/>
                <w:sz w:val="18"/>
                <w:szCs w:val="18"/>
              </w:rPr>
            </w:pPr>
            <w:r>
              <w:rPr>
                <w:rFonts w:ascii="Cambria" w:hAnsi="Cambria"/>
                <w:b/>
                <w:color w:val="000000"/>
                <w:sz w:val="18"/>
              </w:rPr>
              <w:t>Total Actif d’impôt différé</w:t>
            </w:r>
          </w:p>
        </w:tc>
        <w:tc>
          <w:tcPr>
            <w:tcW w:w="1067" w:type="pct"/>
            <w:tcBorders>
              <w:top w:val="single" w:sz="4" w:space="0" w:color="auto"/>
              <w:left w:val="nil"/>
              <w:bottom w:val="single" w:sz="8" w:space="0" w:color="auto"/>
              <w:right w:val="nil"/>
            </w:tcBorders>
            <w:shd w:val="clear" w:color="auto" w:fill="auto"/>
            <w:noWrap/>
            <w:vAlign w:val="bottom"/>
            <w:hideMark/>
          </w:tcPr>
          <w:p w14:paraId="4251892C" w14:textId="72DE60E5" w:rsidR="00FB2C8F" w:rsidRDefault="00FB2C8F" w:rsidP="00FB2C8F">
            <w:pPr>
              <w:jc w:val="right"/>
              <w:rPr>
                <w:rFonts w:ascii="Cambria" w:hAnsi="Cambria" w:cs="Arial"/>
                <w:b/>
                <w:bCs/>
                <w:color w:val="000000"/>
                <w:sz w:val="18"/>
                <w:szCs w:val="18"/>
              </w:rPr>
            </w:pPr>
            <w:r>
              <w:rPr>
                <w:rFonts w:ascii="Cambria" w:hAnsi="Cambria"/>
                <w:b/>
                <w:color w:val="000000"/>
                <w:sz w:val="18"/>
              </w:rPr>
              <w:t>1 361 408</w:t>
            </w:r>
          </w:p>
        </w:tc>
        <w:tc>
          <w:tcPr>
            <w:tcW w:w="1067" w:type="pct"/>
            <w:tcBorders>
              <w:top w:val="single" w:sz="4" w:space="0" w:color="auto"/>
              <w:left w:val="nil"/>
              <w:bottom w:val="single" w:sz="8" w:space="0" w:color="auto"/>
              <w:right w:val="nil"/>
            </w:tcBorders>
            <w:shd w:val="clear" w:color="auto" w:fill="auto"/>
            <w:noWrap/>
            <w:vAlign w:val="bottom"/>
            <w:hideMark/>
          </w:tcPr>
          <w:p w14:paraId="4D083F11" w14:textId="7F66FA73" w:rsidR="00FB2C8F" w:rsidRDefault="00FB2C8F" w:rsidP="00FB2C8F">
            <w:pPr>
              <w:jc w:val="right"/>
              <w:rPr>
                <w:rFonts w:ascii="Cambria" w:hAnsi="Cambria" w:cs="Arial"/>
                <w:b/>
                <w:bCs/>
                <w:color w:val="000000"/>
                <w:sz w:val="18"/>
                <w:szCs w:val="18"/>
              </w:rPr>
            </w:pPr>
            <w:r>
              <w:rPr>
                <w:rFonts w:ascii="Cambria" w:hAnsi="Cambria"/>
                <w:b/>
                <w:color w:val="000000"/>
                <w:sz w:val="18"/>
              </w:rPr>
              <w:t>1 543 811</w:t>
            </w:r>
          </w:p>
        </w:tc>
        <w:tc>
          <w:tcPr>
            <w:tcW w:w="1067" w:type="pct"/>
            <w:tcBorders>
              <w:top w:val="single" w:sz="4" w:space="0" w:color="auto"/>
              <w:left w:val="nil"/>
              <w:bottom w:val="single" w:sz="8" w:space="0" w:color="auto"/>
              <w:right w:val="nil"/>
            </w:tcBorders>
            <w:shd w:val="clear" w:color="auto" w:fill="auto"/>
            <w:noWrap/>
            <w:vAlign w:val="bottom"/>
            <w:hideMark/>
          </w:tcPr>
          <w:p w14:paraId="50684019" w14:textId="087B6F6B" w:rsidR="00FB2C8F" w:rsidRDefault="00FB2C8F" w:rsidP="00FB2C8F">
            <w:pPr>
              <w:jc w:val="right"/>
              <w:rPr>
                <w:rFonts w:ascii="Cambria" w:hAnsi="Cambria" w:cs="Arial"/>
                <w:b/>
                <w:bCs/>
                <w:color w:val="000000"/>
                <w:sz w:val="18"/>
                <w:szCs w:val="18"/>
              </w:rPr>
            </w:pPr>
            <w:r>
              <w:rPr>
                <w:rFonts w:ascii="Cambria" w:hAnsi="Cambria"/>
                <w:b/>
                <w:color w:val="000000"/>
                <w:sz w:val="18"/>
              </w:rPr>
              <w:t>(182 403)</w:t>
            </w:r>
          </w:p>
        </w:tc>
      </w:tr>
    </w:tbl>
    <w:p w14:paraId="2A341C3A" w14:textId="3FC45FE7" w:rsidR="00836C49" w:rsidRDefault="00836C49" w:rsidP="001B6BD6">
      <w:pPr>
        <w:spacing w:line="276" w:lineRule="auto"/>
        <w:jc w:val="both"/>
        <w:rPr>
          <w:rFonts w:ascii="Cambria" w:hAnsi="Cambria"/>
          <w:sz w:val="22"/>
          <w:szCs w:val="22"/>
        </w:rPr>
      </w:pPr>
    </w:p>
    <w:p w14:paraId="4F6B764B" w14:textId="77777777" w:rsidR="000B7A4C" w:rsidRPr="00C17031" w:rsidRDefault="000B7A4C" w:rsidP="001E56C5">
      <w:pPr>
        <w:jc w:val="both"/>
        <w:rPr>
          <w:rFonts w:ascii="Cambria" w:hAnsi="Cambria"/>
          <w:sz w:val="22"/>
          <w:szCs w:val="22"/>
        </w:rPr>
      </w:pPr>
    </w:p>
    <w:p w14:paraId="43E005D5" w14:textId="2176080E" w:rsidR="002203FC" w:rsidRPr="00C17031" w:rsidRDefault="002203FC" w:rsidP="001B6BD6">
      <w:pPr>
        <w:spacing w:line="276" w:lineRule="auto"/>
        <w:jc w:val="both"/>
        <w:rPr>
          <w:rFonts w:ascii="Cambria" w:hAnsi="Cambria"/>
          <w:sz w:val="22"/>
          <w:szCs w:val="22"/>
        </w:rPr>
      </w:pPr>
      <w:r>
        <w:rPr>
          <w:rFonts w:ascii="Cambria" w:hAnsi="Cambria"/>
          <w:sz w:val="22"/>
        </w:rPr>
        <w:t xml:space="preserve">Les actifs d'impôts différés ont été déterminés principalement sur la valeur des pertes fiscales accumulées au cours des années précédentes par Over et reportées indéfiniment, ainsi que sur la provision pour la dépréciation des stocks comme indiqué ci-dessous. Le recouvrement de ces actifs d'impôt différé est donc subordonné à la réalisation de bénéfices imposables futurs suffisants pour utiliser les avantages des actifs d'impôt différé. L'évaluation par la direction de la </w:t>
      </w:r>
      <w:proofErr w:type="spellStart"/>
      <w:r>
        <w:rPr>
          <w:rFonts w:ascii="Cambria" w:hAnsi="Cambria"/>
          <w:sz w:val="22"/>
        </w:rPr>
        <w:t>recouvrabilité</w:t>
      </w:r>
      <w:proofErr w:type="spellEnd"/>
      <w:r>
        <w:rPr>
          <w:rFonts w:ascii="Cambria" w:hAnsi="Cambria"/>
          <w:sz w:val="22"/>
        </w:rPr>
        <w:t xml:space="preserve"> susmentionnée tient compte de l'estimation des bénéfices imposables futurs et se fonde sur une planification fiscale prudente.</w:t>
      </w:r>
    </w:p>
    <w:p w14:paraId="044CA429" w14:textId="77777777" w:rsidR="002203FC" w:rsidRPr="00724B8A" w:rsidRDefault="002203FC" w:rsidP="001E56C5"/>
    <w:p w14:paraId="0B425BF7" w14:textId="77777777" w:rsidR="00F83C77" w:rsidRDefault="00F83C77" w:rsidP="00F83C77"/>
    <w:p w14:paraId="0BCEC682" w14:textId="77777777" w:rsidR="00F83C77" w:rsidRPr="00F83C77" w:rsidRDefault="00E16D12" w:rsidP="00F83C77">
      <w:pPr>
        <w:pStyle w:val="Titolo2"/>
        <w:numPr>
          <w:ilvl w:val="0"/>
          <w:numId w:val="6"/>
        </w:numPr>
        <w:spacing w:line="240" w:lineRule="auto"/>
        <w:ind w:left="357" w:right="0" w:hanging="357"/>
        <w:jc w:val="left"/>
        <w:rPr>
          <w:i w:val="0"/>
        </w:rPr>
      </w:pPr>
      <w:bookmarkStart w:id="137" w:name="_Toc112768669"/>
      <w:r>
        <w:rPr>
          <w:i w:val="0"/>
        </w:rPr>
        <w:t>Stocks</w:t>
      </w:r>
      <w:bookmarkEnd w:id="137"/>
    </w:p>
    <w:p w14:paraId="16A23069" w14:textId="77777777" w:rsidR="00E16D12" w:rsidRPr="00C17031" w:rsidRDefault="00E16D12" w:rsidP="00E16D12">
      <w:pPr>
        <w:jc w:val="both"/>
        <w:rPr>
          <w:rFonts w:ascii="Cambria" w:hAnsi="Cambria"/>
          <w:sz w:val="22"/>
          <w:szCs w:val="22"/>
          <w:highlight w:val="green"/>
        </w:rPr>
      </w:pPr>
    </w:p>
    <w:p w14:paraId="6727F50C" w14:textId="5944B78F" w:rsidR="00E16D12" w:rsidRDefault="00E16D12" w:rsidP="00E16D12">
      <w:pPr>
        <w:spacing w:after="200" w:line="276" w:lineRule="auto"/>
        <w:jc w:val="both"/>
        <w:rPr>
          <w:rFonts w:ascii="Cambria" w:hAnsi="Cambria"/>
          <w:sz w:val="22"/>
          <w:szCs w:val="22"/>
        </w:rPr>
      </w:pPr>
      <w:r>
        <w:rPr>
          <w:rFonts w:ascii="Cambria" w:hAnsi="Cambria"/>
          <w:sz w:val="22"/>
        </w:rPr>
        <w:t>La ventilation du poste « Stocks » au 30 juin 2021, par rapport aux mêmes valeurs au 31 décembre 2020, est présentée ci-dessous :</w:t>
      </w:r>
    </w:p>
    <w:tbl>
      <w:tblPr>
        <w:tblW w:w="5000" w:type="pct"/>
        <w:tblCellMar>
          <w:left w:w="70" w:type="dxa"/>
          <w:right w:w="70" w:type="dxa"/>
        </w:tblCellMar>
        <w:tblLook w:val="04A0" w:firstRow="1" w:lastRow="0" w:firstColumn="1" w:lastColumn="0" w:noHBand="0" w:noVBand="1"/>
      </w:tblPr>
      <w:tblGrid>
        <w:gridCol w:w="3169"/>
        <w:gridCol w:w="2157"/>
        <w:gridCol w:w="2157"/>
        <w:gridCol w:w="2155"/>
      </w:tblGrid>
      <w:tr w:rsidR="00E2722E" w14:paraId="207B3D62" w14:textId="77777777" w:rsidTr="00E2722E">
        <w:trPr>
          <w:trHeight w:val="495"/>
        </w:trPr>
        <w:tc>
          <w:tcPr>
            <w:tcW w:w="1644" w:type="pct"/>
            <w:tcBorders>
              <w:top w:val="single" w:sz="4" w:space="0" w:color="0070C0"/>
              <w:left w:val="nil"/>
              <w:bottom w:val="single" w:sz="8" w:space="0" w:color="0070C0"/>
              <w:right w:val="nil"/>
            </w:tcBorders>
            <w:shd w:val="clear" w:color="auto" w:fill="auto"/>
            <w:noWrap/>
            <w:vAlign w:val="bottom"/>
            <w:hideMark/>
          </w:tcPr>
          <w:p w14:paraId="6327A2E3" w14:textId="77777777" w:rsidR="00E2722E" w:rsidRDefault="00E2722E">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119" w:type="pct"/>
            <w:tcBorders>
              <w:top w:val="single" w:sz="4" w:space="0" w:color="0070C0"/>
              <w:left w:val="nil"/>
              <w:bottom w:val="single" w:sz="8" w:space="0" w:color="0070C0"/>
              <w:right w:val="nil"/>
            </w:tcBorders>
            <w:shd w:val="clear" w:color="auto" w:fill="auto"/>
            <w:vAlign w:val="bottom"/>
            <w:hideMark/>
          </w:tcPr>
          <w:p w14:paraId="02A0C499" w14:textId="77777777" w:rsidR="00E2722E" w:rsidRDefault="00E2722E">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1119" w:type="pct"/>
            <w:tcBorders>
              <w:top w:val="single" w:sz="4" w:space="0" w:color="0070C0"/>
              <w:left w:val="nil"/>
              <w:bottom w:val="single" w:sz="8" w:space="0" w:color="0070C0"/>
              <w:right w:val="nil"/>
            </w:tcBorders>
            <w:shd w:val="clear" w:color="auto" w:fill="auto"/>
            <w:vAlign w:val="bottom"/>
            <w:hideMark/>
          </w:tcPr>
          <w:p w14:paraId="6CA2C4CC" w14:textId="77777777" w:rsidR="00E2722E" w:rsidRDefault="00E2722E">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c>
          <w:tcPr>
            <w:tcW w:w="1119" w:type="pct"/>
            <w:tcBorders>
              <w:top w:val="single" w:sz="4" w:space="0" w:color="0070C0"/>
              <w:left w:val="nil"/>
              <w:bottom w:val="single" w:sz="8" w:space="0" w:color="0070C0"/>
              <w:right w:val="nil"/>
            </w:tcBorders>
            <w:shd w:val="clear" w:color="auto" w:fill="auto"/>
            <w:vAlign w:val="bottom"/>
            <w:hideMark/>
          </w:tcPr>
          <w:p w14:paraId="3B64AE30" w14:textId="77777777" w:rsidR="00E2722E" w:rsidRDefault="00E2722E">
            <w:pPr>
              <w:jc w:val="center"/>
              <w:rPr>
                <w:rFonts w:ascii="Cambria" w:hAnsi="Cambria" w:cs="Arial"/>
                <w:b/>
                <w:bCs/>
                <w:color w:val="000000"/>
                <w:sz w:val="18"/>
                <w:szCs w:val="18"/>
              </w:rPr>
            </w:pPr>
            <w:r>
              <w:rPr>
                <w:rFonts w:ascii="Cambria" w:hAnsi="Cambria"/>
                <w:b/>
                <w:color w:val="000000"/>
                <w:sz w:val="18"/>
              </w:rPr>
              <w:t>Variation</w:t>
            </w:r>
          </w:p>
        </w:tc>
      </w:tr>
      <w:tr w:rsidR="00E2722E" w14:paraId="23E3F09A" w14:textId="77777777" w:rsidTr="00E2722E">
        <w:trPr>
          <w:trHeight w:val="240"/>
        </w:trPr>
        <w:tc>
          <w:tcPr>
            <w:tcW w:w="1644" w:type="pct"/>
            <w:tcBorders>
              <w:top w:val="nil"/>
              <w:left w:val="nil"/>
              <w:bottom w:val="nil"/>
              <w:right w:val="nil"/>
            </w:tcBorders>
            <w:shd w:val="clear" w:color="auto" w:fill="auto"/>
            <w:noWrap/>
            <w:vAlign w:val="bottom"/>
            <w:hideMark/>
          </w:tcPr>
          <w:p w14:paraId="32EE9931" w14:textId="77777777" w:rsidR="00E2722E" w:rsidRDefault="00E2722E">
            <w:pPr>
              <w:rPr>
                <w:rFonts w:ascii="Cambria" w:hAnsi="Cambria" w:cs="Arial"/>
                <w:color w:val="000000"/>
                <w:sz w:val="18"/>
                <w:szCs w:val="18"/>
              </w:rPr>
            </w:pPr>
            <w:r>
              <w:rPr>
                <w:rFonts w:ascii="Cambria" w:hAnsi="Cambria"/>
                <w:color w:val="000000"/>
                <w:sz w:val="18"/>
              </w:rPr>
              <w:t>Produits finis</w:t>
            </w:r>
          </w:p>
        </w:tc>
        <w:tc>
          <w:tcPr>
            <w:tcW w:w="1119" w:type="pct"/>
            <w:tcBorders>
              <w:top w:val="nil"/>
              <w:left w:val="nil"/>
              <w:bottom w:val="nil"/>
              <w:right w:val="nil"/>
            </w:tcBorders>
            <w:shd w:val="clear" w:color="auto" w:fill="auto"/>
            <w:noWrap/>
            <w:vAlign w:val="bottom"/>
            <w:hideMark/>
          </w:tcPr>
          <w:p w14:paraId="0677B64F" w14:textId="77777777" w:rsidR="00E2722E" w:rsidRDefault="00E2722E">
            <w:pPr>
              <w:jc w:val="right"/>
              <w:rPr>
                <w:rFonts w:ascii="Cambria" w:hAnsi="Cambria" w:cs="Arial"/>
                <w:color w:val="000000"/>
                <w:sz w:val="18"/>
                <w:szCs w:val="18"/>
              </w:rPr>
            </w:pPr>
            <w:r>
              <w:rPr>
                <w:rFonts w:ascii="Cambria" w:hAnsi="Cambria"/>
                <w:color w:val="000000"/>
                <w:sz w:val="18"/>
              </w:rPr>
              <w:t>10 904 097</w:t>
            </w:r>
          </w:p>
        </w:tc>
        <w:tc>
          <w:tcPr>
            <w:tcW w:w="1119" w:type="pct"/>
            <w:tcBorders>
              <w:top w:val="nil"/>
              <w:left w:val="nil"/>
              <w:bottom w:val="nil"/>
              <w:right w:val="nil"/>
            </w:tcBorders>
            <w:shd w:val="clear" w:color="auto" w:fill="auto"/>
            <w:noWrap/>
            <w:vAlign w:val="bottom"/>
            <w:hideMark/>
          </w:tcPr>
          <w:p w14:paraId="3999AF72" w14:textId="77777777" w:rsidR="00E2722E" w:rsidRDefault="00E2722E">
            <w:pPr>
              <w:jc w:val="right"/>
              <w:rPr>
                <w:rFonts w:ascii="Cambria" w:hAnsi="Cambria" w:cs="Arial"/>
                <w:color w:val="000000"/>
                <w:sz w:val="18"/>
                <w:szCs w:val="18"/>
              </w:rPr>
            </w:pPr>
            <w:r>
              <w:rPr>
                <w:rFonts w:ascii="Cambria" w:hAnsi="Cambria"/>
                <w:color w:val="000000"/>
                <w:sz w:val="18"/>
              </w:rPr>
              <w:t>11 281 873</w:t>
            </w:r>
          </w:p>
        </w:tc>
        <w:tc>
          <w:tcPr>
            <w:tcW w:w="1119" w:type="pct"/>
            <w:tcBorders>
              <w:top w:val="nil"/>
              <w:left w:val="nil"/>
              <w:bottom w:val="nil"/>
              <w:right w:val="nil"/>
            </w:tcBorders>
            <w:shd w:val="clear" w:color="auto" w:fill="auto"/>
            <w:noWrap/>
            <w:vAlign w:val="bottom"/>
            <w:hideMark/>
          </w:tcPr>
          <w:p w14:paraId="57EC6B79" w14:textId="77777777" w:rsidR="00E2722E" w:rsidRDefault="00E2722E">
            <w:pPr>
              <w:jc w:val="right"/>
              <w:rPr>
                <w:rFonts w:ascii="Cambria" w:hAnsi="Cambria" w:cs="Arial"/>
                <w:color w:val="000000"/>
                <w:sz w:val="18"/>
                <w:szCs w:val="18"/>
              </w:rPr>
            </w:pPr>
            <w:r>
              <w:rPr>
                <w:rFonts w:ascii="Cambria" w:hAnsi="Cambria"/>
                <w:color w:val="000000"/>
                <w:sz w:val="18"/>
              </w:rPr>
              <w:t>(377 776)</w:t>
            </w:r>
          </w:p>
        </w:tc>
      </w:tr>
      <w:tr w:rsidR="00E2722E" w14:paraId="3AE161A4" w14:textId="77777777" w:rsidTr="00E2722E">
        <w:trPr>
          <w:trHeight w:val="240"/>
        </w:trPr>
        <w:tc>
          <w:tcPr>
            <w:tcW w:w="1644" w:type="pct"/>
            <w:tcBorders>
              <w:top w:val="nil"/>
              <w:left w:val="nil"/>
              <w:bottom w:val="nil"/>
              <w:right w:val="nil"/>
            </w:tcBorders>
            <w:shd w:val="clear" w:color="auto" w:fill="auto"/>
            <w:noWrap/>
            <w:vAlign w:val="bottom"/>
            <w:hideMark/>
          </w:tcPr>
          <w:p w14:paraId="7A921025" w14:textId="77777777" w:rsidR="00E2722E" w:rsidRDefault="00E2722E">
            <w:pPr>
              <w:rPr>
                <w:rFonts w:ascii="Cambria" w:hAnsi="Cambria" w:cs="Arial"/>
                <w:color w:val="000000"/>
                <w:sz w:val="18"/>
                <w:szCs w:val="18"/>
              </w:rPr>
            </w:pPr>
            <w:r>
              <w:rPr>
                <w:rFonts w:ascii="Cambria" w:hAnsi="Cambria"/>
                <w:color w:val="000000"/>
                <w:sz w:val="18"/>
              </w:rPr>
              <w:t>Provision pour dépréciation des stocks</w:t>
            </w:r>
          </w:p>
        </w:tc>
        <w:tc>
          <w:tcPr>
            <w:tcW w:w="1119" w:type="pct"/>
            <w:tcBorders>
              <w:top w:val="nil"/>
              <w:left w:val="nil"/>
              <w:bottom w:val="nil"/>
              <w:right w:val="nil"/>
            </w:tcBorders>
            <w:shd w:val="clear" w:color="auto" w:fill="auto"/>
            <w:noWrap/>
            <w:vAlign w:val="bottom"/>
            <w:hideMark/>
          </w:tcPr>
          <w:p w14:paraId="5082513A" w14:textId="77777777" w:rsidR="00E2722E" w:rsidRDefault="00E2722E">
            <w:pPr>
              <w:jc w:val="right"/>
              <w:rPr>
                <w:rFonts w:ascii="Cambria" w:hAnsi="Cambria" w:cs="Arial"/>
                <w:color w:val="000000"/>
                <w:sz w:val="18"/>
                <w:szCs w:val="18"/>
              </w:rPr>
            </w:pPr>
            <w:r>
              <w:rPr>
                <w:rFonts w:ascii="Cambria" w:hAnsi="Cambria"/>
                <w:color w:val="000000"/>
                <w:sz w:val="18"/>
              </w:rPr>
              <w:t>(300 000)</w:t>
            </w:r>
          </w:p>
        </w:tc>
        <w:tc>
          <w:tcPr>
            <w:tcW w:w="1119" w:type="pct"/>
            <w:tcBorders>
              <w:top w:val="nil"/>
              <w:left w:val="nil"/>
              <w:bottom w:val="nil"/>
              <w:right w:val="nil"/>
            </w:tcBorders>
            <w:shd w:val="clear" w:color="auto" w:fill="auto"/>
            <w:noWrap/>
            <w:vAlign w:val="bottom"/>
            <w:hideMark/>
          </w:tcPr>
          <w:p w14:paraId="32730C97" w14:textId="77777777" w:rsidR="00E2722E" w:rsidRDefault="00E2722E">
            <w:pPr>
              <w:jc w:val="right"/>
              <w:rPr>
                <w:rFonts w:ascii="Cambria" w:hAnsi="Cambria" w:cs="Arial"/>
                <w:color w:val="000000"/>
                <w:sz w:val="18"/>
                <w:szCs w:val="18"/>
              </w:rPr>
            </w:pPr>
            <w:r>
              <w:rPr>
                <w:rFonts w:ascii="Cambria" w:hAnsi="Cambria"/>
                <w:color w:val="000000"/>
                <w:sz w:val="18"/>
              </w:rPr>
              <w:t>(300 000)</w:t>
            </w:r>
          </w:p>
        </w:tc>
        <w:tc>
          <w:tcPr>
            <w:tcW w:w="1119" w:type="pct"/>
            <w:tcBorders>
              <w:top w:val="nil"/>
              <w:left w:val="nil"/>
              <w:bottom w:val="nil"/>
              <w:right w:val="nil"/>
            </w:tcBorders>
            <w:shd w:val="clear" w:color="auto" w:fill="auto"/>
            <w:noWrap/>
            <w:vAlign w:val="bottom"/>
            <w:hideMark/>
          </w:tcPr>
          <w:p w14:paraId="02B6D3A0" w14:textId="77777777" w:rsidR="00E2722E" w:rsidRDefault="00E2722E">
            <w:pPr>
              <w:jc w:val="right"/>
              <w:rPr>
                <w:rFonts w:ascii="Cambria" w:hAnsi="Cambria" w:cs="Arial"/>
                <w:color w:val="000000"/>
                <w:sz w:val="18"/>
                <w:szCs w:val="18"/>
              </w:rPr>
            </w:pPr>
            <w:r>
              <w:rPr>
                <w:rFonts w:ascii="Cambria" w:hAnsi="Cambria"/>
                <w:color w:val="000000"/>
                <w:sz w:val="18"/>
              </w:rPr>
              <w:t>0</w:t>
            </w:r>
          </w:p>
        </w:tc>
      </w:tr>
      <w:tr w:rsidR="00E2722E" w14:paraId="7B56E6C9" w14:textId="77777777" w:rsidTr="00E2722E">
        <w:trPr>
          <w:trHeight w:val="255"/>
        </w:trPr>
        <w:tc>
          <w:tcPr>
            <w:tcW w:w="1644" w:type="pct"/>
            <w:tcBorders>
              <w:top w:val="nil"/>
              <w:left w:val="nil"/>
              <w:bottom w:val="nil"/>
              <w:right w:val="nil"/>
            </w:tcBorders>
            <w:shd w:val="clear" w:color="auto" w:fill="auto"/>
            <w:noWrap/>
            <w:vAlign w:val="bottom"/>
            <w:hideMark/>
          </w:tcPr>
          <w:p w14:paraId="736B931D" w14:textId="77777777" w:rsidR="00E2722E" w:rsidRDefault="00E2722E">
            <w:pPr>
              <w:rPr>
                <w:rFonts w:ascii="Cambria" w:hAnsi="Cambria" w:cs="Arial"/>
                <w:b/>
                <w:bCs/>
                <w:color w:val="000000"/>
                <w:sz w:val="18"/>
                <w:szCs w:val="18"/>
              </w:rPr>
            </w:pPr>
            <w:r>
              <w:rPr>
                <w:rFonts w:ascii="Cambria" w:hAnsi="Cambria"/>
                <w:b/>
                <w:color w:val="000000"/>
                <w:sz w:val="18"/>
              </w:rPr>
              <w:t>Total Stocks</w:t>
            </w:r>
          </w:p>
        </w:tc>
        <w:tc>
          <w:tcPr>
            <w:tcW w:w="1119" w:type="pct"/>
            <w:tcBorders>
              <w:top w:val="single" w:sz="4" w:space="0" w:color="auto"/>
              <w:left w:val="nil"/>
              <w:bottom w:val="single" w:sz="8" w:space="0" w:color="auto"/>
              <w:right w:val="nil"/>
            </w:tcBorders>
            <w:shd w:val="clear" w:color="auto" w:fill="auto"/>
            <w:noWrap/>
            <w:vAlign w:val="bottom"/>
            <w:hideMark/>
          </w:tcPr>
          <w:p w14:paraId="00F7BBC5" w14:textId="77777777" w:rsidR="00E2722E" w:rsidRDefault="00E2722E">
            <w:pPr>
              <w:jc w:val="right"/>
              <w:rPr>
                <w:rFonts w:ascii="Cambria" w:hAnsi="Cambria" w:cs="Arial"/>
                <w:b/>
                <w:bCs/>
                <w:color w:val="000000"/>
                <w:sz w:val="18"/>
                <w:szCs w:val="18"/>
              </w:rPr>
            </w:pPr>
            <w:r>
              <w:rPr>
                <w:rFonts w:ascii="Cambria" w:hAnsi="Cambria"/>
                <w:b/>
                <w:color w:val="000000"/>
                <w:sz w:val="18"/>
              </w:rPr>
              <w:t>10 604 097</w:t>
            </w:r>
          </w:p>
        </w:tc>
        <w:tc>
          <w:tcPr>
            <w:tcW w:w="1119" w:type="pct"/>
            <w:tcBorders>
              <w:top w:val="single" w:sz="4" w:space="0" w:color="auto"/>
              <w:left w:val="nil"/>
              <w:bottom w:val="single" w:sz="8" w:space="0" w:color="auto"/>
              <w:right w:val="nil"/>
            </w:tcBorders>
            <w:shd w:val="clear" w:color="auto" w:fill="auto"/>
            <w:noWrap/>
            <w:vAlign w:val="bottom"/>
            <w:hideMark/>
          </w:tcPr>
          <w:p w14:paraId="3AEB2E56" w14:textId="77777777" w:rsidR="00E2722E" w:rsidRDefault="00E2722E">
            <w:pPr>
              <w:jc w:val="right"/>
              <w:rPr>
                <w:rFonts w:ascii="Cambria" w:hAnsi="Cambria" w:cs="Arial"/>
                <w:b/>
                <w:bCs/>
                <w:color w:val="000000"/>
                <w:sz w:val="18"/>
                <w:szCs w:val="18"/>
              </w:rPr>
            </w:pPr>
            <w:r>
              <w:rPr>
                <w:rFonts w:ascii="Cambria" w:hAnsi="Cambria"/>
                <w:b/>
                <w:color w:val="000000"/>
                <w:sz w:val="18"/>
              </w:rPr>
              <w:t>10 981 873</w:t>
            </w:r>
          </w:p>
        </w:tc>
        <w:tc>
          <w:tcPr>
            <w:tcW w:w="1119" w:type="pct"/>
            <w:tcBorders>
              <w:top w:val="single" w:sz="4" w:space="0" w:color="auto"/>
              <w:left w:val="nil"/>
              <w:bottom w:val="single" w:sz="8" w:space="0" w:color="auto"/>
              <w:right w:val="nil"/>
            </w:tcBorders>
            <w:shd w:val="clear" w:color="auto" w:fill="auto"/>
            <w:noWrap/>
            <w:vAlign w:val="bottom"/>
            <w:hideMark/>
          </w:tcPr>
          <w:p w14:paraId="6B5D74CE" w14:textId="77777777" w:rsidR="00E2722E" w:rsidRDefault="00E2722E">
            <w:pPr>
              <w:jc w:val="right"/>
              <w:rPr>
                <w:rFonts w:ascii="Cambria" w:hAnsi="Cambria" w:cs="Arial"/>
                <w:b/>
                <w:bCs/>
                <w:color w:val="000000"/>
                <w:sz w:val="18"/>
                <w:szCs w:val="18"/>
              </w:rPr>
            </w:pPr>
            <w:r>
              <w:rPr>
                <w:rFonts w:ascii="Cambria" w:hAnsi="Cambria"/>
                <w:b/>
                <w:color w:val="000000"/>
                <w:sz w:val="18"/>
              </w:rPr>
              <w:t>(377 776)</w:t>
            </w:r>
          </w:p>
        </w:tc>
      </w:tr>
    </w:tbl>
    <w:p w14:paraId="264B83E7" w14:textId="55CA9E95" w:rsidR="00836C49" w:rsidRDefault="00836C49" w:rsidP="00E16D12">
      <w:pPr>
        <w:spacing w:after="200" w:line="276" w:lineRule="auto"/>
        <w:jc w:val="both"/>
        <w:rPr>
          <w:rFonts w:ascii="Cambria" w:hAnsi="Cambria"/>
          <w:sz w:val="22"/>
          <w:szCs w:val="22"/>
        </w:rPr>
      </w:pPr>
    </w:p>
    <w:p w14:paraId="3F5F9FAC" w14:textId="210AB3A5" w:rsidR="003604F9" w:rsidRDefault="003F6B36" w:rsidP="00E16D12">
      <w:pPr>
        <w:spacing w:after="200" w:line="276" w:lineRule="auto"/>
        <w:jc w:val="both"/>
        <w:rPr>
          <w:rFonts w:ascii="Cambria" w:hAnsi="Cambria"/>
          <w:sz w:val="22"/>
          <w:szCs w:val="22"/>
        </w:rPr>
      </w:pPr>
      <w:r>
        <w:rPr>
          <w:rFonts w:ascii="Cambria" w:hAnsi="Cambria"/>
          <w:sz w:val="22"/>
        </w:rPr>
        <w:t>Au 30 juin, les stocks s'élevaient à 10 604 000 euros, soit une réduction de 378 000 euros par rapport au 31 décembre 2020. Comme des indicateurs d'obsolescence des stocks sont apparus pour Over, une provision pour dépréciation des stocks a été prudemment constituée, égale à 300 000 euros, et de nature à ajuster la valeur des stocks à leur valeur de marché.</w:t>
      </w:r>
    </w:p>
    <w:p w14:paraId="6F0FADF3" w14:textId="77777777" w:rsidR="00E16D12" w:rsidRPr="00FD2D4C" w:rsidRDefault="00E16D12" w:rsidP="00E16D12">
      <w:pPr>
        <w:pStyle w:val="Titolo2"/>
        <w:numPr>
          <w:ilvl w:val="0"/>
          <w:numId w:val="6"/>
        </w:numPr>
        <w:spacing w:line="240" w:lineRule="auto"/>
        <w:ind w:left="357" w:right="0" w:hanging="357"/>
        <w:jc w:val="left"/>
        <w:rPr>
          <w:i w:val="0"/>
        </w:rPr>
      </w:pPr>
      <w:bookmarkStart w:id="138" w:name="_Toc112768670"/>
      <w:r>
        <w:rPr>
          <w:i w:val="0"/>
        </w:rPr>
        <w:t>Créances commerciales</w:t>
      </w:r>
      <w:bookmarkEnd w:id="138"/>
    </w:p>
    <w:p w14:paraId="479142BB" w14:textId="77777777" w:rsidR="00E16D12" w:rsidRPr="00C17031" w:rsidRDefault="00E16D12" w:rsidP="00E16D12">
      <w:pPr>
        <w:rPr>
          <w:rFonts w:ascii="Cambria" w:hAnsi="Cambria"/>
          <w:highlight w:val="green"/>
        </w:rPr>
      </w:pPr>
    </w:p>
    <w:p w14:paraId="2AB9D8BA" w14:textId="0FA2A978" w:rsidR="00E16D12" w:rsidRDefault="00E16D12" w:rsidP="00E16D12">
      <w:pPr>
        <w:spacing w:after="200" w:line="276" w:lineRule="auto"/>
        <w:jc w:val="both"/>
        <w:rPr>
          <w:rFonts w:ascii="Cambria" w:hAnsi="Cambria"/>
          <w:sz w:val="22"/>
          <w:szCs w:val="22"/>
        </w:rPr>
      </w:pPr>
      <w:r>
        <w:rPr>
          <w:rFonts w:ascii="Cambria" w:hAnsi="Cambria"/>
          <w:sz w:val="22"/>
        </w:rPr>
        <w:t>La composition du poste « Créances commerciales » au 30 juin 2021, par rapport aux mêmes valeurs au 31 décembre 2020, est présentée ci-dessous :</w:t>
      </w:r>
    </w:p>
    <w:tbl>
      <w:tblPr>
        <w:tblW w:w="5000" w:type="pct"/>
        <w:tblCellMar>
          <w:left w:w="70" w:type="dxa"/>
          <w:right w:w="70" w:type="dxa"/>
        </w:tblCellMar>
        <w:tblLook w:val="04A0" w:firstRow="1" w:lastRow="0" w:firstColumn="1" w:lastColumn="0" w:noHBand="0" w:noVBand="1"/>
      </w:tblPr>
      <w:tblGrid>
        <w:gridCol w:w="3169"/>
        <w:gridCol w:w="2157"/>
        <w:gridCol w:w="2157"/>
        <w:gridCol w:w="2155"/>
      </w:tblGrid>
      <w:tr w:rsidR="00D17CAC" w14:paraId="29886620" w14:textId="77777777" w:rsidTr="00D17CAC">
        <w:trPr>
          <w:trHeight w:val="495"/>
        </w:trPr>
        <w:tc>
          <w:tcPr>
            <w:tcW w:w="1644" w:type="pct"/>
            <w:tcBorders>
              <w:top w:val="single" w:sz="4" w:space="0" w:color="0070C0"/>
              <w:left w:val="nil"/>
              <w:bottom w:val="single" w:sz="8" w:space="0" w:color="0070C0"/>
              <w:right w:val="nil"/>
            </w:tcBorders>
            <w:shd w:val="clear" w:color="auto" w:fill="auto"/>
            <w:noWrap/>
            <w:vAlign w:val="bottom"/>
            <w:hideMark/>
          </w:tcPr>
          <w:p w14:paraId="36754FB0" w14:textId="77777777" w:rsidR="00D17CAC" w:rsidRDefault="00D17CAC">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119" w:type="pct"/>
            <w:tcBorders>
              <w:top w:val="single" w:sz="4" w:space="0" w:color="0070C0"/>
              <w:left w:val="nil"/>
              <w:bottom w:val="single" w:sz="8" w:space="0" w:color="0070C0"/>
              <w:right w:val="nil"/>
            </w:tcBorders>
            <w:shd w:val="clear" w:color="auto" w:fill="auto"/>
            <w:vAlign w:val="bottom"/>
            <w:hideMark/>
          </w:tcPr>
          <w:p w14:paraId="4D7EEDC0" w14:textId="77777777" w:rsidR="00D17CAC" w:rsidRDefault="00D17CAC">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1119" w:type="pct"/>
            <w:tcBorders>
              <w:top w:val="single" w:sz="4" w:space="0" w:color="0070C0"/>
              <w:left w:val="nil"/>
              <w:bottom w:val="single" w:sz="8" w:space="0" w:color="0070C0"/>
              <w:right w:val="nil"/>
            </w:tcBorders>
            <w:shd w:val="clear" w:color="auto" w:fill="auto"/>
            <w:vAlign w:val="bottom"/>
            <w:hideMark/>
          </w:tcPr>
          <w:p w14:paraId="1973BE49" w14:textId="77777777" w:rsidR="00D17CAC" w:rsidRDefault="00D17CAC">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c>
          <w:tcPr>
            <w:tcW w:w="1119" w:type="pct"/>
            <w:tcBorders>
              <w:top w:val="single" w:sz="4" w:space="0" w:color="0070C0"/>
              <w:left w:val="nil"/>
              <w:bottom w:val="single" w:sz="8" w:space="0" w:color="0070C0"/>
              <w:right w:val="nil"/>
            </w:tcBorders>
            <w:shd w:val="clear" w:color="auto" w:fill="auto"/>
            <w:vAlign w:val="bottom"/>
            <w:hideMark/>
          </w:tcPr>
          <w:p w14:paraId="0857C0B4" w14:textId="77777777" w:rsidR="00D17CAC" w:rsidRDefault="00D17CAC">
            <w:pPr>
              <w:jc w:val="center"/>
              <w:rPr>
                <w:rFonts w:ascii="Cambria" w:hAnsi="Cambria" w:cs="Arial"/>
                <w:b/>
                <w:bCs/>
                <w:color w:val="000000"/>
                <w:sz w:val="18"/>
                <w:szCs w:val="18"/>
              </w:rPr>
            </w:pPr>
            <w:r>
              <w:rPr>
                <w:rFonts w:ascii="Cambria" w:hAnsi="Cambria"/>
                <w:b/>
                <w:color w:val="000000"/>
                <w:sz w:val="18"/>
              </w:rPr>
              <w:t>Variation</w:t>
            </w:r>
          </w:p>
        </w:tc>
      </w:tr>
      <w:tr w:rsidR="00D17CAC" w14:paraId="57D58AB5" w14:textId="77777777" w:rsidTr="00D17CAC">
        <w:trPr>
          <w:trHeight w:val="240"/>
        </w:trPr>
        <w:tc>
          <w:tcPr>
            <w:tcW w:w="1644" w:type="pct"/>
            <w:tcBorders>
              <w:top w:val="nil"/>
              <w:left w:val="nil"/>
              <w:bottom w:val="nil"/>
              <w:right w:val="nil"/>
            </w:tcBorders>
            <w:shd w:val="clear" w:color="auto" w:fill="auto"/>
            <w:noWrap/>
            <w:vAlign w:val="bottom"/>
            <w:hideMark/>
          </w:tcPr>
          <w:p w14:paraId="70C29DF5" w14:textId="77777777" w:rsidR="00D17CAC" w:rsidRDefault="00D17CAC">
            <w:pPr>
              <w:rPr>
                <w:rFonts w:ascii="Cambria" w:hAnsi="Cambria" w:cs="Arial"/>
                <w:color w:val="000000"/>
                <w:sz w:val="18"/>
                <w:szCs w:val="18"/>
              </w:rPr>
            </w:pPr>
            <w:r>
              <w:rPr>
                <w:rFonts w:ascii="Cambria" w:hAnsi="Cambria"/>
                <w:color w:val="000000"/>
                <w:sz w:val="18"/>
              </w:rPr>
              <w:t>Créances clients</w:t>
            </w:r>
          </w:p>
        </w:tc>
        <w:tc>
          <w:tcPr>
            <w:tcW w:w="1119" w:type="pct"/>
            <w:tcBorders>
              <w:top w:val="nil"/>
              <w:left w:val="nil"/>
              <w:bottom w:val="nil"/>
              <w:right w:val="nil"/>
            </w:tcBorders>
            <w:shd w:val="clear" w:color="auto" w:fill="auto"/>
            <w:noWrap/>
            <w:vAlign w:val="bottom"/>
            <w:hideMark/>
          </w:tcPr>
          <w:p w14:paraId="7532B304" w14:textId="77777777" w:rsidR="00D17CAC" w:rsidRDefault="00D17CAC">
            <w:pPr>
              <w:jc w:val="right"/>
              <w:rPr>
                <w:rFonts w:ascii="Cambria" w:hAnsi="Cambria" w:cs="Arial"/>
                <w:color w:val="000000"/>
                <w:sz w:val="18"/>
                <w:szCs w:val="18"/>
              </w:rPr>
            </w:pPr>
            <w:r>
              <w:rPr>
                <w:rFonts w:ascii="Cambria" w:hAnsi="Cambria"/>
                <w:color w:val="000000"/>
                <w:sz w:val="18"/>
              </w:rPr>
              <w:t>109 619</w:t>
            </w:r>
          </w:p>
        </w:tc>
        <w:tc>
          <w:tcPr>
            <w:tcW w:w="1119" w:type="pct"/>
            <w:tcBorders>
              <w:top w:val="nil"/>
              <w:left w:val="nil"/>
              <w:bottom w:val="nil"/>
              <w:right w:val="nil"/>
            </w:tcBorders>
            <w:shd w:val="clear" w:color="auto" w:fill="auto"/>
            <w:noWrap/>
            <w:vAlign w:val="bottom"/>
            <w:hideMark/>
          </w:tcPr>
          <w:p w14:paraId="350A99C3" w14:textId="77777777" w:rsidR="00D17CAC" w:rsidRDefault="00D17CAC">
            <w:pPr>
              <w:jc w:val="right"/>
              <w:rPr>
                <w:rFonts w:ascii="Cambria" w:hAnsi="Cambria" w:cs="Arial"/>
                <w:color w:val="000000"/>
                <w:sz w:val="18"/>
                <w:szCs w:val="18"/>
              </w:rPr>
            </w:pPr>
            <w:r>
              <w:rPr>
                <w:rFonts w:ascii="Cambria" w:hAnsi="Cambria"/>
                <w:color w:val="000000"/>
                <w:sz w:val="18"/>
              </w:rPr>
              <w:t>180 580</w:t>
            </w:r>
          </w:p>
        </w:tc>
        <w:tc>
          <w:tcPr>
            <w:tcW w:w="1119" w:type="pct"/>
            <w:tcBorders>
              <w:top w:val="nil"/>
              <w:left w:val="nil"/>
              <w:bottom w:val="nil"/>
              <w:right w:val="nil"/>
            </w:tcBorders>
            <w:shd w:val="clear" w:color="auto" w:fill="auto"/>
            <w:noWrap/>
            <w:vAlign w:val="bottom"/>
            <w:hideMark/>
          </w:tcPr>
          <w:p w14:paraId="72B9AAAC" w14:textId="77777777" w:rsidR="00D17CAC" w:rsidRDefault="00D17CAC">
            <w:pPr>
              <w:jc w:val="right"/>
              <w:rPr>
                <w:rFonts w:ascii="Cambria" w:hAnsi="Cambria" w:cs="Arial"/>
                <w:color w:val="000000"/>
                <w:sz w:val="18"/>
                <w:szCs w:val="18"/>
              </w:rPr>
            </w:pPr>
            <w:r>
              <w:rPr>
                <w:rFonts w:ascii="Cambria" w:hAnsi="Cambria"/>
                <w:color w:val="000000"/>
                <w:sz w:val="18"/>
              </w:rPr>
              <w:t>(70 961)</w:t>
            </w:r>
          </w:p>
        </w:tc>
      </w:tr>
      <w:tr w:rsidR="00D17CAC" w14:paraId="461A5D19" w14:textId="77777777" w:rsidTr="00D17CAC">
        <w:trPr>
          <w:trHeight w:val="240"/>
        </w:trPr>
        <w:tc>
          <w:tcPr>
            <w:tcW w:w="1644" w:type="pct"/>
            <w:tcBorders>
              <w:top w:val="nil"/>
              <w:left w:val="nil"/>
              <w:bottom w:val="nil"/>
              <w:right w:val="nil"/>
            </w:tcBorders>
            <w:shd w:val="clear" w:color="auto" w:fill="auto"/>
            <w:noWrap/>
            <w:vAlign w:val="bottom"/>
            <w:hideMark/>
          </w:tcPr>
          <w:p w14:paraId="36373645" w14:textId="77777777" w:rsidR="00D17CAC" w:rsidRDefault="00D17CAC">
            <w:pPr>
              <w:rPr>
                <w:rFonts w:ascii="Cambria" w:hAnsi="Cambria" w:cs="Arial"/>
                <w:color w:val="000000"/>
                <w:sz w:val="18"/>
                <w:szCs w:val="18"/>
              </w:rPr>
            </w:pPr>
            <w:r>
              <w:rPr>
                <w:rFonts w:ascii="Cambria" w:hAnsi="Cambria"/>
                <w:color w:val="000000"/>
                <w:sz w:val="18"/>
              </w:rPr>
              <w:t>Factures à émettre</w:t>
            </w:r>
          </w:p>
        </w:tc>
        <w:tc>
          <w:tcPr>
            <w:tcW w:w="1119" w:type="pct"/>
            <w:tcBorders>
              <w:top w:val="nil"/>
              <w:left w:val="nil"/>
              <w:bottom w:val="nil"/>
              <w:right w:val="nil"/>
            </w:tcBorders>
            <w:shd w:val="clear" w:color="auto" w:fill="auto"/>
            <w:noWrap/>
            <w:vAlign w:val="bottom"/>
            <w:hideMark/>
          </w:tcPr>
          <w:p w14:paraId="7F29B9D9" w14:textId="77777777" w:rsidR="00D17CAC" w:rsidRDefault="00D17CAC">
            <w:pPr>
              <w:jc w:val="right"/>
              <w:rPr>
                <w:rFonts w:ascii="Cambria" w:hAnsi="Cambria" w:cs="Arial"/>
                <w:color w:val="000000"/>
                <w:sz w:val="18"/>
                <w:szCs w:val="18"/>
              </w:rPr>
            </w:pPr>
            <w:r>
              <w:rPr>
                <w:rFonts w:ascii="Cambria" w:hAnsi="Cambria"/>
                <w:color w:val="000000"/>
                <w:sz w:val="18"/>
              </w:rPr>
              <w:t>2 821</w:t>
            </w:r>
          </w:p>
        </w:tc>
        <w:tc>
          <w:tcPr>
            <w:tcW w:w="1119" w:type="pct"/>
            <w:tcBorders>
              <w:top w:val="nil"/>
              <w:left w:val="nil"/>
              <w:bottom w:val="nil"/>
              <w:right w:val="nil"/>
            </w:tcBorders>
            <w:shd w:val="clear" w:color="auto" w:fill="auto"/>
            <w:noWrap/>
            <w:vAlign w:val="bottom"/>
            <w:hideMark/>
          </w:tcPr>
          <w:p w14:paraId="7ECBB04A" w14:textId="77777777" w:rsidR="00D17CAC" w:rsidRDefault="00D17CAC">
            <w:pPr>
              <w:jc w:val="right"/>
              <w:rPr>
                <w:rFonts w:ascii="Cambria" w:hAnsi="Cambria" w:cs="Arial"/>
                <w:color w:val="000000"/>
                <w:sz w:val="18"/>
                <w:szCs w:val="18"/>
              </w:rPr>
            </w:pPr>
            <w:r>
              <w:rPr>
                <w:rFonts w:ascii="Cambria" w:hAnsi="Cambria"/>
                <w:color w:val="000000"/>
                <w:sz w:val="18"/>
              </w:rPr>
              <w:t>9</w:t>
            </w:r>
          </w:p>
        </w:tc>
        <w:tc>
          <w:tcPr>
            <w:tcW w:w="1119" w:type="pct"/>
            <w:tcBorders>
              <w:top w:val="nil"/>
              <w:left w:val="nil"/>
              <w:bottom w:val="nil"/>
              <w:right w:val="nil"/>
            </w:tcBorders>
            <w:shd w:val="clear" w:color="auto" w:fill="auto"/>
            <w:noWrap/>
            <w:vAlign w:val="bottom"/>
            <w:hideMark/>
          </w:tcPr>
          <w:p w14:paraId="67370DD4" w14:textId="77777777" w:rsidR="00D17CAC" w:rsidRDefault="00D17CAC">
            <w:pPr>
              <w:jc w:val="right"/>
              <w:rPr>
                <w:rFonts w:ascii="Cambria" w:hAnsi="Cambria" w:cs="Arial"/>
                <w:color w:val="000000"/>
                <w:sz w:val="18"/>
                <w:szCs w:val="18"/>
              </w:rPr>
            </w:pPr>
            <w:r>
              <w:rPr>
                <w:rFonts w:ascii="Cambria" w:hAnsi="Cambria"/>
                <w:color w:val="000000"/>
                <w:sz w:val="18"/>
              </w:rPr>
              <w:t>2 812</w:t>
            </w:r>
          </w:p>
        </w:tc>
      </w:tr>
      <w:tr w:rsidR="00D17CAC" w14:paraId="285AD418" w14:textId="77777777" w:rsidTr="00D17CAC">
        <w:trPr>
          <w:trHeight w:val="240"/>
        </w:trPr>
        <w:tc>
          <w:tcPr>
            <w:tcW w:w="1644" w:type="pct"/>
            <w:tcBorders>
              <w:top w:val="nil"/>
              <w:left w:val="nil"/>
              <w:bottom w:val="nil"/>
              <w:right w:val="nil"/>
            </w:tcBorders>
            <w:shd w:val="clear" w:color="auto" w:fill="auto"/>
            <w:noWrap/>
            <w:vAlign w:val="bottom"/>
            <w:hideMark/>
          </w:tcPr>
          <w:p w14:paraId="7C72752D" w14:textId="77777777" w:rsidR="00D17CAC" w:rsidRDefault="00D17CAC">
            <w:pPr>
              <w:rPr>
                <w:rFonts w:ascii="Cambria" w:hAnsi="Cambria" w:cs="Arial"/>
                <w:color w:val="000000"/>
                <w:sz w:val="18"/>
                <w:szCs w:val="18"/>
              </w:rPr>
            </w:pPr>
            <w:r>
              <w:rPr>
                <w:rFonts w:ascii="Cambria" w:hAnsi="Cambria"/>
                <w:color w:val="000000"/>
                <w:sz w:val="18"/>
              </w:rPr>
              <w:t>Notes de crédit à émettre</w:t>
            </w:r>
          </w:p>
        </w:tc>
        <w:tc>
          <w:tcPr>
            <w:tcW w:w="1119" w:type="pct"/>
            <w:tcBorders>
              <w:top w:val="nil"/>
              <w:left w:val="nil"/>
              <w:bottom w:val="nil"/>
              <w:right w:val="nil"/>
            </w:tcBorders>
            <w:shd w:val="clear" w:color="auto" w:fill="auto"/>
            <w:noWrap/>
            <w:vAlign w:val="bottom"/>
            <w:hideMark/>
          </w:tcPr>
          <w:p w14:paraId="4E062B2B" w14:textId="77777777" w:rsidR="00D17CAC" w:rsidRDefault="00D17CAC">
            <w:pPr>
              <w:jc w:val="right"/>
              <w:rPr>
                <w:rFonts w:ascii="Cambria" w:hAnsi="Cambria" w:cs="Arial"/>
                <w:color w:val="000000"/>
                <w:sz w:val="18"/>
                <w:szCs w:val="18"/>
              </w:rPr>
            </w:pPr>
            <w:r>
              <w:rPr>
                <w:rFonts w:ascii="Cambria" w:hAnsi="Cambria"/>
                <w:color w:val="000000"/>
                <w:sz w:val="18"/>
              </w:rPr>
              <w:t>0</w:t>
            </w:r>
          </w:p>
        </w:tc>
        <w:tc>
          <w:tcPr>
            <w:tcW w:w="1119" w:type="pct"/>
            <w:tcBorders>
              <w:top w:val="nil"/>
              <w:left w:val="nil"/>
              <w:bottom w:val="nil"/>
              <w:right w:val="nil"/>
            </w:tcBorders>
            <w:shd w:val="clear" w:color="auto" w:fill="auto"/>
            <w:noWrap/>
            <w:vAlign w:val="bottom"/>
            <w:hideMark/>
          </w:tcPr>
          <w:p w14:paraId="5DB2F925" w14:textId="77777777" w:rsidR="00D17CAC" w:rsidRDefault="00D17CAC">
            <w:pPr>
              <w:jc w:val="right"/>
              <w:rPr>
                <w:rFonts w:ascii="Cambria" w:hAnsi="Cambria" w:cs="Arial"/>
                <w:color w:val="000000"/>
                <w:sz w:val="18"/>
                <w:szCs w:val="18"/>
              </w:rPr>
            </w:pPr>
            <w:r>
              <w:rPr>
                <w:rFonts w:ascii="Cambria" w:hAnsi="Cambria"/>
                <w:color w:val="000000"/>
                <w:sz w:val="18"/>
              </w:rPr>
              <w:t>(253)</w:t>
            </w:r>
          </w:p>
        </w:tc>
        <w:tc>
          <w:tcPr>
            <w:tcW w:w="1119" w:type="pct"/>
            <w:tcBorders>
              <w:top w:val="nil"/>
              <w:left w:val="nil"/>
              <w:bottom w:val="nil"/>
              <w:right w:val="nil"/>
            </w:tcBorders>
            <w:shd w:val="clear" w:color="auto" w:fill="auto"/>
            <w:noWrap/>
            <w:vAlign w:val="bottom"/>
            <w:hideMark/>
          </w:tcPr>
          <w:p w14:paraId="360CE931" w14:textId="77777777" w:rsidR="00D17CAC" w:rsidRDefault="00D17CAC">
            <w:pPr>
              <w:jc w:val="right"/>
              <w:rPr>
                <w:rFonts w:ascii="Cambria" w:hAnsi="Cambria" w:cs="Arial"/>
                <w:color w:val="000000"/>
                <w:sz w:val="18"/>
                <w:szCs w:val="18"/>
              </w:rPr>
            </w:pPr>
            <w:r>
              <w:rPr>
                <w:rFonts w:ascii="Cambria" w:hAnsi="Cambria"/>
                <w:color w:val="000000"/>
                <w:sz w:val="18"/>
              </w:rPr>
              <w:t>253</w:t>
            </w:r>
          </w:p>
        </w:tc>
      </w:tr>
      <w:tr w:rsidR="00D17CAC" w14:paraId="58F83803" w14:textId="77777777" w:rsidTr="00D17CAC">
        <w:trPr>
          <w:trHeight w:val="240"/>
        </w:trPr>
        <w:tc>
          <w:tcPr>
            <w:tcW w:w="1644" w:type="pct"/>
            <w:tcBorders>
              <w:top w:val="nil"/>
              <w:left w:val="nil"/>
              <w:bottom w:val="nil"/>
              <w:right w:val="nil"/>
            </w:tcBorders>
            <w:shd w:val="clear" w:color="auto" w:fill="auto"/>
            <w:noWrap/>
            <w:vAlign w:val="bottom"/>
            <w:hideMark/>
          </w:tcPr>
          <w:p w14:paraId="3F8767A6" w14:textId="77777777" w:rsidR="00D17CAC" w:rsidRDefault="00D17CAC">
            <w:pPr>
              <w:rPr>
                <w:rFonts w:ascii="Cambria" w:hAnsi="Cambria" w:cs="Arial"/>
                <w:color w:val="000000"/>
                <w:sz w:val="18"/>
                <w:szCs w:val="18"/>
              </w:rPr>
            </w:pPr>
            <w:r>
              <w:rPr>
                <w:rFonts w:ascii="Cambria" w:hAnsi="Cambria"/>
                <w:color w:val="000000"/>
                <w:sz w:val="18"/>
              </w:rPr>
              <w:t>Provision pour créances douteuses</w:t>
            </w:r>
          </w:p>
        </w:tc>
        <w:tc>
          <w:tcPr>
            <w:tcW w:w="1119" w:type="pct"/>
            <w:tcBorders>
              <w:top w:val="nil"/>
              <w:left w:val="nil"/>
              <w:bottom w:val="nil"/>
              <w:right w:val="nil"/>
            </w:tcBorders>
            <w:shd w:val="clear" w:color="auto" w:fill="auto"/>
            <w:noWrap/>
            <w:vAlign w:val="bottom"/>
            <w:hideMark/>
          </w:tcPr>
          <w:p w14:paraId="48A0175B" w14:textId="77777777" w:rsidR="00D17CAC" w:rsidRDefault="00D17CAC">
            <w:pPr>
              <w:jc w:val="right"/>
              <w:rPr>
                <w:rFonts w:ascii="Cambria" w:hAnsi="Cambria" w:cs="Arial"/>
                <w:color w:val="000000"/>
                <w:sz w:val="18"/>
                <w:szCs w:val="18"/>
              </w:rPr>
            </w:pPr>
            <w:r>
              <w:rPr>
                <w:rFonts w:ascii="Cambria" w:hAnsi="Cambria"/>
                <w:color w:val="000000"/>
                <w:sz w:val="18"/>
              </w:rPr>
              <w:t>(556)</w:t>
            </w:r>
          </w:p>
        </w:tc>
        <w:tc>
          <w:tcPr>
            <w:tcW w:w="1119" w:type="pct"/>
            <w:tcBorders>
              <w:top w:val="nil"/>
              <w:left w:val="nil"/>
              <w:bottom w:val="nil"/>
              <w:right w:val="nil"/>
            </w:tcBorders>
            <w:shd w:val="clear" w:color="auto" w:fill="auto"/>
            <w:noWrap/>
            <w:vAlign w:val="bottom"/>
            <w:hideMark/>
          </w:tcPr>
          <w:p w14:paraId="40ACE5E9" w14:textId="77777777" w:rsidR="00D17CAC" w:rsidRDefault="00D17CAC">
            <w:pPr>
              <w:jc w:val="right"/>
              <w:rPr>
                <w:rFonts w:ascii="Cambria" w:hAnsi="Cambria" w:cs="Arial"/>
                <w:color w:val="000000"/>
                <w:sz w:val="18"/>
                <w:szCs w:val="18"/>
              </w:rPr>
            </w:pPr>
            <w:r>
              <w:rPr>
                <w:rFonts w:ascii="Cambria" w:hAnsi="Cambria"/>
                <w:color w:val="000000"/>
                <w:sz w:val="18"/>
              </w:rPr>
              <w:t>(556)</w:t>
            </w:r>
          </w:p>
        </w:tc>
        <w:tc>
          <w:tcPr>
            <w:tcW w:w="1119" w:type="pct"/>
            <w:tcBorders>
              <w:top w:val="nil"/>
              <w:left w:val="nil"/>
              <w:bottom w:val="nil"/>
              <w:right w:val="nil"/>
            </w:tcBorders>
            <w:shd w:val="clear" w:color="auto" w:fill="auto"/>
            <w:noWrap/>
            <w:vAlign w:val="bottom"/>
            <w:hideMark/>
          </w:tcPr>
          <w:p w14:paraId="43FCEC0B" w14:textId="77777777" w:rsidR="00D17CAC" w:rsidRDefault="00D17CAC">
            <w:pPr>
              <w:jc w:val="right"/>
              <w:rPr>
                <w:rFonts w:ascii="Cambria" w:hAnsi="Cambria" w:cs="Arial"/>
                <w:color w:val="000000"/>
                <w:sz w:val="18"/>
                <w:szCs w:val="18"/>
              </w:rPr>
            </w:pPr>
            <w:r>
              <w:rPr>
                <w:rFonts w:ascii="Cambria" w:hAnsi="Cambria"/>
                <w:color w:val="000000"/>
                <w:sz w:val="18"/>
              </w:rPr>
              <w:t>0</w:t>
            </w:r>
          </w:p>
        </w:tc>
      </w:tr>
      <w:tr w:rsidR="00D17CAC" w14:paraId="1C312DE5" w14:textId="77777777" w:rsidTr="00D17CAC">
        <w:trPr>
          <w:trHeight w:val="255"/>
        </w:trPr>
        <w:tc>
          <w:tcPr>
            <w:tcW w:w="1644" w:type="pct"/>
            <w:tcBorders>
              <w:top w:val="nil"/>
              <w:left w:val="nil"/>
              <w:bottom w:val="nil"/>
              <w:right w:val="nil"/>
            </w:tcBorders>
            <w:shd w:val="clear" w:color="auto" w:fill="auto"/>
            <w:noWrap/>
            <w:vAlign w:val="bottom"/>
            <w:hideMark/>
          </w:tcPr>
          <w:p w14:paraId="4589B902" w14:textId="77777777" w:rsidR="00D17CAC" w:rsidRDefault="00D17CAC">
            <w:pPr>
              <w:rPr>
                <w:rFonts w:ascii="Cambria" w:hAnsi="Cambria" w:cs="Arial"/>
                <w:b/>
                <w:bCs/>
                <w:color w:val="000000"/>
                <w:sz w:val="18"/>
                <w:szCs w:val="18"/>
              </w:rPr>
            </w:pPr>
            <w:r>
              <w:rPr>
                <w:rFonts w:ascii="Cambria" w:hAnsi="Cambria"/>
                <w:b/>
                <w:color w:val="000000"/>
                <w:sz w:val="18"/>
              </w:rPr>
              <w:t>Total Créances commerciales</w:t>
            </w:r>
          </w:p>
        </w:tc>
        <w:tc>
          <w:tcPr>
            <w:tcW w:w="1119" w:type="pct"/>
            <w:tcBorders>
              <w:top w:val="single" w:sz="4" w:space="0" w:color="auto"/>
              <w:left w:val="nil"/>
              <w:bottom w:val="single" w:sz="8" w:space="0" w:color="auto"/>
              <w:right w:val="nil"/>
            </w:tcBorders>
            <w:shd w:val="clear" w:color="auto" w:fill="auto"/>
            <w:noWrap/>
            <w:vAlign w:val="bottom"/>
            <w:hideMark/>
          </w:tcPr>
          <w:p w14:paraId="4F8B6D79" w14:textId="77777777" w:rsidR="00D17CAC" w:rsidRDefault="00D17CAC">
            <w:pPr>
              <w:jc w:val="right"/>
              <w:rPr>
                <w:rFonts w:ascii="Cambria" w:hAnsi="Cambria" w:cs="Arial"/>
                <w:b/>
                <w:bCs/>
                <w:color w:val="000000"/>
                <w:sz w:val="18"/>
                <w:szCs w:val="18"/>
              </w:rPr>
            </w:pPr>
            <w:r>
              <w:rPr>
                <w:rFonts w:ascii="Cambria" w:hAnsi="Cambria"/>
                <w:b/>
                <w:color w:val="000000"/>
                <w:sz w:val="18"/>
              </w:rPr>
              <w:t>111 884</w:t>
            </w:r>
          </w:p>
        </w:tc>
        <w:tc>
          <w:tcPr>
            <w:tcW w:w="1119" w:type="pct"/>
            <w:tcBorders>
              <w:top w:val="single" w:sz="4" w:space="0" w:color="auto"/>
              <w:left w:val="nil"/>
              <w:bottom w:val="single" w:sz="8" w:space="0" w:color="auto"/>
              <w:right w:val="nil"/>
            </w:tcBorders>
            <w:shd w:val="clear" w:color="auto" w:fill="auto"/>
            <w:noWrap/>
            <w:vAlign w:val="bottom"/>
            <w:hideMark/>
          </w:tcPr>
          <w:p w14:paraId="32F39C71" w14:textId="77777777" w:rsidR="00D17CAC" w:rsidRDefault="00D17CAC">
            <w:pPr>
              <w:jc w:val="right"/>
              <w:rPr>
                <w:rFonts w:ascii="Cambria" w:hAnsi="Cambria" w:cs="Arial"/>
                <w:b/>
                <w:bCs/>
                <w:color w:val="000000"/>
                <w:sz w:val="18"/>
                <w:szCs w:val="18"/>
              </w:rPr>
            </w:pPr>
            <w:r>
              <w:rPr>
                <w:rFonts w:ascii="Cambria" w:hAnsi="Cambria"/>
                <w:b/>
                <w:color w:val="000000"/>
                <w:sz w:val="18"/>
              </w:rPr>
              <w:t>179 780</w:t>
            </w:r>
          </w:p>
        </w:tc>
        <w:tc>
          <w:tcPr>
            <w:tcW w:w="1119" w:type="pct"/>
            <w:tcBorders>
              <w:top w:val="single" w:sz="4" w:space="0" w:color="auto"/>
              <w:left w:val="nil"/>
              <w:bottom w:val="single" w:sz="8" w:space="0" w:color="auto"/>
              <w:right w:val="nil"/>
            </w:tcBorders>
            <w:shd w:val="clear" w:color="auto" w:fill="auto"/>
            <w:noWrap/>
            <w:vAlign w:val="bottom"/>
            <w:hideMark/>
          </w:tcPr>
          <w:p w14:paraId="46C55A97" w14:textId="77777777" w:rsidR="00D17CAC" w:rsidRDefault="00D17CAC">
            <w:pPr>
              <w:jc w:val="right"/>
              <w:rPr>
                <w:rFonts w:ascii="Cambria" w:hAnsi="Cambria" w:cs="Arial"/>
                <w:b/>
                <w:bCs/>
                <w:color w:val="000000"/>
                <w:sz w:val="18"/>
                <w:szCs w:val="18"/>
              </w:rPr>
            </w:pPr>
            <w:r>
              <w:rPr>
                <w:rFonts w:ascii="Cambria" w:hAnsi="Cambria"/>
                <w:b/>
                <w:color w:val="000000"/>
                <w:sz w:val="18"/>
              </w:rPr>
              <w:t>(67 896)</w:t>
            </w:r>
          </w:p>
        </w:tc>
      </w:tr>
    </w:tbl>
    <w:p w14:paraId="7F1AD239" w14:textId="1D4886DC" w:rsidR="00E16D12" w:rsidRPr="00C17031" w:rsidRDefault="00E77BDD" w:rsidP="00FA6BEE">
      <w:pPr>
        <w:spacing w:line="276" w:lineRule="auto"/>
        <w:jc w:val="both"/>
        <w:rPr>
          <w:rFonts w:ascii="Cambria" w:hAnsi="Cambria"/>
          <w:sz w:val="22"/>
          <w:szCs w:val="22"/>
        </w:rPr>
      </w:pPr>
      <w:r>
        <w:rPr>
          <w:rFonts w:ascii="Cambria" w:hAnsi="Cambria"/>
          <w:sz w:val="22"/>
        </w:rPr>
        <w:lastRenderedPageBreak/>
        <w:t>Les créances commerciales font référence aux créances acquises auprès des propriétaires des points de vente franchisés Over.</w:t>
      </w:r>
    </w:p>
    <w:p w14:paraId="42FFC8D9" w14:textId="3A99FE7F" w:rsidR="00FD2D4C" w:rsidRPr="00877A73" w:rsidRDefault="003F16A4" w:rsidP="00877A73">
      <w:pPr>
        <w:spacing w:line="276" w:lineRule="auto"/>
        <w:jc w:val="both"/>
        <w:rPr>
          <w:rFonts w:ascii="Cambria" w:hAnsi="Cambria"/>
          <w:sz w:val="22"/>
          <w:szCs w:val="22"/>
        </w:rPr>
      </w:pPr>
      <w:proofErr w:type="gramStart"/>
      <w:r>
        <w:rPr>
          <w:rFonts w:ascii="Cambria" w:hAnsi="Cambria"/>
          <w:sz w:val="22"/>
        </w:rPr>
        <w:t>Suite à</w:t>
      </w:r>
      <w:proofErr w:type="gramEnd"/>
      <w:r>
        <w:rPr>
          <w:rFonts w:ascii="Cambria" w:hAnsi="Cambria"/>
          <w:sz w:val="22"/>
        </w:rPr>
        <w:t xml:space="preserve"> l'analyse effectuée, aucune perte attendue sur les créances commerciales n'est apparue à la date des états financiers agrégés.</w:t>
      </w:r>
    </w:p>
    <w:p w14:paraId="790B0341" w14:textId="77777777" w:rsidR="007C189F" w:rsidRDefault="007C189F" w:rsidP="00E16D12">
      <w:pPr>
        <w:spacing w:after="200" w:line="276" w:lineRule="auto"/>
        <w:jc w:val="both"/>
        <w:rPr>
          <w:sz w:val="22"/>
          <w:szCs w:val="22"/>
        </w:rPr>
      </w:pPr>
    </w:p>
    <w:p w14:paraId="69C8F549" w14:textId="77777777" w:rsidR="00E16D12" w:rsidRPr="0026628A" w:rsidRDefault="00E16D12" w:rsidP="00E16D12">
      <w:pPr>
        <w:pStyle w:val="Titolo2"/>
        <w:numPr>
          <w:ilvl w:val="0"/>
          <w:numId w:val="6"/>
        </w:numPr>
        <w:spacing w:line="240" w:lineRule="auto"/>
        <w:ind w:left="357" w:right="0" w:hanging="357"/>
        <w:jc w:val="left"/>
        <w:rPr>
          <w:i w:val="0"/>
        </w:rPr>
      </w:pPr>
      <w:bookmarkStart w:id="139" w:name="_Toc112768671"/>
      <w:r>
        <w:rPr>
          <w:i w:val="0"/>
        </w:rPr>
        <w:t>Autres créances à court terme</w:t>
      </w:r>
      <w:bookmarkEnd w:id="139"/>
    </w:p>
    <w:p w14:paraId="5D76E429" w14:textId="77777777" w:rsidR="00E16D12" w:rsidRPr="00C17031" w:rsidRDefault="00E16D12" w:rsidP="00E16D12">
      <w:pPr>
        <w:jc w:val="both"/>
        <w:rPr>
          <w:rFonts w:ascii="Cambria" w:hAnsi="Cambria"/>
          <w:sz w:val="22"/>
          <w:szCs w:val="22"/>
        </w:rPr>
      </w:pPr>
    </w:p>
    <w:p w14:paraId="351BCF4A" w14:textId="3642AE79" w:rsidR="00E16D12" w:rsidRDefault="00E16D12" w:rsidP="00E16D12">
      <w:pPr>
        <w:spacing w:after="200" w:line="276" w:lineRule="auto"/>
        <w:jc w:val="both"/>
        <w:rPr>
          <w:rFonts w:ascii="Cambria" w:hAnsi="Cambria"/>
          <w:sz w:val="22"/>
          <w:szCs w:val="22"/>
        </w:rPr>
      </w:pPr>
      <w:r>
        <w:rPr>
          <w:rFonts w:ascii="Cambria" w:hAnsi="Cambria"/>
          <w:sz w:val="22"/>
        </w:rPr>
        <w:t>La composition du poste « Autres créances à court terme » au 30 juin 2021, par rapport aux mêmes valeurs au 31 décembre 2020, est présentée ci-dessous :</w:t>
      </w:r>
    </w:p>
    <w:tbl>
      <w:tblPr>
        <w:tblW w:w="5000" w:type="pct"/>
        <w:tblCellMar>
          <w:left w:w="70" w:type="dxa"/>
          <w:right w:w="70" w:type="dxa"/>
        </w:tblCellMar>
        <w:tblLook w:val="04A0" w:firstRow="1" w:lastRow="0" w:firstColumn="1" w:lastColumn="0" w:noHBand="0" w:noVBand="1"/>
      </w:tblPr>
      <w:tblGrid>
        <w:gridCol w:w="5139"/>
        <w:gridCol w:w="1500"/>
        <w:gridCol w:w="1500"/>
        <w:gridCol w:w="1499"/>
      </w:tblGrid>
      <w:tr w:rsidR="00D17CAC" w14:paraId="23F30E73" w14:textId="77777777" w:rsidTr="00D17CAC">
        <w:trPr>
          <w:trHeight w:val="495"/>
        </w:trPr>
        <w:tc>
          <w:tcPr>
            <w:tcW w:w="1671" w:type="pct"/>
            <w:tcBorders>
              <w:top w:val="single" w:sz="4" w:space="0" w:color="0070C0"/>
              <w:left w:val="nil"/>
              <w:bottom w:val="single" w:sz="8" w:space="0" w:color="0070C0"/>
              <w:right w:val="nil"/>
            </w:tcBorders>
            <w:shd w:val="clear" w:color="auto" w:fill="auto"/>
            <w:noWrap/>
            <w:vAlign w:val="bottom"/>
            <w:hideMark/>
          </w:tcPr>
          <w:p w14:paraId="0CBE9CB7" w14:textId="77777777" w:rsidR="00D17CAC" w:rsidRDefault="00D17CAC">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110" w:type="pct"/>
            <w:tcBorders>
              <w:top w:val="single" w:sz="4" w:space="0" w:color="0070C0"/>
              <w:left w:val="nil"/>
              <w:bottom w:val="single" w:sz="8" w:space="0" w:color="0070C0"/>
              <w:right w:val="nil"/>
            </w:tcBorders>
            <w:shd w:val="clear" w:color="auto" w:fill="auto"/>
            <w:vAlign w:val="bottom"/>
            <w:hideMark/>
          </w:tcPr>
          <w:p w14:paraId="078EE343" w14:textId="77777777" w:rsidR="00D17CAC" w:rsidRDefault="00D17CAC">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1110" w:type="pct"/>
            <w:tcBorders>
              <w:top w:val="single" w:sz="4" w:space="0" w:color="0070C0"/>
              <w:left w:val="nil"/>
              <w:bottom w:val="single" w:sz="8" w:space="0" w:color="0070C0"/>
              <w:right w:val="nil"/>
            </w:tcBorders>
            <w:shd w:val="clear" w:color="auto" w:fill="auto"/>
            <w:vAlign w:val="bottom"/>
            <w:hideMark/>
          </w:tcPr>
          <w:p w14:paraId="0FB13F75" w14:textId="77777777" w:rsidR="00D17CAC" w:rsidRDefault="00D17CAC">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c>
          <w:tcPr>
            <w:tcW w:w="1110" w:type="pct"/>
            <w:tcBorders>
              <w:top w:val="single" w:sz="4" w:space="0" w:color="0070C0"/>
              <w:left w:val="nil"/>
              <w:bottom w:val="single" w:sz="8" w:space="0" w:color="0070C0"/>
              <w:right w:val="nil"/>
            </w:tcBorders>
            <w:shd w:val="clear" w:color="auto" w:fill="auto"/>
            <w:vAlign w:val="bottom"/>
            <w:hideMark/>
          </w:tcPr>
          <w:p w14:paraId="1DDC353C" w14:textId="77777777" w:rsidR="00D17CAC" w:rsidRDefault="00D17CAC">
            <w:pPr>
              <w:jc w:val="center"/>
              <w:rPr>
                <w:rFonts w:ascii="Cambria" w:hAnsi="Cambria" w:cs="Arial"/>
                <w:b/>
                <w:bCs/>
                <w:color w:val="000000"/>
                <w:sz w:val="18"/>
                <w:szCs w:val="18"/>
              </w:rPr>
            </w:pPr>
            <w:r>
              <w:rPr>
                <w:rFonts w:ascii="Cambria" w:hAnsi="Cambria"/>
                <w:b/>
                <w:color w:val="000000"/>
                <w:sz w:val="18"/>
              </w:rPr>
              <w:t>Variation</w:t>
            </w:r>
          </w:p>
        </w:tc>
      </w:tr>
      <w:tr w:rsidR="00D17CAC" w14:paraId="56F7ECA1" w14:textId="77777777" w:rsidTr="00D17CAC">
        <w:trPr>
          <w:trHeight w:val="240"/>
        </w:trPr>
        <w:tc>
          <w:tcPr>
            <w:tcW w:w="1671" w:type="pct"/>
            <w:tcBorders>
              <w:top w:val="nil"/>
              <w:left w:val="nil"/>
              <w:bottom w:val="nil"/>
              <w:right w:val="nil"/>
            </w:tcBorders>
            <w:shd w:val="clear" w:color="auto" w:fill="auto"/>
            <w:noWrap/>
            <w:vAlign w:val="bottom"/>
            <w:hideMark/>
          </w:tcPr>
          <w:p w14:paraId="3E7E087A" w14:textId="77777777" w:rsidR="00D17CAC" w:rsidRDefault="00D17CAC">
            <w:pPr>
              <w:rPr>
                <w:rFonts w:ascii="Cambria" w:hAnsi="Cambria" w:cs="Arial"/>
                <w:color w:val="000000"/>
                <w:sz w:val="18"/>
                <w:szCs w:val="18"/>
              </w:rPr>
            </w:pPr>
            <w:r>
              <w:rPr>
                <w:rFonts w:ascii="Cambria" w:hAnsi="Cambria"/>
                <w:color w:val="000000"/>
                <w:sz w:val="18"/>
              </w:rPr>
              <w:t>Fournisseurs - Avances et acomptes versés</w:t>
            </w:r>
          </w:p>
        </w:tc>
        <w:tc>
          <w:tcPr>
            <w:tcW w:w="1110" w:type="pct"/>
            <w:tcBorders>
              <w:top w:val="nil"/>
              <w:left w:val="nil"/>
              <w:bottom w:val="nil"/>
              <w:right w:val="nil"/>
            </w:tcBorders>
            <w:shd w:val="clear" w:color="auto" w:fill="auto"/>
            <w:noWrap/>
            <w:vAlign w:val="bottom"/>
            <w:hideMark/>
          </w:tcPr>
          <w:p w14:paraId="0417FABA" w14:textId="77777777" w:rsidR="00D17CAC" w:rsidRDefault="00D17CAC">
            <w:pPr>
              <w:jc w:val="right"/>
              <w:rPr>
                <w:rFonts w:ascii="Cambria" w:hAnsi="Cambria" w:cs="Arial"/>
                <w:color w:val="000000"/>
                <w:sz w:val="18"/>
                <w:szCs w:val="18"/>
              </w:rPr>
            </w:pPr>
            <w:r>
              <w:rPr>
                <w:rFonts w:ascii="Cambria" w:hAnsi="Cambria"/>
                <w:color w:val="000000"/>
                <w:sz w:val="18"/>
              </w:rPr>
              <w:t>661 936</w:t>
            </w:r>
          </w:p>
        </w:tc>
        <w:tc>
          <w:tcPr>
            <w:tcW w:w="1110" w:type="pct"/>
            <w:tcBorders>
              <w:top w:val="nil"/>
              <w:left w:val="nil"/>
              <w:bottom w:val="nil"/>
              <w:right w:val="nil"/>
            </w:tcBorders>
            <w:shd w:val="clear" w:color="auto" w:fill="auto"/>
            <w:noWrap/>
            <w:vAlign w:val="bottom"/>
            <w:hideMark/>
          </w:tcPr>
          <w:p w14:paraId="26FA7336" w14:textId="77777777" w:rsidR="00D17CAC" w:rsidRDefault="00D17CAC">
            <w:pPr>
              <w:jc w:val="right"/>
              <w:rPr>
                <w:rFonts w:ascii="Cambria" w:hAnsi="Cambria" w:cs="Arial"/>
                <w:color w:val="000000"/>
                <w:sz w:val="18"/>
                <w:szCs w:val="18"/>
              </w:rPr>
            </w:pPr>
            <w:r>
              <w:rPr>
                <w:rFonts w:ascii="Cambria" w:hAnsi="Cambria"/>
                <w:color w:val="000000"/>
                <w:sz w:val="18"/>
              </w:rPr>
              <w:t>728 755</w:t>
            </w:r>
          </w:p>
        </w:tc>
        <w:tc>
          <w:tcPr>
            <w:tcW w:w="1110" w:type="pct"/>
            <w:tcBorders>
              <w:top w:val="nil"/>
              <w:left w:val="nil"/>
              <w:bottom w:val="nil"/>
              <w:right w:val="nil"/>
            </w:tcBorders>
            <w:shd w:val="clear" w:color="auto" w:fill="auto"/>
            <w:noWrap/>
            <w:vAlign w:val="bottom"/>
            <w:hideMark/>
          </w:tcPr>
          <w:p w14:paraId="71229696" w14:textId="77777777" w:rsidR="00D17CAC" w:rsidRDefault="00D17CAC">
            <w:pPr>
              <w:jc w:val="right"/>
              <w:rPr>
                <w:rFonts w:ascii="Cambria" w:hAnsi="Cambria" w:cs="Arial"/>
                <w:color w:val="000000"/>
                <w:sz w:val="18"/>
                <w:szCs w:val="18"/>
              </w:rPr>
            </w:pPr>
            <w:r>
              <w:rPr>
                <w:rFonts w:ascii="Cambria" w:hAnsi="Cambria"/>
                <w:color w:val="000000"/>
                <w:sz w:val="18"/>
              </w:rPr>
              <w:t>(66 818)</w:t>
            </w:r>
          </w:p>
        </w:tc>
      </w:tr>
      <w:tr w:rsidR="00D17CAC" w14:paraId="3DA56BC4" w14:textId="77777777" w:rsidTr="00D17CAC">
        <w:trPr>
          <w:trHeight w:val="240"/>
        </w:trPr>
        <w:tc>
          <w:tcPr>
            <w:tcW w:w="1671" w:type="pct"/>
            <w:tcBorders>
              <w:top w:val="nil"/>
              <w:left w:val="nil"/>
              <w:bottom w:val="nil"/>
              <w:right w:val="nil"/>
            </w:tcBorders>
            <w:shd w:val="clear" w:color="auto" w:fill="auto"/>
            <w:noWrap/>
            <w:vAlign w:val="bottom"/>
            <w:hideMark/>
          </w:tcPr>
          <w:p w14:paraId="003DCB50" w14:textId="77777777" w:rsidR="00D17CAC" w:rsidRDefault="00D17CAC">
            <w:pPr>
              <w:rPr>
                <w:rFonts w:ascii="Cambria" w:hAnsi="Cambria" w:cs="Arial"/>
                <w:color w:val="000000"/>
                <w:sz w:val="18"/>
                <w:szCs w:val="18"/>
              </w:rPr>
            </w:pPr>
            <w:r>
              <w:rPr>
                <w:rFonts w:ascii="Cambria" w:hAnsi="Cambria"/>
                <w:color w:val="000000"/>
                <w:sz w:val="18"/>
              </w:rPr>
              <w:t>Employés - Avances et acomptes versés</w:t>
            </w:r>
          </w:p>
        </w:tc>
        <w:tc>
          <w:tcPr>
            <w:tcW w:w="1110" w:type="pct"/>
            <w:tcBorders>
              <w:top w:val="nil"/>
              <w:left w:val="nil"/>
              <w:bottom w:val="nil"/>
              <w:right w:val="nil"/>
            </w:tcBorders>
            <w:shd w:val="clear" w:color="auto" w:fill="auto"/>
            <w:noWrap/>
            <w:vAlign w:val="bottom"/>
            <w:hideMark/>
          </w:tcPr>
          <w:p w14:paraId="5DAD61FA" w14:textId="77777777" w:rsidR="00D17CAC" w:rsidRDefault="00D17CAC">
            <w:pPr>
              <w:jc w:val="right"/>
              <w:rPr>
                <w:rFonts w:ascii="Cambria" w:hAnsi="Cambria" w:cs="Arial"/>
                <w:color w:val="000000"/>
                <w:sz w:val="18"/>
                <w:szCs w:val="18"/>
              </w:rPr>
            </w:pPr>
            <w:r>
              <w:rPr>
                <w:rFonts w:ascii="Cambria" w:hAnsi="Cambria"/>
                <w:color w:val="000000"/>
                <w:sz w:val="18"/>
              </w:rPr>
              <w:t>1 300</w:t>
            </w:r>
          </w:p>
        </w:tc>
        <w:tc>
          <w:tcPr>
            <w:tcW w:w="1110" w:type="pct"/>
            <w:tcBorders>
              <w:top w:val="nil"/>
              <w:left w:val="nil"/>
              <w:bottom w:val="nil"/>
              <w:right w:val="nil"/>
            </w:tcBorders>
            <w:shd w:val="clear" w:color="auto" w:fill="auto"/>
            <w:noWrap/>
            <w:vAlign w:val="bottom"/>
            <w:hideMark/>
          </w:tcPr>
          <w:p w14:paraId="5F948A36" w14:textId="77777777" w:rsidR="00D17CAC" w:rsidRDefault="00D17CAC">
            <w:pPr>
              <w:jc w:val="right"/>
              <w:rPr>
                <w:rFonts w:ascii="Cambria" w:hAnsi="Cambria" w:cs="Arial"/>
                <w:color w:val="000000"/>
                <w:sz w:val="18"/>
                <w:szCs w:val="18"/>
              </w:rPr>
            </w:pPr>
            <w:r>
              <w:rPr>
                <w:rFonts w:ascii="Cambria" w:hAnsi="Cambria"/>
                <w:color w:val="000000"/>
                <w:sz w:val="18"/>
              </w:rPr>
              <w:t>0</w:t>
            </w:r>
          </w:p>
        </w:tc>
        <w:tc>
          <w:tcPr>
            <w:tcW w:w="1110" w:type="pct"/>
            <w:tcBorders>
              <w:top w:val="nil"/>
              <w:left w:val="nil"/>
              <w:bottom w:val="nil"/>
              <w:right w:val="nil"/>
            </w:tcBorders>
            <w:shd w:val="clear" w:color="auto" w:fill="auto"/>
            <w:noWrap/>
            <w:vAlign w:val="bottom"/>
            <w:hideMark/>
          </w:tcPr>
          <w:p w14:paraId="60873266" w14:textId="77777777" w:rsidR="00D17CAC" w:rsidRDefault="00D17CAC">
            <w:pPr>
              <w:jc w:val="right"/>
              <w:rPr>
                <w:rFonts w:ascii="Cambria" w:hAnsi="Cambria" w:cs="Arial"/>
                <w:color w:val="000000"/>
                <w:sz w:val="18"/>
                <w:szCs w:val="18"/>
              </w:rPr>
            </w:pPr>
            <w:r>
              <w:rPr>
                <w:rFonts w:ascii="Cambria" w:hAnsi="Cambria"/>
                <w:color w:val="000000"/>
                <w:sz w:val="18"/>
              </w:rPr>
              <w:t>1 300</w:t>
            </w:r>
          </w:p>
        </w:tc>
      </w:tr>
      <w:tr w:rsidR="00D17CAC" w14:paraId="4115FE76" w14:textId="77777777" w:rsidTr="00D17CAC">
        <w:trPr>
          <w:trHeight w:val="240"/>
        </w:trPr>
        <w:tc>
          <w:tcPr>
            <w:tcW w:w="1671" w:type="pct"/>
            <w:tcBorders>
              <w:top w:val="nil"/>
              <w:left w:val="nil"/>
              <w:bottom w:val="nil"/>
              <w:right w:val="nil"/>
            </w:tcBorders>
            <w:shd w:val="clear" w:color="auto" w:fill="auto"/>
            <w:noWrap/>
            <w:vAlign w:val="bottom"/>
            <w:hideMark/>
          </w:tcPr>
          <w:p w14:paraId="0E240996" w14:textId="77777777" w:rsidR="00D17CAC" w:rsidRDefault="00D17CAC">
            <w:pPr>
              <w:rPr>
                <w:rFonts w:ascii="Cambria" w:hAnsi="Cambria" w:cs="Arial"/>
                <w:color w:val="000000"/>
                <w:sz w:val="18"/>
                <w:szCs w:val="18"/>
              </w:rPr>
            </w:pPr>
            <w:r>
              <w:rPr>
                <w:rFonts w:ascii="Cambria" w:hAnsi="Cambria"/>
                <w:color w:val="000000"/>
                <w:sz w:val="18"/>
              </w:rPr>
              <w:t>INAIL (institut italien d'assurance contre les accidents du travail)</w:t>
            </w:r>
          </w:p>
        </w:tc>
        <w:tc>
          <w:tcPr>
            <w:tcW w:w="1110" w:type="pct"/>
            <w:tcBorders>
              <w:top w:val="nil"/>
              <w:left w:val="nil"/>
              <w:bottom w:val="nil"/>
              <w:right w:val="nil"/>
            </w:tcBorders>
            <w:shd w:val="clear" w:color="auto" w:fill="auto"/>
            <w:noWrap/>
            <w:vAlign w:val="bottom"/>
            <w:hideMark/>
          </w:tcPr>
          <w:p w14:paraId="179068A1" w14:textId="77777777" w:rsidR="00D17CAC" w:rsidRDefault="00D17CAC">
            <w:pPr>
              <w:jc w:val="right"/>
              <w:rPr>
                <w:rFonts w:ascii="Cambria" w:hAnsi="Cambria" w:cs="Arial"/>
                <w:color w:val="000000"/>
                <w:sz w:val="18"/>
                <w:szCs w:val="18"/>
              </w:rPr>
            </w:pPr>
            <w:r>
              <w:rPr>
                <w:rFonts w:ascii="Cambria" w:hAnsi="Cambria"/>
                <w:color w:val="000000"/>
                <w:sz w:val="18"/>
              </w:rPr>
              <w:t>0</w:t>
            </w:r>
          </w:p>
        </w:tc>
        <w:tc>
          <w:tcPr>
            <w:tcW w:w="1110" w:type="pct"/>
            <w:tcBorders>
              <w:top w:val="nil"/>
              <w:left w:val="nil"/>
              <w:bottom w:val="nil"/>
              <w:right w:val="nil"/>
            </w:tcBorders>
            <w:shd w:val="clear" w:color="auto" w:fill="auto"/>
            <w:noWrap/>
            <w:vAlign w:val="bottom"/>
            <w:hideMark/>
          </w:tcPr>
          <w:p w14:paraId="1A0AB79D" w14:textId="77777777" w:rsidR="00D17CAC" w:rsidRDefault="00D17CAC">
            <w:pPr>
              <w:jc w:val="right"/>
              <w:rPr>
                <w:rFonts w:ascii="Cambria" w:hAnsi="Cambria" w:cs="Arial"/>
                <w:color w:val="000000"/>
                <w:sz w:val="18"/>
                <w:szCs w:val="18"/>
              </w:rPr>
            </w:pPr>
            <w:r>
              <w:rPr>
                <w:rFonts w:ascii="Cambria" w:hAnsi="Cambria"/>
                <w:color w:val="000000"/>
                <w:sz w:val="18"/>
              </w:rPr>
              <w:t>524</w:t>
            </w:r>
          </w:p>
        </w:tc>
        <w:tc>
          <w:tcPr>
            <w:tcW w:w="1110" w:type="pct"/>
            <w:tcBorders>
              <w:top w:val="nil"/>
              <w:left w:val="nil"/>
              <w:bottom w:val="nil"/>
              <w:right w:val="nil"/>
            </w:tcBorders>
            <w:shd w:val="clear" w:color="auto" w:fill="auto"/>
            <w:noWrap/>
            <w:vAlign w:val="bottom"/>
            <w:hideMark/>
          </w:tcPr>
          <w:p w14:paraId="2832D4AF" w14:textId="77777777" w:rsidR="00D17CAC" w:rsidRDefault="00D17CAC">
            <w:pPr>
              <w:jc w:val="right"/>
              <w:rPr>
                <w:rFonts w:ascii="Cambria" w:hAnsi="Cambria" w:cs="Arial"/>
                <w:color w:val="000000"/>
                <w:sz w:val="18"/>
                <w:szCs w:val="18"/>
              </w:rPr>
            </w:pPr>
            <w:r>
              <w:rPr>
                <w:rFonts w:ascii="Cambria" w:hAnsi="Cambria"/>
                <w:color w:val="000000"/>
                <w:sz w:val="18"/>
              </w:rPr>
              <w:t>(524)</w:t>
            </w:r>
          </w:p>
        </w:tc>
      </w:tr>
      <w:tr w:rsidR="00D17CAC" w14:paraId="7F08724A" w14:textId="77777777" w:rsidTr="00D17CAC">
        <w:trPr>
          <w:trHeight w:val="240"/>
        </w:trPr>
        <w:tc>
          <w:tcPr>
            <w:tcW w:w="1671" w:type="pct"/>
            <w:tcBorders>
              <w:top w:val="nil"/>
              <w:left w:val="nil"/>
              <w:bottom w:val="nil"/>
              <w:right w:val="nil"/>
            </w:tcBorders>
            <w:shd w:val="clear" w:color="auto" w:fill="auto"/>
            <w:noWrap/>
            <w:vAlign w:val="bottom"/>
            <w:hideMark/>
          </w:tcPr>
          <w:p w14:paraId="03CFDA40" w14:textId="77777777" w:rsidR="00D17CAC" w:rsidRDefault="00D17CAC">
            <w:pPr>
              <w:rPr>
                <w:rFonts w:ascii="Cambria" w:hAnsi="Cambria" w:cs="Arial"/>
                <w:color w:val="000000"/>
                <w:sz w:val="18"/>
                <w:szCs w:val="18"/>
              </w:rPr>
            </w:pPr>
            <w:r>
              <w:rPr>
                <w:rFonts w:ascii="Cambria" w:hAnsi="Cambria"/>
                <w:color w:val="000000"/>
                <w:sz w:val="18"/>
              </w:rPr>
              <w:t>Créance du CIG (fonds de garantie des salaires)</w:t>
            </w:r>
          </w:p>
        </w:tc>
        <w:tc>
          <w:tcPr>
            <w:tcW w:w="1110" w:type="pct"/>
            <w:tcBorders>
              <w:top w:val="nil"/>
              <w:left w:val="nil"/>
              <w:bottom w:val="nil"/>
              <w:right w:val="nil"/>
            </w:tcBorders>
            <w:shd w:val="clear" w:color="auto" w:fill="auto"/>
            <w:noWrap/>
            <w:vAlign w:val="bottom"/>
            <w:hideMark/>
          </w:tcPr>
          <w:p w14:paraId="57F47382" w14:textId="77777777" w:rsidR="00D17CAC" w:rsidRDefault="00D17CAC">
            <w:pPr>
              <w:jc w:val="right"/>
              <w:rPr>
                <w:rFonts w:ascii="Cambria" w:hAnsi="Cambria" w:cs="Arial"/>
                <w:color w:val="000000"/>
                <w:sz w:val="18"/>
                <w:szCs w:val="18"/>
              </w:rPr>
            </w:pPr>
            <w:r>
              <w:rPr>
                <w:rFonts w:ascii="Cambria" w:hAnsi="Cambria"/>
                <w:color w:val="000000"/>
                <w:sz w:val="18"/>
              </w:rPr>
              <w:t>2 906</w:t>
            </w:r>
          </w:p>
        </w:tc>
        <w:tc>
          <w:tcPr>
            <w:tcW w:w="1110" w:type="pct"/>
            <w:tcBorders>
              <w:top w:val="nil"/>
              <w:left w:val="nil"/>
              <w:bottom w:val="nil"/>
              <w:right w:val="nil"/>
            </w:tcBorders>
            <w:shd w:val="clear" w:color="auto" w:fill="auto"/>
            <w:noWrap/>
            <w:vAlign w:val="bottom"/>
            <w:hideMark/>
          </w:tcPr>
          <w:p w14:paraId="58002D26" w14:textId="77777777" w:rsidR="00D17CAC" w:rsidRDefault="00D17CAC">
            <w:pPr>
              <w:jc w:val="right"/>
              <w:rPr>
                <w:rFonts w:ascii="Cambria" w:hAnsi="Cambria" w:cs="Arial"/>
                <w:color w:val="000000"/>
                <w:sz w:val="18"/>
                <w:szCs w:val="18"/>
              </w:rPr>
            </w:pPr>
            <w:r>
              <w:rPr>
                <w:rFonts w:ascii="Cambria" w:hAnsi="Cambria"/>
                <w:color w:val="000000"/>
                <w:sz w:val="18"/>
              </w:rPr>
              <w:t>0</w:t>
            </w:r>
          </w:p>
        </w:tc>
        <w:tc>
          <w:tcPr>
            <w:tcW w:w="1110" w:type="pct"/>
            <w:tcBorders>
              <w:top w:val="nil"/>
              <w:left w:val="nil"/>
              <w:bottom w:val="nil"/>
              <w:right w:val="nil"/>
            </w:tcBorders>
            <w:shd w:val="clear" w:color="auto" w:fill="auto"/>
            <w:noWrap/>
            <w:vAlign w:val="bottom"/>
            <w:hideMark/>
          </w:tcPr>
          <w:p w14:paraId="19D0EC5D" w14:textId="77777777" w:rsidR="00D17CAC" w:rsidRDefault="00D17CAC">
            <w:pPr>
              <w:jc w:val="right"/>
              <w:rPr>
                <w:rFonts w:ascii="Cambria" w:hAnsi="Cambria" w:cs="Arial"/>
                <w:color w:val="000000"/>
                <w:sz w:val="18"/>
                <w:szCs w:val="18"/>
              </w:rPr>
            </w:pPr>
            <w:r>
              <w:rPr>
                <w:rFonts w:ascii="Cambria" w:hAnsi="Cambria"/>
                <w:color w:val="000000"/>
                <w:sz w:val="18"/>
              </w:rPr>
              <w:t>2 906</w:t>
            </w:r>
          </w:p>
        </w:tc>
      </w:tr>
      <w:tr w:rsidR="00D17CAC" w14:paraId="39843491" w14:textId="77777777" w:rsidTr="00D17CAC">
        <w:trPr>
          <w:trHeight w:val="240"/>
        </w:trPr>
        <w:tc>
          <w:tcPr>
            <w:tcW w:w="1671" w:type="pct"/>
            <w:tcBorders>
              <w:top w:val="nil"/>
              <w:left w:val="nil"/>
              <w:bottom w:val="nil"/>
              <w:right w:val="nil"/>
            </w:tcBorders>
            <w:shd w:val="clear" w:color="auto" w:fill="auto"/>
            <w:noWrap/>
            <w:vAlign w:val="bottom"/>
            <w:hideMark/>
          </w:tcPr>
          <w:p w14:paraId="02157E2B" w14:textId="77777777" w:rsidR="00D17CAC" w:rsidRDefault="00D17CAC">
            <w:pPr>
              <w:rPr>
                <w:rFonts w:ascii="Cambria" w:hAnsi="Cambria" w:cs="Arial"/>
                <w:color w:val="000000"/>
                <w:sz w:val="18"/>
                <w:szCs w:val="18"/>
              </w:rPr>
            </w:pPr>
            <w:r>
              <w:rPr>
                <w:rFonts w:ascii="Cambria" w:hAnsi="Cambria"/>
                <w:color w:val="000000"/>
                <w:sz w:val="18"/>
              </w:rPr>
              <w:t>Actif transitoire</w:t>
            </w:r>
          </w:p>
        </w:tc>
        <w:tc>
          <w:tcPr>
            <w:tcW w:w="1110" w:type="pct"/>
            <w:tcBorders>
              <w:top w:val="nil"/>
              <w:left w:val="nil"/>
              <w:bottom w:val="nil"/>
              <w:right w:val="nil"/>
            </w:tcBorders>
            <w:shd w:val="clear" w:color="auto" w:fill="auto"/>
            <w:noWrap/>
            <w:vAlign w:val="bottom"/>
            <w:hideMark/>
          </w:tcPr>
          <w:p w14:paraId="0D95DFB6" w14:textId="77777777" w:rsidR="00D17CAC" w:rsidRDefault="00D17CAC">
            <w:pPr>
              <w:jc w:val="right"/>
              <w:rPr>
                <w:rFonts w:ascii="Cambria" w:hAnsi="Cambria" w:cs="Arial"/>
                <w:color w:val="000000"/>
                <w:sz w:val="18"/>
                <w:szCs w:val="18"/>
              </w:rPr>
            </w:pPr>
            <w:r>
              <w:rPr>
                <w:rFonts w:ascii="Cambria" w:hAnsi="Cambria"/>
                <w:color w:val="000000"/>
                <w:sz w:val="18"/>
              </w:rPr>
              <w:t>17 012</w:t>
            </w:r>
          </w:p>
        </w:tc>
        <w:tc>
          <w:tcPr>
            <w:tcW w:w="1110" w:type="pct"/>
            <w:tcBorders>
              <w:top w:val="nil"/>
              <w:left w:val="nil"/>
              <w:bottom w:val="nil"/>
              <w:right w:val="nil"/>
            </w:tcBorders>
            <w:shd w:val="clear" w:color="auto" w:fill="auto"/>
            <w:noWrap/>
            <w:vAlign w:val="bottom"/>
            <w:hideMark/>
          </w:tcPr>
          <w:p w14:paraId="49B4036A" w14:textId="77777777" w:rsidR="00D17CAC" w:rsidRDefault="00D17CAC">
            <w:pPr>
              <w:jc w:val="right"/>
              <w:rPr>
                <w:rFonts w:ascii="Cambria" w:hAnsi="Cambria" w:cs="Arial"/>
                <w:color w:val="000000"/>
                <w:sz w:val="18"/>
                <w:szCs w:val="18"/>
              </w:rPr>
            </w:pPr>
            <w:r>
              <w:rPr>
                <w:rFonts w:ascii="Cambria" w:hAnsi="Cambria"/>
                <w:color w:val="000000"/>
                <w:sz w:val="18"/>
              </w:rPr>
              <w:t>8 094</w:t>
            </w:r>
          </w:p>
        </w:tc>
        <w:tc>
          <w:tcPr>
            <w:tcW w:w="1110" w:type="pct"/>
            <w:tcBorders>
              <w:top w:val="nil"/>
              <w:left w:val="nil"/>
              <w:bottom w:val="nil"/>
              <w:right w:val="nil"/>
            </w:tcBorders>
            <w:shd w:val="clear" w:color="auto" w:fill="auto"/>
            <w:noWrap/>
            <w:vAlign w:val="bottom"/>
            <w:hideMark/>
          </w:tcPr>
          <w:p w14:paraId="19F3D021" w14:textId="77777777" w:rsidR="00D17CAC" w:rsidRDefault="00D17CAC">
            <w:pPr>
              <w:jc w:val="right"/>
              <w:rPr>
                <w:rFonts w:ascii="Cambria" w:hAnsi="Cambria" w:cs="Arial"/>
                <w:color w:val="000000"/>
                <w:sz w:val="18"/>
                <w:szCs w:val="18"/>
              </w:rPr>
            </w:pPr>
            <w:r>
              <w:rPr>
                <w:rFonts w:ascii="Cambria" w:hAnsi="Cambria"/>
                <w:color w:val="000000"/>
                <w:sz w:val="18"/>
              </w:rPr>
              <w:t>8 918</w:t>
            </w:r>
          </w:p>
        </w:tc>
      </w:tr>
      <w:tr w:rsidR="00D17CAC" w14:paraId="5D1BB54B" w14:textId="77777777" w:rsidTr="00D17CAC">
        <w:trPr>
          <w:trHeight w:val="255"/>
        </w:trPr>
        <w:tc>
          <w:tcPr>
            <w:tcW w:w="1671" w:type="pct"/>
            <w:tcBorders>
              <w:top w:val="nil"/>
              <w:left w:val="nil"/>
              <w:bottom w:val="nil"/>
              <w:right w:val="nil"/>
            </w:tcBorders>
            <w:shd w:val="clear" w:color="auto" w:fill="auto"/>
            <w:noWrap/>
            <w:vAlign w:val="bottom"/>
            <w:hideMark/>
          </w:tcPr>
          <w:p w14:paraId="1FE16975" w14:textId="77777777" w:rsidR="00D17CAC" w:rsidRDefault="00D17CAC">
            <w:pPr>
              <w:rPr>
                <w:rFonts w:ascii="Cambria" w:hAnsi="Cambria" w:cs="Arial"/>
                <w:b/>
                <w:bCs/>
                <w:color w:val="000000"/>
                <w:sz w:val="18"/>
                <w:szCs w:val="18"/>
              </w:rPr>
            </w:pPr>
            <w:r>
              <w:rPr>
                <w:rFonts w:ascii="Cambria" w:hAnsi="Cambria"/>
                <w:b/>
                <w:color w:val="000000"/>
                <w:sz w:val="18"/>
              </w:rPr>
              <w:t>Total Autres créances à court terme</w:t>
            </w:r>
          </w:p>
        </w:tc>
        <w:tc>
          <w:tcPr>
            <w:tcW w:w="1110" w:type="pct"/>
            <w:tcBorders>
              <w:top w:val="single" w:sz="4" w:space="0" w:color="auto"/>
              <w:left w:val="nil"/>
              <w:bottom w:val="single" w:sz="8" w:space="0" w:color="auto"/>
              <w:right w:val="nil"/>
            </w:tcBorders>
            <w:shd w:val="clear" w:color="auto" w:fill="auto"/>
            <w:noWrap/>
            <w:vAlign w:val="bottom"/>
            <w:hideMark/>
          </w:tcPr>
          <w:p w14:paraId="25976B9F" w14:textId="77777777" w:rsidR="00D17CAC" w:rsidRDefault="00D17CAC">
            <w:pPr>
              <w:jc w:val="right"/>
              <w:rPr>
                <w:rFonts w:ascii="Cambria" w:hAnsi="Cambria" w:cs="Arial"/>
                <w:b/>
                <w:bCs/>
                <w:color w:val="000000"/>
                <w:sz w:val="18"/>
                <w:szCs w:val="18"/>
              </w:rPr>
            </w:pPr>
            <w:r>
              <w:rPr>
                <w:rFonts w:ascii="Cambria" w:hAnsi="Cambria"/>
                <w:b/>
                <w:color w:val="000000"/>
                <w:sz w:val="18"/>
              </w:rPr>
              <w:t>683 154</w:t>
            </w:r>
          </w:p>
        </w:tc>
        <w:tc>
          <w:tcPr>
            <w:tcW w:w="1110" w:type="pct"/>
            <w:tcBorders>
              <w:top w:val="single" w:sz="4" w:space="0" w:color="auto"/>
              <w:left w:val="nil"/>
              <w:bottom w:val="single" w:sz="8" w:space="0" w:color="auto"/>
              <w:right w:val="nil"/>
            </w:tcBorders>
            <w:shd w:val="clear" w:color="auto" w:fill="auto"/>
            <w:noWrap/>
            <w:vAlign w:val="bottom"/>
            <w:hideMark/>
          </w:tcPr>
          <w:p w14:paraId="3D087C7E" w14:textId="77777777" w:rsidR="00D17CAC" w:rsidRDefault="00D17CAC">
            <w:pPr>
              <w:jc w:val="right"/>
              <w:rPr>
                <w:rFonts w:ascii="Cambria" w:hAnsi="Cambria" w:cs="Arial"/>
                <w:b/>
                <w:bCs/>
                <w:color w:val="000000"/>
                <w:sz w:val="18"/>
                <w:szCs w:val="18"/>
              </w:rPr>
            </w:pPr>
            <w:r>
              <w:rPr>
                <w:rFonts w:ascii="Cambria" w:hAnsi="Cambria"/>
                <w:b/>
                <w:color w:val="000000"/>
                <w:sz w:val="18"/>
              </w:rPr>
              <w:t>737 372</w:t>
            </w:r>
          </w:p>
        </w:tc>
        <w:tc>
          <w:tcPr>
            <w:tcW w:w="1110" w:type="pct"/>
            <w:tcBorders>
              <w:top w:val="single" w:sz="4" w:space="0" w:color="auto"/>
              <w:left w:val="nil"/>
              <w:bottom w:val="single" w:sz="8" w:space="0" w:color="auto"/>
              <w:right w:val="nil"/>
            </w:tcBorders>
            <w:shd w:val="clear" w:color="auto" w:fill="auto"/>
            <w:noWrap/>
            <w:vAlign w:val="bottom"/>
            <w:hideMark/>
          </w:tcPr>
          <w:p w14:paraId="099CBD6D" w14:textId="77777777" w:rsidR="00D17CAC" w:rsidRDefault="00D17CAC">
            <w:pPr>
              <w:jc w:val="right"/>
              <w:rPr>
                <w:rFonts w:ascii="Cambria" w:hAnsi="Cambria" w:cs="Arial"/>
                <w:b/>
                <w:bCs/>
                <w:color w:val="000000"/>
                <w:sz w:val="18"/>
                <w:szCs w:val="18"/>
              </w:rPr>
            </w:pPr>
            <w:r>
              <w:rPr>
                <w:rFonts w:ascii="Cambria" w:hAnsi="Cambria"/>
                <w:b/>
                <w:color w:val="000000"/>
                <w:sz w:val="18"/>
              </w:rPr>
              <w:t>(54 219)</w:t>
            </w:r>
          </w:p>
        </w:tc>
      </w:tr>
    </w:tbl>
    <w:p w14:paraId="3D450A67" w14:textId="77777777" w:rsidR="00422415" w:rsidRDefault="00422415" w:rsidP="00E16D12">
      <w:pPr>
        <w:spacing w:after="200" w:line="276" w:lineRule="auto"/>
        <w:jc w:val="both"/>
        <w:rPr>
          <w:rFonts w:ascii="Cambria" w:hAnsi="Cambria"/>
          <w:sz w:val="22"/>
          <w:szCs w:val="22"/>
        </w:rPr>
      </w:pPr>
    </w:p>
    <w:p w14:paraId="36E2E0DF" w14:textId="367EE5DC" w:rsidR="008162A7" w:rsidRDefault="00DF5218" w:rsidP="00E16D12">
      <w:pPr>
        <w:spacing w:after="200" w:line="276" w:lineRule="auto"/>
        <w:jc w:val="both"/>
        <w:rPr>
          <w:rFonts w:ascii="Cambria" w:hAnsi="Cambria"/>
          <w:sz w:val="22"/>
          <w:szCs w:val="22"/>
        </w:rPr>
      </w:pPr>
      <w:r>
        <w:rPr>
          <w:rFonts w:ascii="Cambria" w:hAnsi="Cambria"/>
          <w:sz w:val="22"/>
        </w:rPr>
        <w:t xml:space="preserve">Les Avances et acomptes versés aux fournisseurs se réfèrent à des biens et services. </w:t>
      </w:r>
    </w:p>
    <w:p w14:paraId="1610B13A" w14:textId="375FA1C0" w:rsidR="00D17CAC" w:rsidRDefault="00D17CAC" w:rsidP="00E16D12">
      <w:pPr>
        <w:spacing w:after="200" w:line="276" w:lineRule="auto"/>
        <w:jc w:val="both"/>
        <w:rPr>
          <w:rFonts w:ascii="Cambria" w:hAnsi="Cambria"/>
          <w:sz w:val="22"/>
          <w:szCs w:val="22"/>
        </w:rPr>
      </w:pPr>
      <w:r>
        <w:rPr>
          <w:rFonts w:ascii="Cambria" w:hAnsi="Cambria"/>
          <w:sz w:val="22"/>
        </w:rPr>
        <w:t>Les avances aux salariés sont des sommes avancées aux travailleurs et à escompter sur les prochaines mensualités.</w:t>
      </w:r>
    </w:p>
    <w:p w14:paraId="6ACD15EB" w14:textId="3BF4CDA1" w:rsidR="00B45A31" w:rsidRPr="00C17031" w:rsidRDefault="00B45A31" w:rsidP="00E16D12">
      <w:pPr>
        <w:spacing w:after="200" w:line="276" w:lineRule="auto"/>
        <w:jc w:val="both"/>
        <w:rPr>
          <w:rFonts w:ascii="Cambria" w:hAnsi="Cambria"/>
          <w:sz w:val="22"/>
          <w:szCs w:val="22"/>
        </w:rPr>
      </w:pPr>
      <w:r>
        <w:rPr>
          <w:rFonts w:ascii="Cambria" w:hAnsi="Cambria"/>
          <w:sz w:val="22"/>
        </w:rPr>
        <w:t>La créance CIG se réfère à la créance envers l'INPS (Institut national italien de sécurité sociale) pour l'avance, par les entreprises, du fonds de garantie des salaires en faveur des employés.</w:t>
      </w:r>
    </w:p>
    <w:p w14:paraId="38D99471" w14:textId="5F3C251B" w:rsidR="00BB5083" w:rsidRPr="00C17031" w:rsidRDefault="00BB5083" w:rsidP="00BB5083">
      <w:pPr>
        <w:spacing w:line="276" w:lineRule="auto"/>
        <w:jc w:val="both"/>
        <w:rPr>
          <w:rFonts w:ascii="Cambria" w:hAnsi="Cambria"/>
          <w:sz w:val="22"/>
          <w:szCs w:val="22"/>
        </w:rPr>
      </w:pPr>
      <w:r>
        <w:rPr>
          <w:rFonts w:ascii="Cambria" w:hAnsi="Cambria"/>
          <w:sz w:val="22"/>
        </w:rPr>
        <w:t>La diminution en valeur absolue par rapport à l'année précédente, égale à 54 000 euros, est due en grande partie à la réduction - et donc à la réalisation des achats - des avances aux fournisseurs.</w:t>
      </w:r>
    </w:p>
    <w:p w14:paraId="0E208D31" w14:textId="77777777" w:rsidR="008E7BC9" w:rsidRPr="00FA6BEE" w:rsidRDefault="008E7BC9" w:rsidP="00FA6BEE">
      <w:pPr>
        <w:spacing w:after="200" w:line="276" w:lineRule="auto"/>
        <w:jc w:val="both"/>
        <w:rPr>
          <w:sz w:val="22"/>
          <w:szCs w:val="22"/>
        </w:rPr>
      </w:pPr>
    </w:p>
    <w:p w14:paraId="11D557FC" w14:textId="77777777" w:rsidR="00E16D12" w:rsidRPr="0026628A" w:rsidRDefault="00E16D12" w:rsidP="00E16D12">
      <w:pPr>
        <w:pStyle w:val="Titolo2"/>
        <w:numPr>
          <w:ilvl w:val="0"/>
          <w:numId w:val="6"/>
        </w:numPr>
        <w:spacing w:line="240" w:lineRule="auto"/>
        <w:ind w:left="357" w:right="0" w:hanging="357"/>
        <w:jc w:val="left"/>
        <w:rPr>
          <w:i w:val="0"/>
        </w:rPr>
      </w:pPr>
      <w:bookmarkStart w:id="140" w:name="_Toc112768672"/>
      <w:r>
        <w:rPr>
          <w:i w:val="0"/>
        </w:rPr>
        <w:t>Créances fiscales</w:t>
      </w:r>
      <w:bookmarkEnd w:id="140"/>
    </w:p>
    <w:p w14:paraId="409D2774" w14:textId="77777777" w:rsidR="00E16D12" w:rsidRPr="00C17031" w:rsidRDefault="00E16D12" w:rsidP="00E16D12">
      <w:pPr>
        <w:jc w:val="both"/>
        <w:rPr>
          <w:rFonts w:ascii="Cambria" w:hAnsi="Cambria"/>
          <w:sz w:val="22"/>
          <w:szCs w:val="22"/>
        </w:rPr>
      </w:pPr>
    </w:p>
    <w:p w14:paraId="67FF5CDD" w14:textId="18AFDA49" w:rsidR="00E16D12" w:rsidRDefault="00E16D12" w:rsidP="00E16D12">
      <w:pPr>
        <w:spacing w:after="200" w:line="276" w:lineRule="auto"/>
        <w:jc w:val="both"/>
        <w:rPr>
          <w:rFonts w:ascii="Cambria" w:hAnsi="Cambria"/>
          <w:sz w:val="22"/>
          <w:szCs w:val="22"/>
        </w:rPr>
      </w:pPr>
      <w:r>
        <w:rPr>
          <w:rFonts w:ascii="Cambria" w:hAnsi="Cambria"/>
          <w:sz w:val="22"/>
        </w:rPr>
        <w:t>La composition du poste « Créances fiscales » au 30 juin 2021, par rapport aux mêmes valeurs au 31 décembre 2020, est présentée ci-dessous :</w:t>
      </w:r>
    </w:p>
    <w:tbl>
      <w:tblPr>
        <w:tblW w:w="5000" w:type="pct"/>
        <w:tblCellMar>
          <w:left w:w="70" w:type="dxa"/>
          <w:right w:w="70" w:type="dxa"/>
        </w:tblCellMar>
        <w:tblLook w:val="04A0" w:firstRow="1" w:lastRow="0" w:firstColumn="1" w:lastColumn="0" w:noHBand="0" w:noVBand="1"/>
      </w:tblPr>
      <w:tblGrid>
        <w:gridCol w:w="3250"/>
        <w:gridCol w:w="2130"/>
        <w:gridCol w:w="2130"/>
        <w:gridCol w:w="2128"/>
      </w:tblGrid>
      <w:tr w:rsidR="000362B1" w14:paraId="09E72596" w14:textId="77777777" w:rsidTr="000362B1">
        <w:trPr>
          <w:trHeight w:val="495"/>
        </w:trPr>
        <w:tc>
          <w:tcPr>
            <w:tcW w:w="1461" w:type="pct"/>
            <w:tcBorders>
              <w:top w:val="single" w:sz="4" w:space="0" w:color="0070C0"/>
              <w:left w:val="nil"/>
              <w:bottom w:val="single" w:sz="8" w:space="0" w:color="0070C0"/>
              <w:right w:val="nil"/>
            </w:tcBorders>
            <w:shd w:val="clear" w:color="auto" w:fill="auto"/>
            <w:noWrap/>
            <w:vAlign w:val="bottom"/>
            <w:hideMark/>
          </w:tcPr>
          <w:p w14:paraId="7119FF41" w14:textId="77777777" w:rsidR="000362B1" w:rsidRDefault="000362B1">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180" w:type="pct"/>
            <w:tcBorders>
              <w:top w:val="single" w:sz="4" w:space="0" w:color="0070C0"/>
              <w:left w:val="nil"/>
              <w:bottom w:val="single" w:sz="8" w:space="0" w:color="0070C0"/>
              <w:right w:val="nil"/>
            </w:tcBorders>
            <w:shd w:val="clear" w:color="auto" w:fill="auto"/>
            <w:vAlign w:val="bottom"/>
            <w:hideMark/>
          </w:tcPr>
          <w:p w14:paraId="0D625EA5" w14:textId="77777777" w:rsidR="000362B1" w:rsidRDefault="000362B1">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1180" w:type="pct"/>
            <w:tcBorders>
              <w:top w:val="single" w:sz="4" w:space="0" w:color="0070C0"/>
              <w:left w:val="nil"/>
              <w:bottom w:val="single" w:sz="8" w:space="0" w:color="0070C0"/>
              <w:right w:val="nil"/>
            </w:tcBorders>
            <w:shd w:val="clear" w:color="auto" w:fill="auto"/>
            <w:vAlign w:val="bottom"/>
            <w:hideMark/>
          </w:tcPr>
          <w:p w14:paraId="11D5A780" w14:textId="77777777" w:rsidR="000362B1" w:rsidRDefault="000362B1">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c>
          <w:tcPr>
            <w:tcW w:w="1180" w:type="pct"/>
            <w:tcBorders>
              <w:top w:val="single" w:sz="4" w:space="0" w:color="0070C0"/>
              <w:left w:val="nil"/>
              <w:bottom w:val="single" w:sz="8" w:space="0" w:color="0070C0"/>
              <w:right w:val="nil"/>
            </w:tcBorders>
            <w:shd w:val="clear" w:color="auto" w:fill="auto"/>
            <w:vAlign w:val="bottom"/>
            <w:hideMark/>
          </w:tcPr>
          <w:p w14:paraId="4C879EE2" w14:textId="77777777" w:rsidR="000362B1" w:rsidRDefault="000362B1">
            <w:pPr>
              <w:jc w:val="center"/>
              <w:rPr>
                <w:rFonts w:ascii="Cambria" w:hAnsi="Cambria" w:cs="Arial"/>
                <w:b/>
                <w:bCs/>
                <w:color w:val="000000"/>
                <w:sz w:val="18"/>
                <w:szCs w:val="18"/>
              </w:rPr>
            </w:pPr>
            <w:r>
              <w:rPr>
                <w:rFonts w:ascii="Cambria" w:hAnsi="Cambria"/>
                <w:b/>
                <w:color w:val="000000"/>
                <w:sz w:val="18"/>
              </w:rPr>
              <w:t>Variation</w:t>
            </w:r>
          </w:p>
        </w:tc>
      </w:tr>
      <w:tr w:rsidR="000362B1" w14:paraId="25DC5194" w14:textId="77777777" w:rsidTr="000362B1">
        <w:trPr>
          <w:trHeight w:val="240"/>
        </w:trPr>
        <w:tc>
          <w:tcPr>
            <w:tcW w:w="1461" w:type="pct"/>
            <w:tcBorders>
              <w:top w:val="nil"/>
              <w:left w:val="nil"/>
              <w:bottom w:val="nil"/>
              <w:right w:val="nil"/>
            </w:tcBorders>
            <w:shd w:val="clear" w:color="auto" w:fill="auto"/>
            <w:noWrap/>
            <w:vAlign w:val="bottom"/>
            <w:hideMark/>
          </w:tcPr>
          <w:p w14:paraId="0399AB09" w14:textId="77777777" w:rsidR="000362B1" w:rsidRDefault="000362B1">
            <w:pPr>
              <w:rPr>
                <w:rFonts w:ascii="Cambria" w:hAnsi="Cambria" w:cs="Arial"/>
                <w:color w:val="000000"/>
                <w:sz w:val="18"/>
                <w:szCs w:val="18"/>
              </w:rPr>
            </w:pPr>
            <w:r>
              <w:rPr>
                <w:rFonts w:ascii="Cambria" w:hAnsi="Cambria"/>
                <w:color w:val="000000"/>
                <w:sz w:val="18"/>
              </w:rPr>
              <w:t>IRAP (taxe régionale sur les entreprises)</w:t>
            </w:r>
          </w:p>
        </w:tc>
        <w:tc>
          <w:tcPr>
            <w:tcW w:w="1180" w:type="pct"/>
            <w:tcBorders>
              <w:top w:val="nil"/>
              <w:left w:val="nil"/>
              <w:bottom w:val="nil"/>
              <w:right w:val="nil"/>
            </w:tcBorders>
            <w:shd w:val="clear" w:color="auto" w:fill="auto"/>
            <w:noWrap/>
            <w:vAlign w:val="bottom"/>
            <w:hideMark/>
          </w:tcPr>
          <w:p w14:paraId="39432CF2" w14:textId="77777777" w:rsidR="000362B1" w:rsidRDefault="000362B1">
            <w:pPr>
              <w:jc w:val="right"/>
              <w:rPr>
                <w:rFonts w:ascii="Cambria" w:hAnsi="Cambria" w:cs="Arial"/>
                <w:color w:val="000000"/>
                <w:sz w:val="18"/>
                <w:szCs w:val="18"/>
              </w:rPr>
            </w:pPr>
            <w:r>
              <w:rPr>
                <w:rFonts w:ascii="Cambria" w:hAnsi="Cambria"/>
                <w:color w:val="000000"/>
                <w:sz w:val="18"/>
              </w:rPr>
              <w:t>235 407</w:t>
            </w:r>
          </w:p>
        </w:tc>
        <w:tc>
          <w:tcPr>
            <w:tcW w:w="1180" w:type="pct"/>
            <w:tcBorders>
              <w:top w:val="nil"/>
              <w:left w:val="nil"/>
              <w:bottom w:val="nil"/>
              <w:right w:val="nil"/>
            </w:tcBorders>
            <w:shd w:val="clear" w:color="auto" w:fill="auto"/>
            <w:noWrap/>
            <w:vAlign w:val="bottom"/>
            <w:hideMark/>
          </w:tcPr>
          <w:p w14:paraId="61200DFD" w14:textId="77777777" w:rsidR="000362B1" w:rsidRDefault="000362B1">
            <w:pPr>
              <w:jc w:val="right"/>
              <w:rPr>
                <w:rFonts w:ascii="Cambria" w:hAnsi="Cambria" w:cs="Arial"/>
                <w:color w:val="000000"/>
                <w:sz w:val="18"/>
                <w:szCs w:val="18"/>
              </w:rPr>
            </w:pPr>
            <w:r>
              <w:rPr>
                <w:rFonts w:ascii="Cambria" w:hAnsi="Cambria"/>
                <w:color w:val="000000"/>
                <w:sz w:val="18"/>
              </w:rPr>
              <w:t>0</w:t>
            </w:r>
          </w:p>
        </w:tc>
        <w:tc>
          <w:tcPr>
            <w:tcW w:w="1180" w:type="pct"/>
            <w:tcBorders>
              <w:top w:val="nil"/>
              <w:left w:val="nil"/>
              <w:bottom w:val="nil"/>
              <w:right w:val="nil"/>
            </w:tcBorders>
            <w:shd w:val="clear" w:color="auto" w:fill="auto"/>
            <w:noWrap/>
            <w:vAlign w:val="bottom"/>
            <w:hideMark/>
          </w:tcPr>
          <w:p w14:paraId="25C58717" w14:textId="77777777" w:rsidR="000362B1" w:rsidRDefault="000362B1">
            <w:pPr>
              <w:jc w:val="right"/>
              <w:rPr>
                <w:rFonts w:ascii="Cambria" w:hAnsi="Cambria" w:cs="Arial"/>
                <w:color w:val="000000"/>
                <w:sz w:val="18"/>
                <w:szCs w:val="18"/>
              </w:rPr>
            </w:pPr>
            <w:r>
              <w:rPr>
                <w:rFonts w:ascii="Cambria" w:hAnsi="Cambria"/>
                <w:color w:val="000000"/>
                <w:sz w:val="18"/>
              </w:rPr>
              <w:t>235 407</w:t>
            </w:r>
          </w:p>
        </w:tc>
      </w:tr>
      <w:tr w:rsidR="000362B1" w14:paraId="7A6AAC41" w14:textId="77777777" w:rsidTr="000362B1">
        <w:trPr>
          <w:trHeight w:val="240"/>
        </w:trPr>
        <w:tc>
          <w:tcPr>
            <w:tcW w:w="1461" w:type="pct"/>
            <w:tcBorders>
              <w:top w:val="nil"/>
              <w:left w:val="nil"/>
              <w:bottom w:val="nil"/>
              <w:right w:val="nil"/>
            </w:tcBorders>
            <w:shd w:val="clear" w:color="auto" w:fill="auto"/>
            <w:noWrap/>
            <w:vAlign w:val="bottom"/>
            <w:hideMark/>
          </w:tcPr>
          <w:p w14:paraId="1032548A" w14:textId="77777777" w:rsidR="000362B1" w:rsidRDefault="000362B1">
            <w:pPr>
              <w:rPr>
                <w:rFonts w:ascii="Cambria" w:hAnsi="Cambria" w:cs="Arial"/>
                <w:color w:val="000000"/>
                <w:sz w:val="18"/>
                <w:szCs w:val="18"/>
              </w:rPr>
            </w:pPr>
            <w:r>
              <w:rPr>
                <w:rFonts w:ascii="Cambria" w:hAnsi="Cambria"/>
                <w:color w:val="000000"/>
                <w:sz w:val="18"/>
              </w:rPr>
              <w:t>IRES (impôt sur les sociétés)</w:t>
            </w:r>
          </w:p>
        </w:tc>
        <w:tc>
          <w:tcPr>
            <w:tcW w:w="1180" w:type="pct"/>
            <w:tcBorders>
              <w:top w:val="nil"/>
              <w:left w:val="nil"/>
              <w:bottom w:val="nil"/>
              <w:right w:val="nil"/>
            </w:tcBorders>
            <w:shd w:val="clear" w:color="auto" w:fill="auto"/>
            <w:noWrap/>
            <w:vAlign w:val="bottom"/>
            <w:hideMark/>
          </w:tcPr>
          <w:p w14:paraId="75E1E754" w14:textId="77777777" w:rsidR="000362B1" w:rsidRDefault="000362B1">
            <w:pPr>
              <w:jc w:val="right"/>
              <w:rPr>
                <w:rFonts w:ascii="Cambria" w:hAnsi="Cambria" w:cs="Arial"/>
                <w:color w:val="000000"/>
                <w:sz w:val="18"/>
                <w:szCs w:val="18"/>
              </w:rPr>
            </w:pPr>
            <w:r>
              <w:rPr>
                <w:rFonts w:ascii="Cambria" w:hAnsi="Cambria"/>
                <w:color w:val="000000"/>
                <w:sz w:val="18"/>
              </w:rPr>
              <w:t>1 091 404</w:t>
            </w:r>
          </w:p>
        </w:tc>
        <w:tc>
          <w:tcPr>
            <w:tcW w:w="1180" w:type="pct"/>
            <w:tcBorders>
              <w:top w:val="nil"/>
              <w:left w:val="nil"/>
              <w:bottom w:val="nil"/>
              <w:right w:val="nil"/>
            </w:tcBorders>
            <w:shd w:val="clear" w:color="auto" w:fill="auto"/>
            <w:noWrap/>
            <w:vAlign w:val="bottom"/>
            <w:hideMark/>
          </w:tcPr>
          <w:p w14:paraId="7674805E" w14:textId="77777777" w:rsidR="000362B1" w:rsidRDefault="000362B1">
            <w:pPr>
              <w:jc w:val="right"/>
              <w:rPr>
                <w:rFonts w:ascii="Cambria" w:hAnsi="Cambria" w:cs="Arial"/>
                <w:color w:val="000000"/>
                <w:sz w:val="18"/>
                <w:szCs w:val="18"/>
              </w:rPr>
            </w:pPr>
            <w:r>
              <w:rPr>
                <w:rFonts w:ascii="Cambria" w:hAnsi="Cambria"/>
                <w:color w:val="000000"/>
                <w:sz w:val="18"/>
              </w:rPr>
              <w:t>0</w:t>
            </w:r>
          </w:p>
        </w:tc>
        <w:tc>
          <w:tcPr>
            <w:tcW w:w="1180" w:type="pct"/>
            <w:tcBorders>
              <w:top w:val="nil"/>
              <w:left w:val="nil"/>
              <w:bottom w:val="nil"/>
              <w:right w:val="nil"/>
            </w:tcBorders>
            <w:shd w:val="clear" w:color="auto" w:fill="auto"/>
            <w:noWrap/>
            <w:vAlign w:val="bottom"/>
            <w:hideMark/>
          </w:tcPr>
          <w:p w14:paraId="6E6D83EA" w14:textId="77777777" w:rsidR="000362B1" w:rsidRDefault="000362B1">
            <w:pPr>
              <w:jc w:val="right"/>
              <w:rPr>
                <w:rFonts w:ascii="Cambria" w:hAnsi="Cambria" w:cs="Arial"/>
                <w:color w:val="000000"/>
                <w:sz w:val="18"/>
                <w:szCs w:val="18"/>
              </w:rPr>
            </w:pPr>
            <w:r>
              <w:rPr>
                <w:rFonts w:ascii="Cambria" w:hAnsi="Cambria"/>
                <w:color w:val="000000"/>
                <w:sz w:val="18"/>
              </w:rPr>
              <w:t>1 091 404</w:t>
            </w:r>
          </w:p>
        </w:tc>
      </w:tr>
      <w:tr w:rsidR="000362B1" w14:paraId="5FD4B285" w14:textId="77777777" w:rsidTr="000362B1">
        <w:trPr>
          <w:trHeight w:val="240"/>
        </w:trPr>
        <w:tc>
          <w:tcPr>
            <w:tcW w:w="1461" w:type="pct"/>
            <w:tcBorders>
              <w:top w:val="nil"/>
              <w:left w:val="nil"/>
              <w:bottom w:val="nil"/>
              <w:right w:val="nil"/>
            </w:tcBorders>
            <w:shd w:val="clear" w:color="auto" w:fill="auto"/>
            <w:noWrap/>
            <w:vAlign w:val="bottom"/>
            <w:hideMark/>
          </w:tcPr>
          <w:p w14:paraId="695F2A61" w14:textId="77777777" w:rsidR="000362B1" w:rsidRDefault="000362B1">
            <w:pPr>
              <w:rPr>
                <w:rFonts w:ascii="Cambria" w:hAnsi="Cambria" w:cs="Arial"/>
                <w:color w:val="000000"/>
                <w:sz w:val="18"/>
                <w:szCs w:val="18"/>
              </w:rPr>
            </w:pPr>
            <w:r>
              <w:rPr>
                <w:rFonts w:ascii="Cambria" w:hAnsi="Cambria"/>
                <w:color w:val="000000"/>
                <w:sz w:val="18"/>
              </w:rPr>
              <w:t>Retenues</w:t>
            </w:r>
          </w:p>
        </w:tc>
        <w:tc>
          <w:tcPr>
            <w:tcW w:w="1180" w:type="pct"/>
            <w:tcBorders>
              <w:top w:val="nil"/>
              <w:left w:val="nil"/>
              <w:bottom w:val="nil"/>
              <w:right w:val="nil"/>
            </w:tcBorders>
            <w:shd w:val="clear" w:color="auto" w:fill="auto"/>
            <w:noWrap/>
            <w:vAlign w:val="bottom"/>
            <w:hideMark/>
          </w:tcPr>
          <w:p w14:paraId="02E9B351" w14:textId="77777777" w:rsidR="000362B1" w:rsidRDefault="000362B1">
            <w:pPr>
              <w:jc w:val="right"/>
              <w:rPr>
                <w:rFonts w:ascii="Cambria" w:hAnsi="Cambria" w:cs="Arial"/>
                <w:color w:val="000000"/>
                <w:sz w:val="18"/>
                <w:szCs w:val="18"/>
              </w:rPr>
            </w:pPr>
            <w:r>
              <w:rPr>
                <w:rFonts w:ascii="Cambria" w:hAnsi="Cambria"/>
                <w:color w:val="000000"/>
                <w:sz w:val="18"/>
              </w:rPr>
              <w:t>3 625</w:t>
            </w:r>
          </w:p>
        </w:tc>
        <w:tc>
          <w:tcPr>
            <w:tcW w:w="1180" w:type="pct"/>
            <w:tcBorders>
              <w:top w:val="nil"/>
              <w:left w:val="nil"/>
              <w:bottom w:val="nil"/>
              <w:right w:val="nil"/>
            </w:tcBorders>
            <w:shd w:val="clear" w:color="auto" w:fill="auto"/>
            <w:noWrap/>
            <w:vAlign w:val="bottom"/>
            <w:hideMark/>
          </w:tcPr>
          <w:p w14:paraId="5A90E95D" w14:textId="77777777" w:rsidR="000362B1" w:rsidRDefault="000362B1">
            <w:pPr>
              <w:jc w:val="right"/>
              <w:rPr>
                <w:rFonts w:ascii="Cambria" w:hAnsi="Cambria" w:cs="Arial"/>
                <w:color w:val="000000"/>
                <w:sz w:val="18"/>
                <w:szCs w:val="18"/>
              </w:rPr>
            </w:pPr>
            <w:r>
              <w:rPr>
                <w:rFonts w:ascii="Cambria" w:hAnsi="Cambria"/>
                <w:color w:val="000000"/>
                <w:sz w:val="18"/>
              </w:rPr>
              <w:t>0</w:t>
            </w:r>
          </w:p>
        </w:tc>
        <w:tc>
          <w:tcPr>
            <w:tcW w:w="1180" w:type="pct"/>
            <w:tcBorders>
              <w:top w:val="nil"/>
              <w:left w:val="nil"/>
              <w:bottom w:val="nil"/>
              <w:right w:val="nil"/>
            </w:tcBorders>
            <w:shd w:val="clear" w:color="auto" w:fill="auto"/>
            <w:noWrap/>
            <w:vAlign w:val="bottom"/>
            <w:hideMark/>
          </w:tcPr>
          <w:p w14:paraId="045584CF" w14:textId="77777777" w:rsidR="000362B1" w:rsidRDefault="000362B1">
            <w:pPr>
              <w:jc w:val="right"/>
              <w:rPr>
                <w:rFonts w:ascii="Cambria" w:hAnsi="Cambria" w:cs="Arial"/>
                <w:color w:val="000000"/>
                <w:sz w:val="18"/>
                <w:szCs w:val="18"/>
              </w:rPr>
            </w:pPr>
            <w:r>
              <w:rPr>
                <w:rFonts w:ascii="Cambria" w:hAnsi="Cambria"/>
                <w:color w:val="000000"/>
                <w:sz w:val="18"/>
              </w:rPr>
              <w:t>3 625</w:t>
            </w:r>
          </w:p>
        </w:tc>
      </w:tr>
      <w:tr w:rsidR="000362B1" w14:paraId="0C13A9C3" w14:textId="77777777" w:rsidTr="000362B1">
        <w:trPr>
          <w:trHeight w:val="240"/>
        </w:trPr>
        <w:tc>
          <w:tcPr>
            <w:tcW w:w="1461" w:type="pct"/>
            <w:tcBorders>
              <w:top w:val="nil"/>
              <w:left w:val="nil"/>
              <w:bottom w:val="nil"/>
              <w:right w:val="nil"/>
            </w:tcBorders>
            <w:shd w:val="clear" w:color="auto" w:fill="auto"/>
            <w:noWrap/>
            <w:vAlign w:val="bottom"/>
            <w:hideMark/>
          </w:tcPr>
          <w:p w14:paraId="7DD1706E" w14:textId="77777777" w:rsidR="000362B1" w:rsidRDefault="000362B1">
            <w:pPr>
              <w:rPr>
                <w:rFonts w:ascii="Cambria" w:hAnsi="Cambria" w:cs="Arial"/>
                <w:color w:val="000000"/>
                <w:sz w:val="18"/>
                <w:szCs w:val="18"/>
              </w:rPr>
            </w:pPr>
            <w:r>
              <w:rPr>
                <w:rFonts w:ascii="Cambria" w:hAnsi="Cambria"/>
                <w:color w:val="000000"/>
                <w:sz w:val="18"/>
              </w:rPr>
              <w:t>Autres créances fiscales</w:t>
            </w:r>
          </w:p>
        </w:tc>
        <w:tc>
          <w:tcPr>
            <w:tcW w:w="1180" w:type="pct"/>
            <w:tcBorders>
              <w:top w:val="nil"/>
              <w:left w:val="nil"/>
              <w:bottom w:val="nil"/>
              <w:right w:val="nil"/>
            </w:tcBorders>
            <w:shd w:val="clear" w:color="auto" w:fill="auto"/>
            <w:noWrap/>
            <w:vAlign w:val="bottom"/>
            <w:hideMark/>
          </w:tcPr>
          <w:p w14:paraId="66D31D2D" w14:textId="77777777" w:rsidR="000362B1" w:rsidRDefault="000362B1">
            <w:pPr>
              <w:jc w:val="right"/>
              <w:rPr>
                <w:rFonts w:ascii="Cambria" w:hAnsi="Cambria" w:cs="Arial"/>
                <w:color w:val="000000"/>
                <w:sz w:val="18"/>
                <w:szCs w:val="18"/>
              </w:rPr>
            </w:pPr>
            <w:r>
              <w:rPr>
                <w:rFonts w:ascii="Cambria" w:hAnsi="Cambria"/>
                <w:color w:val="000000"/>
                <w:sz w:val="18"/>
              </w:rPr>
              <w:t>3 916</w:t>
            </w:r>
          </w:p>
        </w:tc>
        <w:tc>
          <w:tcPr>
            <w:tcW w:w="1180" w:type="pct"/>
            <w:tcBorders>
              <w:top w:val="nil"/>
              <w:left w:val="nil"/>
              <w:bottom w:val="nil"/>
              <w:right w:val="nil"/>
            </w:tcBorders>
            <w:shd w:val="clear" w:color="auto" w:fill="auto"/>
            <w:noWrap/>
            <w:vAlign w:val="bottom"/>
            <w:hideMark/>
          </w:tcPr>
          <w:p w14:paraId="4C1332DF" w14:textId="77777777" w:rsidR="000362B1" w:rsidRDefault="000362B1">
            <w:pPr>
              <w:jc w:val="right"/>
              <w:rPr>
                <w:rFonts w:ascii="Cambria" w:hAnsi="Cambria" w:cs="Arial"/>
                <w:color w:val="000000"/>
                <w:sz w:val="18"/>
                <w:szCs w:val="18"/>
              </w:rPr>
            </w:pPr>
            <w:r>
              <w:rPr>
                <w:rFonts w:ascii="Cambria" w:hAnsi="Cambria"/>
                <w:color w:val="000000"/>
                <w:sz w:val="18"/>
              </w:rPr>
              <w:t>17 222</w:t>
            </w:r>
          </w:p>
        </w:tc>
        <w:tc>
          <w:tcPr>
            <w:tcW w:w="1180" w:type="pct"/>
            <w:tcBorders>
              <w:top w:val="nil"/>
              <w:left w:val="nil"/>
              <w:bottom w:val="nil"/>
              <w:right w:val="nil"/>
            </w:tcBorders>
            <w:shd w:val="clear" w:color="auto" w:fill="auto"/>
            <w:noWrap/>
            <w:vAlign w:val="bottom"/>
            <w:hideMark/>
          </w:tcPr>
          <w:p w14:paraId="17936197" w14:textId="77777777" w:rsidR="000362B1" w:rsidRDefault="000362B1">
            <w:pPr>
              <w:jc w:val="right"/>
              <w:rPr>
                <w:rFonts w:ascii="Cambria" w:hAnsi="Cambria" w:cs="Arial"/>
                <w:color w:val="000000"/>
                <w:sz w:val="18"/>
                <w:szCs w:val="18"/>
              </w:rPr>
            </w:pPr>
            <w:r>
              <w:rPr>
                <w:rFonts w:ascii="Cambria" w:hAnsi="Cambria"/>
                <w:color w:val="000000"/>
                <w:sz w:val="18"/>
              </w:rPr>
              <w:t>(13 306)</w:t>
            </w:r>
          </w:p>
        </w:tc>
      </w:tr>
      <w:tr w:rsidR="000362B1" w14:paraId="79332031" w14:textId="77777777" w:rsidTr="000362B1">
        <w:trPr>
          <w:trHeight w:val="255"/>
        </w:trPr>
        <w:tc>
          <w:tcPr>
            <w:tcW w:w="1461" w:type="pct"/>
            <w:tcBorders>
              <w:top w:val="nil"/>
              <w:left w:val="nil"/>
              <w:bottom w:val="nil"/>
              <w:right w:val="nil"/>
            </w:tcBorders>
            <w:shd w:val="clear" w:color="auto" w:fill="auto"/>
            <w:noWrap/>
            <w:vAlign w:val="bottom"/>
            <w:hideMark/>
          </w:tcPr>
          <w:p w14:paraId="69645163" w14:textId="77777777" w:rsidR="000362B1" w:rsidRDefault="000362B1">
            <w:pPr>
              <w:rPr>
                <w:rFonts w:ascii="Cambria" w:hAnsi="Cambria" w:cs="Arial"/>
                <w:b/>
                <w:bCs/>
                <w:color w:val="000000"/>
                <w:sz w:val="18"/>
                <w:szCs w:val="18"/>
              </w:rPr>
            </w:pPr>
            <w:r>
              <w:rPr>
                <w:rFonts w:ascii="Cambria" w:hAnsi="Cambria"/>
                <w:b/>
                <w:color w:val="000000"/>
                <w:sz w:val="18"/>
              </w:rPr>
              <w:t>Total créances fiscales</w:t>
            </w:r>
          </w:p>
        </w:tc>
        <w:tc>
          <w:tcPr>
            <w:tcW w:w="1180" w:type="pct"/>
            <w:tcBorders>
              <w:top w:val="single" w:sz="4" w:space="0" w:color="auto"/>
              <w:left w:val="nil"/>
              <w:bottom w:val="single" w:sz="8" w:space="0" w:color="auto"/>
              <w:right w:val="nil"/>
            </w:tcBorders>
            <w:shd w:val="clear" w:color="auto" w:fill="auto"/>
            <w:noWrap/>
            <w:vAlign w:val="bottom"/>
            <w:hideMark/>
          </w:tcPr>
          <w:p w14:paraId="489341F8" w14:textId="77777777" w:rsidR="000362B1" w:rsidRDefault="000362B1">
            <w:pPr>
              <w:jc w:val="right"/>
              <w:rPr>
                <w:rFonts w:ascii="Cambria" w:hAnsi="Cambria" w:cs="Arial"/>
                <w:b/>
                <w:bCs/>
                <w:color w:val="000000"/>
                <w:sz w:val="18"/>
                <w:szCs w:val="18"/>
              </w:rPr>
            </w:pPr>
            <w:r>
              <w:rPr>
                <w:rFonts w:ascii="Cambria" w:hAnsi="Cambria"/>
                <w:b/>
                <w:color w:val="000000"/>
                <w:sz w:val="18"/>
              </w:rPr>
              <w:t>1 334 353</w:t>
            </w:r>
          </w:p>
        </w:tc>
        <w:tc>
          <w:tcPr>
            <w:tcW w:w="1180" w:type="pct"/>
            <w:tcBorders>
              <w:top w:val="single" w:sz="4" w:space="0" w:color="auto"/>
              <w:left w:val="nil"/>
              <w:bottom w:val="single" w:sz="8" w:space="0" w:color="auto"/>
              <w:right w:val="nil"/>
            </w:tcBorders>
            <w:shd w:val="clear" w:color="auto" w:fill="auto"/>
            <w:noWrap/>
            <w:vAlign w:val="bottom"/>
            <w:hideMark/>
          </w:tcPr>
          <w:p w14:paraId="54569C5C" w14:textId="77777777" w:rsidR="000362B1" w:rsidRDefault="000362B1">
            <w:pPr>
              <w:jc w:val="right"/>
              <w:rPr>
                <w:rFonts w:ascii="Cambria" w:hAnsi="Cambria" w:cs="Arial"/>
                <w:b/>
                <w:bCs/>
                <w:color w:val="000000"/>
                <w:sz w:val="18"/>
                <w:szCs w:val="18"/>
              </w:rPr>
            </w:pPr>
            <w:r>
              <w:rPr>
                <w:rFonts w:ascii="Cambria" w:hAnsi="Cambria"/>
                <w:b/>
                <w:color w:val="000000"/>
                <w:sz w:val="18"/>
              </w:rPr>
              <w:t>17 222</w:t>
            </w:r>
          </w:p>
        </w:tc>
        <w:tc>
          <w:tcPr>
            <w:tcW w:w="1180" w:type="pct"/>
            <w:tcBorders>
              <w:top w:val="single" w:sz="4" w:space="0" w:color="auto"/>
              <w:left w:val="nil"/>
              <w:bottom w:val="single" w:sz="8" w:space="0" w:color="auto"/>
              <w:right w:val="nil"/>
            </w:tcBorders>
            <w:shd w:val="clear" w:color="auto" w:fill="auto"/>
            <w:noWrap/>
            <w:vAlign w:val="bottom"/>
            <w:hideMark/>
          </w:tcPr>
          <w:p w14:paraId="19B96A63" w14:textId="77777777" w:rsidR="000362B1" w:rsidRDefault="000362B1">
            <w:pPr>
              <w:jc w:val="right"/>
              <w:rPr>
                <w:rFonts w:ascii="Cambria" w:hAnsi="Cambria" w:cs="Arial"/>
                <w:b/>
                <w:bCs/>
                <w:color w:val="000000"/>
                <w:sz w:val="18"/>
                <w:szCs w:val="18"/>
              </w:rPr>
            </w:pPr>
            <w:r>
              <w:rPr>
                <w:rFonts w:ascii="Cambria" w:hAnsi="Cambria"/>
                <w:b/>
                <w:color w:val="000000"/>
                <w:sz w:val="18"/>
              </w:rPr>
              <w:t>1 317 130</w:t>
            </w:r>
          </w:p>
        </w:tc>
      </w:tr>
    </w:tbl>
    <w:p w14:paraId="0648A577" w14:textId="33522AD2" w:rsidR="00207BFD" w:rsidRDefault="00207BFD" w:rsidP="00E16D12">
      <w:pPr>
        <w:spacing w:after="200" w:line="276" w:lineRule="auto"/>
        <w:jc w:val="both"/>
        <w:rPr>
          <w:rFonts w:ascii="Cambria" w:hAnsi="Cambria"/>
          <w:sz w:val="22"/>
          <w:szCs w:val="22"/>
        </w:rPr>
      </w:pPr>
    </w:p>
    <w:p w14:paraId="5F8B1A92" w14:textId="1C3B4478" w:rsidR="0026628A" w:rsidRDefault="00244ED3" w:rsidP="0026628A">
      <w:pPr>
        <w:spacing w:line="276" w:lineRule="auto"/>
        <w:jc w:val="both"/>
        <w:rPr>
          <w:rFonts w:ascii="Cambria" w:hAnsi="Cambria"/>
          <w:sz w:val="22"/>
          <w:szCs w:val="22"/>
        </w:rPr>
      </w:pPr>
      <w:r>
        <w:rPr>
          <w:rFonts w:ascii="Cambria" w:hAnsi="Cambria"/>
          <w:sz w:val="22"/>
        </w:rPr>
        <w:t>L'augmentation par rapport à l'année précédente, égale à 1 317 000 euros, est principalement due au paiement, par le Take Off, des avances de l'IRES et de l'IRAP.</w:t>
      </w:r>
    </w:p>
    <w:p w14:paraId="76872D2D" w14:textId="661B342C" w:rsidR="00EC75DF" w:rsidRDefault="00EC75DF" w:rsidP="0026628A">
      <w:pPr>
        <w:spacing w:line="276" w:lineRule="auto"/>
        <w:jc w:val="both"/>
        <w:rPr>
          <w:rFonts w:ascii="Cambria" w:hAnsi="Cambria"/>
          <w:sz w:val="22"/>
          <w:szCs w:val="22"/>
        </w:rPr>
      </w:pPr>
    </w:p>
    <w:p w14:paraId="3CAD596C" w14:textId="77777777" w:rsidR="00717185" w:rsidRPr="00C17031" w:rsidRDefault="00717185" w:rsidP="0026628A">
      <w:pPr>
        <w:spacing w:line="276" w:lineRule="auto"/>
        <w:jc w:val="both"/>
        <w:rPr>
          <w:rFonts w:ascii="Cambria" w:hAnsi="Cambria"/>
          <w:sz w:val="22"/>
          <w:szCs w:val="22"/>
        </w:rPr>
      </w:pPr>
    </w:p>
    <w:p w14:paraId="5564664E" w14:textId="77777777" w:rsidR="00E16D12" w:rsidRPr="009071C9" w:rsidRDefault="00E16D12" w:rsidP="00E16D12">
      <w:pPr>
        <w:pStyle w:val="Titolo2"/>
        <w:numPr>
          <w:ilvl w:val="0"/>
          <w:numId w:val="6"/>
        </w:numPr>
        <w:spacing w:line="240" w:lineRule="auto"/>
        <w:ind w:left="357" w:right="0" w:hanging="357"/>
        <w:jc w:val="left"/>
        <w:rPr>
          <w:i w:val="0"/>
        </w:rPr>
      </w:pPr>
      <w:bookmarkStart w:id="141" w:name="_Toc112768673"/>
      <w:r>
        <w:rPr>
          <w:i w:val="0"/>
        </w:rPr>
        <w:lastRenderedPageBreak/>
        <w:t>Trésorerie et équivalents de trésorerie</w:t>
      </w:r>
      <w:bookmarkEnd w:id="141"/>
    </w:p>
    <w:p w14:paraId="07B592B5" w14:textId="77777777" w:rsidR="00E16D12" w:rsidRPr="00C17031" w:rsidRDefault="00E16D12" w:rsidP="00E16D12">
      <w:pPr>
        <w:rPr>
          <w:rFonts w:ascii="Cambria" w:hAnsi="Cambria"/>
        </w:rPr>
      </w:pPr>
    </w:p>
    <w:p w14:paraId="5BC9F175" w14:textId="002C983D" w:rsidR="00E16D12" w:rsidRDefault="00E16D12" w:rsidP="00E16D12">
      <w:pPr>
        <w:spacing w:after="200" w:line="276" w:lineRule="auto"/>
        <w:jc w:val="both"/>
        <w:rPr>
          <w:rFonts w:ascii="Cambria" w:hAnsi="Cambria"/>
          <w:sz w:val="22"/>
          <w:szCs w:val="22"/>
        </w:rPr>
      </w:pPr>
      <w:r>
        <w:rPr>
          <w:rFonts w:ascii="Cambria" w:hAnsi="Cambria"/>
          <w:sz w:val="22"/>
        </w:rPr>
        <w:t>La ventilation du poste « Trésorerie et équivalents de trésorerie » au 30 juin 2021, par rapport aux mêmes valeurs au 31 décembre 2020, est présentée ci-dessous :</w:t>
      </w:r>
    </w:p>
    <w:tbl>
      <w:tblPr>
        <w:tblW w:w="5000" w:type="pct"/>
        <w:tblCellMar>
          <w:left w:w="70" w:type="dxa"/>
          <w:right w:w="70" w:type="dxa"/>
        </w:tblCellMar>
        <w:tblLook w:val="04A0" w:firstRow="1" w:lastRow="0" w:firstColumn="1" w:lastColumn="0" w:noHBand="0" w:noVBand="1"/>
      </w:tblPr>
      <w:tblGrid>
        <w:gridCol w:w="3840"/>
        <w:gridCol w:w="2017"/>
        <w:gridCol w:w="1890"/>
        <w:gridCol w:w="1891"/>
      </w:tblGrid>
      <w:tr w:rsidR="00EF17AE" w14:paraId="66569AEA" w14:textId="77777777" w:rsidTr="00EF17AE">
        <w:trPr>
          <w:trHeight w:val="495"/>
        </w:trPr>
        <w:tc>
          <w:tcPr>
            <w:tcW w:w="1613" w:type="pct"/>
            <w:tcBorders>
              <w:top w:val="single" w:sz="4" w:space="0" w:color="0070C0"/>
              <w:left w:val="nil"/>
              <w:bottom w:val="single" w:sz="8" w:space="0" w:color="0070C0"/>
              <w:right w:val="nil"/>
            </w:tcBorders>
            <w:shd w:val="clear" w:color="auto" w:fill="auto"/>
            <w:noWrap/>
            <w:vAlign w:val="bottom"/>
            <w:hideMark/>
          </w:tcPr>
          <w:p w14:paraId="22569540" w14:textId="77777777" w:rsidR="00EF17AE" w:rsidRDefault="00EF17AE">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173" w:type="pct"/>
            <w:tcBorders>
              <w:top w:val="single" w:sz="4" w:space="0" w:color="0070C0"/>
              <w:left w:val="nil"/>
              <w:bottom w:val="single" w:sz="8" w:space="0" w:color="0070C0"/>
              <w:right w:val="nil"/>
            </w:tcBorders>
            <w:shd w:val="clear" w:color="auto" w:fill="auto"/>
            <w:vAlign w:val="bottom"/>
            <w:hideMark/>
          </w:tcPr>
          <w:p w14:paraId="6EA8735E" w14:textId="77777777" w:rsidR="00EF17AE" w:rsidRDefault="00EF17AE">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1107" w:type="pct"/>
            <w:tcBorders>
              <w:top w:val="single" w:sz="4" w:space="0" w:color="0070C0"/>
              <w:left w:val="nil"/>
              <w:bottom w:val="single" w:sz="8" w:space="0" w:color="0070C0"/>
              <w:right w:val="nil"/>
            </w:tcBorders>
            <w:shd w:val="clear" w:color="auto" w:fill="auto"/>
            <w:vAlign w:val="bottom"/>
            <w:hideMark/>
          </w:tcPr>
          <w:p w14:paraId="4F5EC30D" w14:textId="77777777" w:rsidR="00EF17AE" w:rsidRDefault="00EF17AE">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c>
          <w:tcPr>
            <w:tcW w:w="1107" w:type="pct"/>
            <w:tcBorders>
              <w:top w:val="single" w:sz="4" w:space="0" w:color="0070C0"/>
              <w:left w:val="nil"/>
              <w:bottom w:val="single" w:sz="8" w:space="0" w:color="0070C0"/>
              <w:right w:val="nil"/>
            </w:tcBorders>
            <w:shd w:val="clear" w:color="auto" w:fill="auto"/>
            <w:vAlign w:val="bottom"/>
            <w:hideMark/>
          </w:tcPr>
          <w:p w14:paraId="016DA4C4" w14:textId="77777777" w:rsidR="00EF17AE" w:rsidRDefault="00EF17AE">
            <w:pPr>
              <w:jc w:val="center"/>
              <w:rPr>
                <w:rFonts w:ascii="Cambria" w:hAnsi="Cambria" w:cs="Arial"/>
                <w:b/>
                <w:bCs/>
                <w:color w:val="000000"/>
                <w:sz w:val="18"/>
                <w:szCs w:val="18"/>
              </w:rPr>
            </w:pPr>
            <w:r>
              <w:rPr>
                <w:rFonts w:ascii="Cambria" w:hAnsi="Cambria"/>
                <w:b/>
                <w:color w:val="000000"/>
                <w:sz w:val="18"/>
              </w:rPr>
              <w:t>Variation</w:t>
            </w:r>
          </w:p>
        </w:tc>
      </w:tr>
      <w:tr w:rsidR="00EF17AE" w14:paraId="4824F2CD" w14:textId="77777777" w:rsidTr="00EF17AE">
        <w:trPr>
          <w:trHeight w:val="240"/>
        </w:trPr>
        <w:tc>
          <w:tcPr>
            <w:tcW w:w="1613" w:type="pct"/>
            <w:tcBorders>
              <w:top w:val="nil"/>
              <w:left w:val="nil"/>
              <w:bottom w:val="nil"/>
              <w:right w:val="nil"/>
            </w:tcBorders>
            <w:shd w:val="clear" w:color="auto" w:fill="auto"/>
            <w:noWrap/>
            <w:vAlign w:val="bottom"/>
            <w:hideMark/>
          </w:tcPr>
          <w:p w14:paraId="2381E731" w14:textId="77777777" w:rsidR="00EF17AE" w:rsidRDefault="00EF17AE">
            <w:pPr>
              <w:rPr>
                <w:rFonts w:ascii="Cambria" w:hAnsi="Cambria" w:cs="Arial"/>
                <w:color w:val="000000"/>
                <w:sz w:val="18"/>
                <w:szCs w:val="18"/>
              </w:rPr>
            </w:pPr>
            <w:r>
              <w:rPr>
                <w:rFonts w:ascii="Cambria" w:hAnsi="Cambria"/>
                <w:color w:val="000000"/>
                <w:sz w:val="18"/>
              </w:rPr>
              <w:t>Dépôts bancaires</w:t>
            </w:r>
          </w:p>
        </w:tc>
        <w:tc>
          <w:tcPr>
            <w:tcW w:w="1173" w:type="pct"/>
            <w:tcBorders>
              <w:top w:val="nil"/>
              <w:left w:val="nil"/>
              <w:bottom w:val="nil"/>
              <w:right w:val="nil"/>
            </w:tcBorders>
            <w:shd w:val="clear" w:color="auto" w:fill="auto"/>
            <w:noWrap/>
            <w:vAlign w:val="bottom"/>
            <w:hideMark/>
          </w:tcPr>
          <w:p w14:paraId="498EFC1F" w14:textId="77777777" w:rsidR="00EF17AE" w:rsidRDefault="00EF17AE">
            <w:pPr>
              <w:jc w:val="right"/>
              <w:rPr>
                <w:rFonts w:ascii="Cambria" w:hAnsi="Cambria" w:cs="Arial"/>
                <w:color w:val="000000"/>
                <w:sz w:val="18"/>
                <w:szCs w:val="18"/>
              </w:rPr>
            </w:pPr>
            <w:r>
              <w:rPr>
                <w:rFonts w:ascii="Cambria" w:hAnsi="Cambria"/>
                <w:color w:val="000000"/>
                <w:sz w:val="18"/>
              </w:rPr>
              <w:t>14 374 262</w:t>
            </w:r>
          </w:p>
        </w:tc>
        <w:tc>
          <w:tcPr>
            <w:tcW w:w="1107" w:type="pct"/>
            <w:tcBorders>
              <w:top w:val="nil"/>
              <w:left w:val="nil"/>
              <w:bottom w:val="nil"/>
              <w:right w:val="nil"/>
            </w:tcBorders>
            <w:shd w:val="clear" w:color="auto" w:fill="auto"/>
            <w:noWrap/>
            <w:vAlign w:val="bottom"/>
            <w:hideMark/>
          </w:tcPr>
          <w:p w14:paraId="0D6B0961" w14:textId="77777777" w:rsidR="00EF17AE" w:rsidRDefault="00EF17AE">
            <w:pPr>
              <w:jc w:val="right"/>
              <w:rPr>
                <w:rFonts w:ascii="Cambria" w:hAnsi="Cambria" w:cs="Arial"/>
                <w:color w:val="000000"/>
                <w:sz w:val="18"/>
                <w:szCs w:val="18"/>
              </w:rPr>
            </w:pPr>
            <w:r>
              <w:rPr>
                <w:rFonts w:ascii="Cambria" w:hAnsi="Cambria"/>
                <w:color w:val="000000"/>
                <w:sz w:val="18"/>
              </w:rPr>
              <w:t>15 388 541</w:t>
            </w:r>
          </w:p>
        </w:tc>
        <w:tc>
          <w:tcPr>
            <w:tcW w:w="1107" w:type="pct"/>
            <w:tcBorders>
              <w:top w:val="nil"/>
              <w:left w:val="nil"/>
              <w:bottom w:val="nil"/>
              <w:right w:val="nil"/>
            </w:tcBorders>
            <w:shd w:val="clear" w:color="auto" w:fill="auto"/>
            <w:noWrap/>
            <w:vAlign w:val="bottom"/>
            <w:hideMark/>
          </w:tcPr>
          <w:p w14:paraId="5E539917" w14:textId="77777777" w:rsidR="00EF17AE" w:rsidRDefault="00EF17AE">
            <w:pPr>
              <w:jc w:val="right"/>
              <w:rPr>
                <w:rFonts w:ascii="Cambria" w:hAnsi="Cambria" w:cs="Arial"/>
                <w:color w:val="000000"/>
                <w:sz w:val="18"/>
                <w:szCs w:val="18"/>
              </w:rPr>
            </w:pPr>
            <w:r>
              <w:rPr>
                <w:rFonts w:ascii="Cambria" w:hAnsi="Cambria"/>
                <w:color w:val="000000"/>
                <w:sz w:val="18"/>
              </w:rPr>
              <w:t>(1 014 279)</w:t>
            </w:r>
          </w:p>
        </w:tc>
      </w:tr>
      <w:tr w:rsidR="00EF17AE" w14:paraId="74BF732D" w14:textId="77777777" w:rsidTr="00EF17AE">
        <w:trPr>
          <w:trHeight w:val="240"/>
        </w:trPr>
        <w:tc>
          <w:tcPr>
            <w:tcW w:w="1613" w:type="pct"/>
            <w:tcBorders>
              <w:top w:val="nil"/>
              <w:left w:val="nil"/>
              <w:bottom w:val="nil"/>
              <w:right w:val="nil"/>
            </w:tcBorders>
            <w:shd w:val="clear" w:color="auto" w:fill="auto"/>
            <w:noWrap/>
            <w:vAlign w:val="bottom"/>
            <w:hideMark/>
          </w:tcPr>
          <w:p w14:paraId="4C838E72" w14:textId="77777777" w:rsidR="00EF17AE" w:rsidRDefault="00EF17AE">
            <w:pPr>
              <w:rPr>
                <w:rFonts w:ascii="Cambria" w:hAnsi="Cambria" w:cs="Arial"/>
                <w:color w:val="000000"/>
                <w:sz w:val="18"/>
                <w:szCs w:val="18"/>
              </w:rPr>
            </w:pPr>
            <w:r>
              <w:rPr>
                <w:rFonts w:ascii="Cambria" w:hAnsi="Cambria"/>
                <w:color w:val="000000"/>
                <w:sz w:val="18"/>
              </w:rPr>
              <w:t>Encaissement de chèques</w:t>
            </w:r>
          </w:p>
        </w:tc>
        <w:tc>
          <w:tcPr>
            <w:tcW w:w="1173" w:type="pct"/>
            <w:tcBorders>
              <w:top w:val="nil"/>
              <w:left w:val="nil"/>
              <w:bottom w:val="nil"/>
              <w:right w:val="nil"/>
            </w:tcBorders>
            <w:shd w:val="clear" w:color="auto" w:fill="auto"/>
            <w:noWrap/>
            <w:vAlign w:val="bottom"/>
            <w:hideMark/>
          </w:tcPr>
          <w:p w14:paraId="6DFC7B6F" w14:textId="77777777" w:rsidR="00EF17AE" w:rsidRDefault="00EF17AE">
            <w:pPr>
              <w:jc w:val="right"/>
              <w:rPr>
                <w:rFonts w:ascii="Cambria" w:hAnsi="Cambria" w:cs="Arial"/>
                <w:color w:val="000000"/>
                <w:sz w:val="18"/>
                <w:szCs w:val="18"/>
              </w:rPr>
            </w:pPr>
            <w:r>
              <w:rPr>
                <w:rFonts w:ascii="Cambria" w:hAnsi="Cambria"/>
                <w:color w:val="000000"/>
                <w:sz w:val="18"/>
              </w:rPr>
              <w:t>1 106</w:t>
            </w:r>
          </w:p>
        </w:tc>
        <w:tc>
          <w:tcPr>
            <w:tcW w:w="1107" w:type="pct"/>
            <w:tcBorders>
              <w:top w:val="nil"/>
              <w:left w:val="nil"/>
              <w:bottom w:val="nil"/>
              <w:right w:val="nil"/>
            </w:tcBorders>
            <w:shd w:val="clear" w:color="auto" w:fill="auto"/>
            <w:noWrap/>
            <w:vAlign w:val="bottom"/>
            <w:hideMark/>
          </w:tcPr>
          <w:p w14:paraId="0A18513B" w14:textId="77777777" w:rsidR="00EF17AE" w:rsidRDefault="00EF17AE">
            <w:pPr>
              <w:jc w:val="right"/>
              <w:rPr>
                <w:rFonts w:ascii="Cambria" w:hAnsi="Cambria" w:cs="Arial"/>
                <w:color w:val="000000"/>
                <w:sz w:val="18"/>
                <w:szCs w:val="18"/>
              </w:rPr>
            </w:pPr>
            <w:r>
              <w:rPr>
                <w:rFonts w:ascii="Cambria" w:hAnsi="Cambria"/>
                <w:color w:val="000000"/>
                <w:sz w:val="18"/>
              </w:rPr>
              <w:t>0</w:t>
            </w:r>
          </w:p>
        </w:tc>
        <w:tc>
          <w:tcPr>
            <w:tcW w:w="1107" w:type="pct"/>
            <w:tcBorders>
              <w:top w:val="nil"/>
              <w:left w:val="nil"/>
              <w:bottom w:val="nil"/>
              <w:right w:val="nil"/>
            </w:tcBorders>
            <w:shd w:val="clear" w:color="auto" w:fill="auto"/>
            <w:noWrap/>
            <w:vAlign w:val="bottom"/>
            <w:hideMark/>
          </w:tcPr>
          <w:p w14:paraId="61F0FA4E" w14:textId="77777777" w:rsidR="00EF17AE" w:rsidRDefault="00EF17AE">
            <w:pPr>
              <w:jc w:val="right"/>
              <w:rPr>
                <w:rFonts w:ascii="Cambria" w:hAnsi="Cambria" w:cs="Arial"/>
                <w:color w:val="000000"/>
                <w:sz w:val="18"/>
                <w:szCs w:val="18"/>
              </w:rPr>
            </w:pPr>
            <w:r>
              <w:rPr>
                <w:rFonts w:ascii="Cambria" w:hAnsi="Cambria"/>
                <w:color w:val="000000"/>
                <w:sz w:val="18"/>
              </w:rPr>
              <w:t>1 106</w:t>
            </w:r>
          </w:p>
        </w:tc>
      </w:tr>
      <w:tr w:rsidR="00EF17AE" w14:paraId="52004D09" w14:textId="77777777" w:rsidTr="00EF17AE">
        <w:trPr>
          <w:trHeight w:val="240"/>
        </w:trPr>
        <w:tc>
          <w:tcPr>
            <w:tcW w:w="1613" w:type="pct"/>
            <w:tcBorders>
              <w:top w:val="nil"/>
              <w:left w:val="nil"/>
              <w:bottom w:val="nil"/>
              <w:right w:val="nil"/>
            </w:tcBorders>
            <w:shd w:val="clear" w:color="auto" w:fill="auto"/>
            <w:noWrap/>
            <w:vAlign w:val="bottom"/>
            <w:hideMark/>
          </w:tcPr>
          <w:p w14:paraId="6FB27450" w14:textId="77777777" w:rsidR="00EF17AE" w:rsidRDefault="00EF17AE">
            <w:pPr>
              <w:rPr>
                <w:rFonts w:ascii="Cambria" w:hAnsi="Cambria" w:cs="Arial"/>
                <w:color w:val="000000"/>
                <w:sz w:val="18"/>
                <w:szCs w:val="18"/>
              </w:rPr>
            </w:pPr>
            <w:r>
              <w:rPr>
                <w:rFonts w:ascii="Cambria" w:hAnsi="Cambria"/>
                <w:color w:val="000000"/>
                <w:sz w:val="18"/>
              </w:rPr>
              <w:t>Encaisse</w:t>
            </w:r>
          </w:p>
        </w:tc>
        <w:tc>
          <w:tcPr>
            <w:tcW w:w="1173" w:type="pct"/>
            <w:tcBorders>
              <w:top w:val="nil"/>
              <w:left w:val="nil"/>
              <w:bottom w:val="nil"/>
              <w:right w:val="nil"/>
            </w:tcBorders>
            <w:shd w:val="clear" w:color="auto" w:fill="auto"/>
            <w:noWrap/>
            <w:vAlign w:val="bottom"/>
            <w:hideMark/>
          </w:tcPr>
          <w:p w14:paraId="2C2521B7" w14:textId="77777777" w:rsidR="00EF17AE" w:rsidRDefault="00EF17AE">
            <w:pPr>
              <w:jc w:val="right"/>
              <w:rPr>
                <w:rFonts w:ascii="Cambria" w:hAnsi="Cambria" w:cs="Arial"/>
                <w:color w:val="000000"/>
                <w:sz w:val="18"/>
                <w:szCs w:val="18"/>
              </w:rPr>
            </w:pPr>
            <w:r>
              <w:rPr>
                <w:rFonts w:ascii="Cambria" w:hAnsi="Cambria"/>
                <w:color w:val="000000"/>
                <w:sz w:val="18"/>
              </w:rPr>
              <w:t>77 631</w:t>
            </w:r>
          </w:p>
        </w:tc>
        <w:tc>
          <w:tcPr>
            <w:tcW w:w="1107" w:type="pct"/>
            <w:tcBorders>
              <w:top w:val="nil"/>
              <w:left w:val="nil"/>
              <w:bottom w:val="nil"/>
              <w:right w:val="nil"/>
            </w:tcBorders>
            <w:shd w:val="clear" w:color="auto" w:fill="auto"/>
            <w:noWrap/>
            <w:vAlign w:val="bottom"/>
            <w:hideMark/>
          </w:tcPr>
          <w:p w14:paraId="278B3EAD" w14:textId="77777777" w:rsidR="00EF17AE" w:rsidRDefault="00EF17AE">
            <w:pPr>
              <w:jc w:val="right"/>
              <w:rPr>
                <w:rFonts w:ascii="Cambria" w:hAnsi="Cambria" w:cs="Arial"/>
                <w:color w:val="000000"/>
                <w:sz w:val="18"/>
                <w:szCs w:val="18"/>
              </w:rPr>
            </w:pPr>
            <w:r>
              <w:rPr>
                <w:rFonts w:ascii="Cambria" w:hAnsi="Cambria"/>
                <w:color w:val="000000"/>
                <w:sz w:val="18"/>
              </w:rPr>
              <w:t>17 267</w:t>
            </w:r>
          </w:p>
        </w:tc>
        <w:tc>
          <w:tcPr>
            <w:tcW w:w="1107" w:type="pct"/>
            <w:tcBorders>
              <w:top w:val="nil"/>
              <w:left w:val="nil"/>
              <w:bottom w:val="nil"/>
              <w:right w:val="nil"/>
            </w:tcBorders>
            <w:shd w:val="clear" w:color="auto" w:fill="auto"/>
            <w:noWrap/>
            <w:vAlign w:val="bottom"/>
            <w:hideMark/>
          </w:tcPr>
          <w:p w14:paraId="23F03A7B" w14:textId="77777777" w:rsidR="00EF17AE" w:rsidRDefault="00EF17AE">
            <w:pPr>
              <w:jc w:val="right"/>
              <w:rPr>
                <w:rFonts w:ascii="Cambria" w:hAnsi="Cambria" w:cs="Arial"/>
                <w:color w:val="000000"/>
                <w:sz w:val="18"/>
                <w:szCs w:val="18"/>
              </w:rPr>
            </w:pPr>
            <w:r>
              <w:rPr>
                <w:rFonts w:ascii="Cambria" w:hAnsi="Cambria"/>
                <w:color w:val="000000"/>
                <w:sz w:val="18"/>
              </w:rPr>
              <w:t>60 364</w:t>
            </w:r>
          </w:p>
        </w:tc>
      </w:tr>
      <w:tr w:rsidR="00EF17AE" w14:paraId="1D9D89CB" w14:textId="77777777" w:rsidTr="00EF17AE">
        <w:trPr>
          <w:trHeight w:val="255"/>
        </w:trPr>
        <w:tc>
          <w:tcPr>
            <w:tcW w:w="1613" w:type="pct"/>
            <w:tcBorders>
              <w:top w:val="nil"/>
              <w:left w:val="nil"/>
              <w:bottom w:val="nil"/>
              <w:right w:val="nil"/>
            </w:tcBorders>
            <w:shd w:val="clear" w:color="auto" w:fill="auto"/>
            <w:noWrap/>
            <w:vAlign w:val="bottom"/>
            <w:hideMark/>
          </w:tcPr>
          <w:p w14:paraId="70982FA1" w14:textId="0A15749B" w:rsidR="00EF17AE" w:rsidRDefault="00EF17AE">
            <w:pPr>
              <w:rPr>
                <w:rFonts w:ascii="Cambria" w:hAnsi="Cambria" w:cs="Arial"/>
                <w:b/>
                <w:bCs/>
                <w:color w:val="000000"/>
                <w:sz w:val="18"/>
                <w:szCs w:val="18"/>
              </w:rPr>
            </w:pPr>
            <w:r>
              <w:rPr>
                <w:rFonts w:ascii="Cambria" w:hAnsi="Cambria"/>
                <w:b/>
                <w:color w:val="000000"/>
                <w:sz w:val="18"/>
              </w:rPr>
              <w:t>Total Trésorerie et équivalents de trésorerie</w:t>
            </w:r>
          </w:p>
        </w:tc>
        <w:tc>
          <w:tcPr>
            <w:tcW w:w="1173" w:type="pct"/>
            <w:tcBorders>
              <w:top w:val="single" w:sz="4" w:space="0" w:color="auto"/>
              <w:left w:val="nil"/>
              <w:bottom w:val="single" w:sz="8" w:space="0" w:color="auto"/>
              <w:right w:val="nil"/>
            </w:tcBorders>
            <w:shd w:val="clear" w:color="auto" w:fill="auto"/>
            <w:noWrap/>
            <w:vAlign w:val="bottom"/>
            <w:hideMark/>
          </w:tcPr>
          <w:p w14:paraId="196819C5" w14:textId="77777777" w:rsidR="00EF17AE" w:rsidRDefault="00EF17AE">
            <w:pPr>
              <w:jc w:val="right"/>
              <w:rPr>
                <w:rFonts w:ascii="Cambria" w:hAnsi="Cambria" w:cs="Arial"/>
                <w:b/>
                <w:bCs/>
                <w:color w:val="000000"/>
                <w:sz w:val="18"/>
                <w:szCs w:val="18"/>
              </w:rPr>
            </w:pPr>
            <w:r>
              <w:rPr>
                <w:rFonts w:ascii="Cambria" w:hAnsi="Cambria"/>
                <w:b/>
                <w:color w:val="000000"/>
                <w:sz w:val="18"/>
              </w:rPr>
              <w:t>14 452 998</w:t>
            </w:r>
          </w:p>
        </w:tc>
        <w:tc>
          <w:tcPr>
            <w:tcW w:w="1107" w:type="pct"/>
            <w:tcBorders>
              <w:top w:val="single" w:sz="4" w:space="0" w:color="auto"/>
              <w:left w:val="nil"/>
              <w:bottom w:val="single" w:sz="8" w:space="0" w:color="auto"/>
              <w:right w:val="nil"/>
            </w:tcBorders>
            <w:shd w:val="clear" w:color="auto" w:fill="auto"/>
            <w:noWrap/>
            <w:vAlign w:val="bottom"/>
            <w:hideMark/>
          </w:tcPr>
          <w:p w14:paraId="49B14BCB" w14:textId="77777777" w:rsidR="00EF17AE" w:rsidRDefault="00EF17AE">
            <w:pPr>
              <w:jc w:val="right"/>
              <w:rPr>
                <w:rFonts w:ascii="Cambria" w:hAnsi="Cambria" w:cs="Arial"/>
                <w:b/>
                <w:bCs/>
                <w:color w:val="000000"/>
                <w:sz w:val="18"/>
                <w:szCs w:val="18"/>
              </w:rPr>
            </w:pPr>
            <w:r>
              <w:rPr>
                <w:rFonts w:ascii="Cambria" w:hAnsi="Cambria"/>
                <w:b/>
                <w:color w:val="000000"/>
                <w:sz w:val="18"/>
              </w:rPr>
              <w:t>15 405 808</w:t>
            </w:r>
          </w:p>
        </w:tc>
        <w:tc>
          <w:tcPr>
            <w:tcW w:w="1107" w:type="pct"/>
            <w:tcBorders>
              <w:top w:val="single" w:sz="4" w:space="0" w:color="auto"/>
              <w:left w:val="nil"/>
              <w:bottom w:val="single" w:sz="8" w:space="0" w:color="auto"/>
              <w:right w:val="nil"/>
            </w:tcBorders>
            <w:shd w:val="clear" w:color="auto" w:fill="auto"/>
            <w:noWrap/>
            <w:vAlign w:val="bottom"/>
            <w:hideMark/>
          </w:tcPr>
          <w:p w14:paraId="31B5918D" w14:textId="77777777" w:rsidR="00EF17AE" w:rsidRDefault="00EF17AE">
            <w:pPr>
              <w:jc w:val="right"/>
              <w:rPr>
                <w:rFonts w:ascii="Cambria" w:hAnsi="Cambria" w:cs="Arial"/>
                <w:b/>
                <w:bCs/>
                <w:color w:val="000000"/>
                <w:sz w:val="18"/>
                <w:szCs w:val="18"/>
              </w:rPr>
            </w:pPr>
            <w:r>
              <w:rPr>
                <w:rFonts w:ascii="Cambria" w:hAnsi="Cambria"/>
                <w:b/>
                <w:color w:val="000000"/>
                <w:sz w:val="18"/>
              </w:rPr>
              <w:t>(952 809)</w:t>
            </w:r>
          </w:p>
        </w:tc>
      </w:tr>
    </w:tbl>
    <w:p w14:paraId="4915B65B" w14:textId="263C93DF" w:rsidR="00207BFD" w:rsidRDefault="00207BFD" w:rsidP="00E16D12">
      <w:pPr>
        <w:spacing w:after="200" w:line="276" w:lineRule="auto"/>
        <w:jc w:val="both"/>
        <w:rPr>
          <w:rFonts w:ascii="Cambria" w:hAnsi="Cambria"/>
          <w:sz w:val="22"/>
          <w:szCs w:val="22"/>
        </w:rPr>
      </w:pPr>
    </w:p>
    <w:p w14:paraId="007BF135" w14:textId="72503CA2" w:rsidR="00C042F9" w:rsidRPr="00C17031" w:rsidRDefault="00C042F9" w:rsidP="00E16D12">
      <w:pPr>
        <w:spacing w:after="200" w:line="276" w:lineRule="auto"/>
        <w:jc w:val="both"/>
        <w:rPr>
          <w:rFonts w:ascii="Cambria" w:hAnsi="Cambria"/>
          <w:sz w:val="22"/>
          <w:szCs w:val="22"/>
        </w:rPr>
      </w:pPr>
      <w:r>
        <w:rPr>
          <w:rFonts w:ascii="Cambria" w:hAnsi="Cambria"/>
          <w:sz w:val="22"/>
        </w:rPr>
        <w:t>Les valeurs indiquées peuvent être facilement converties en espèces et sont soumises à un risque insignifiant de changement de valeur.</w:t>
      </w:r>
    </w:p>
    <w:p w14:paraId="2DE12225" w14:textId="77777777" w:rsidR="00E16D12" w:rsidRPr="00C402E4" w:rsidRDefault="00E16D12" w:rsidP="00E16D12">
      <w:pPr>
        <w:pStyle w:val="Titolo2"/>
        <w:numPr>
          <w:ilvl w:val="0"/>
          <w:numId w:val="6"/>
        </w:numPr>
        <w:spacing w:line="240" w:lineRule="auto"/>
        <w:ind w:left="357" w:right="0" w:hanging="357"/>
        <w:jc w:val="left"/>
        <w:rPr>
          <w:i w:val="0"/>
        </w:rPr>
      </w:pPr>
      <w:bookmarkStart w:id="142" w:name="_Toc112768674"/>
      <w:r>
        <w:rPr>
          <w:i w:val="0"/>
        </w:rPr>
        <w:t>Capitaux propres</w:t>
      </w:r>
      <w:bookmarkEnd w:id="142"/>
    </w:p>
    <w:p w14:paraId="30E7BF82" w14:textId="77777777" w:rsidR="00E16D12" w:rsidRPr="00C17031" w:rsidRDefault="00E16D12" w:rsidP="00E16D12">
      <w:pPr>
        <w:rPr>
          <w:rFonts w:ascii="Cambria" w:hAnsi="Cambria"/>
        </w:rPr>
      </w:pPr>
    </w:p>
    <w:p w14:paraId="45AAA9F1" w14:textId="532956EB" w:rsidR="00E16D12" w:rsidRDefault="00E16D12" w:rsidP="00E16D12">
      <w:pPr>
        <w:spacing w:after="200" w:line="276" w:lineRule="auto"/>
        <w:jc w:val="both"/>
        <w:rPr>
          <w:rFonts w:ascii="Cambria" w:hAnsi="Cambria"/>
          <w:sz w:val="22"/>
          <w:szCs w:val="22"/>
        </w:rPr>
      </w:pPr>
      <w:r>
        <w:rPr>
          <w:rFonts w:ascii="Cambria" w:hAnsi="Cambria"/>
          <w:sz w:val="22"/>
        </w:rPr>
        <w:t xml:space="preserve">Le capital social de Take Off au 30 juin s'élève à 1 million d'euros, entièrement libéré, et est composé de 10 000 000 d'actions d'une valeur nominale de 0,10 euro. </w:t>
      </w:r>
    </w:p>
    <w:p w14:paraId="5162A951" w14:textId="19860D89" w:rsidR="00B71D22" w:rsidRDefault="004246BA" w:rsidP="00B71D22">
      <w:pPr>
        <w:spacing w:after="200" w:line="276" w:lineRule="auto"/>
        <w:jc w:val="both"/>
        <w:rPr>
          <w:rFonts w:ascii="Cambria" w:hAnsi="Cambria"/>
          <w:sz w:val="22"/>
          <w:szCs w:val="22"/>
        </w:rPr>
      </w:pPr>
      <w:r>
        <w:rPr>
          <w:rFonts w:ascii="Cambria" w:hAnsi="Cambria"/>
          <w:sz w:val="22"/>
        </w:rPr>
        <w:t xml:space="preserve">Le capital social d'OVER au 30 juin s'élevait aussi à 1 million d'euros, entièrement libéré, et se compose de 1 000 000 actions d'une valeur nominale de 1,00 euro. </w:t>
      </w:r>
    </w:p>
    <w:p w14:paraId="5C22D17D" w14:textId="7A1469E4" w:rsidR="00B71D22" w:rsidRDefault="00B71D22" w:rsidP="00B71D22">
      <w:pPr>
        <w:spacing w:after="200" w:line="276" w:lineRule="auto"/>
        <w:jc w:val="both"/>
        <w:rPr>
          <w:rFonts w:ascii="Cambria" w:hAnsi="Cambria"/>
          <w:sz w:val="22"/>
          <w:szCs w:val="22"/>
        </w:rPr>
      </w:pPr>
      <w:r>
        <w:rPr>
          <w:rFonts w:ascii="Cambria" w:hAnsi="Cambria"/>
          <w:sz w:val="22"/>
        </w:rPr>
        <w:t>Au cours de l'exercice 2021, une augmentation de capital gratuite en Over a été réalisée pour un montant de 813 333 euros, par affectation partielle des « Autres réserves » disponibles et attribution gratuite et proportionnelle des nouvelles actions émises aux actionnaires.</w:t>
      </w:r>
    </w:p>
    <w:p w14:paraId="3F465E3A" w14:textId="269969F0" w:rsidR="00E16D12" w:rsidRPr="00C17031" w:rsidRDefault="00E16D12" w:rsidP="00E16D12">
      <w:pPr>
        <w:spacing w:after="200" w:line="276" w:lineRule="auto"/>
        <w:jc w:val="both"/>
        <w:rPr>
          <w:rFonts w:ascii="Cambria" w:hAnsi="Cambria"/>
          <w:sz w:val="22"/>
          <w:szCs w:val="22"/>
        </w:rPr>
      </w:pPr>
      <w:r>
        <w:rPr>
          <w:rFonts w:ascii="Cambria" w:hAnsi="Cambria"/>
          <w:sz w:val="22"/>
        </w:rPr>
        <w:t>L'ensemble des capitaux propres du Groupe au 30 juin 2021 est égal à 9 470 000 euros, avec une diminution de 4 500 000 euros par rapport au 31 décembre 2020, sans tenir compte du résultat de la période, en raison de la distribution respective de dividendes aux actionnaires pour 2 500 000 euros provenant d'une partie du Take Off et pour 2 000 euros par Over ; de ces dividendes, 2 800 000 euros ont été versés aux actionnaires respectifs dans la période de référence.</w:t>
      </w:r>
    </w:p>
    <w:p w14:paraId="0999A6CC" w14:textId="1B0DC275" w:rsidR="00E16D12" w:rsidRPr="00C17031" w:rsidRDefault="00E16D12" w:rsidP="00E16D12">
      <w:pPr>
        <w:spacing w:after="200" w:line="276" w:lineRule="auto"/>
        <w:jc w:val="both"/>
        <w:rPr>
          <w:rFonts w:ascii="Cambria" w:hAnsi="Cambria"/>
          <w:sz w:val="22"/>
          <w:szCs w:val="22"/>
        </w:rPr>
      </w:pPr>
      <w:r>
        <w:rPr>
          <w:rFonts w:ascii="Cambria" w:hAnsi="Cambria"/>
          <w:sz w:val="22"/>
        </w:rPr>
        <w:t>Pour une ventilation des mouvements des capitaux propres au 30 juin 2021, se référer à l'état des mouvements des capitaux propres.</w:t>
      </w:r>
    </w:p>
    <w:p w14:paraId="66A09DC6" w14:textId="05ACFAA7" w:rsidR="00E16D12" w:rsidRDefault="00E16D12" w:rsidP="00E16D12">
      <w:pPr>
        <w:spacing w:after="200" w:line="276" w:lineRule="auto"/>
        <w:jc w:val="both"/>
        <w:rPr>
          <w:rFonts w:ascii="Cambria" w:hAnsi="Cambria"/>
          <w:sz w:val="22"/>
          <w:szCs w:val="22"/>
        </w:rPr>
      </w:pPr>
      <w:r>
        <w:rPr>
          <w:rFonts w:ascii="Cambria" w:hAnsi="Cambria"/>
          <w:sz w:val="22"/>
        </w:rPr>
        <w:t>La composition des réserves au 30 juin 2021 est présentée ci-dessous, par rapport aux mêmes valeurs au 31 décembre 2020 :</w:t>
      </w:r>
    </w:p>
    <w:tbl>
      <w:tblPr>
        <w:tblW w:w="5000" w:type="pct"/>
        <w:tblCellMar>
          <w:left w:w="70" w:type="dxa"/>
          <w:right w:w="70" w:type="dxa"/>
        </w:tblCellMar>
        <w:tblLook w:val="04A0" w:firstRow="1" w:lastRow="0" w:firstColumn="1" w:lastColumn="0" w:noHBand="0" w:noVBand="1"/>
      </w:tblPr>
      <w:tblGrid>
        <w:gridCol w:w="4551"/>
        <w:gridCol w:w="1271"/>
        <w:gridCol w:w="1401"/>
        <w:gridCol w:w="1173"/>
        <w:gridCol w:w="1242"/>
      </w:tblGrid>
      <w:tr w:rsidR="00F01E8A" w14:paraId="3FDBD418" w14:textId="77777777" w:rsidTr="003F166F">
        <w:trPr>
          <w:trHeight w:val="495"/>
        </w:trPr>
        <w:tc>
          <w:tcPr>
            <w:tcW w:w="1567" w:type="pct"/>
            <w:tcBorders>
              <w:top w:val="single" w:sz="4" w:space="0" w:color="0070C0"/>
              <w:left w:val="nil"/>
              <w:bottom w:val="single" w:sz="8" w:space="0" w:color="0070C0"/>
              <w:right w:val="nil"/>
            </w:tcBorders>
            <w:shd w:val="clear" w:color="auto" w:fill="auto"/>
            <w:noWrap/>
            <w:vAlign w:val="bottom"/>
            <w:hideMark/>
          </w:tcPr>
          <w:p w14:paraId="6727D398" w14:textId="77777777" w:rsidR="00F01E8A" w:rsidRDefault="00F01E8A">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858" w:type="pct"/>
            <w:tcBorders>
              <w:top w:val="single" w:sz="4" w:space="0" w:color="0070C0"/>
              <w:left w:val="nil"/>
              <w:bottom w:val="single" w:sz="8" w:space="0" w:color="0070C0"/>
              <w:right w:val="nil"/>
            </w:tcBorders>
            <w:shd w:val="clear" w:color="auto" w:fill="auto"/>
            <w:vAlign w:val="bottom"/>
            <w:hideMark/>
          </w:tcPr>
          <w:p w14:paraId="7DED5C6F" w14:textId="77777777" w:rsidR="00F01E8A" w:rsidRDefault="00F01E8A">
            <w:pPr>
              <w:jc w:val="center"/>
              <w:rPr>
                <w:rFonts w:ascii="Cambria" w:hAnsi="Cambria" w:cs="Arial"/>
                <w:b/>
                <w:bCs/>
                <w:color w:val="000000"/>
                <w:sz w:val="18"/>
                <w:szCs w:val="18"/>
              </w:rPr>
            </w:pPr>
            <w:r>
              <w:rPr>
                <w:rFonts w:ascii="Cambria" w:hAnsi="Cambria"/>
                <w:b/>
                <w:color w:val="000000"/>
                <w:sz w:val="18"/>
              </w:rPr>
              <w:t>31 décembre 2020</w:t>
            </w:r>
          </w:p>
        </w:tc>
        <w:tc>
          <w:tcPr>
            <w:tcW w:w="858" w:type="pct"/>
            <w:tcBorders>
              <w:top w:val="single" w:sz="4" w:space="0" w:color="0070C0"/>
              <w:left w:val="nil"/>
              <w:bottom w:val="single" w:sz="8" w:space="0" w:color="0070C0"/>
              <w:right w:val="nil"/>
            </w:tcBorders>
            <w:shd w:val="clear" w:color="auto" w:fill="auto"/>
            <w:vAlign w:val="bottom"/>
            <w:hideMark/>
          </w:tcPr>
          <w:p w14:paraId="160015F3" w14:textId="77777777" w:rsidR="00F01E8A" w:rsidRDefault="00F01E8A">
            <w:pPr>
              <w:jc w:val="center"/>
              <w:rPr>
                <w:rFonts w:ascii="Cambria" w:hAnsi="Cambria" w:cs="Arial"/>
                <w:b/>
                <w:bCs/>
                <w:color w:val="000000"/>
                <w:sz w:val="18"/>
                <w:szCs w:val="18"/>
              </w:rPr>
            </w:pPr>
            <w:r>
              <w:rPr>
                <w:rFonts w:ascii="Cambria" w:hAnsi="Cambria"/>
                <w:b/>
                <w:color w:val="000000"/>
                <w:sz w:val="18"/>
              </w:rPr>
              <w:t>Augmentations</w:t>
            </w:r>
          </w:p>
        </w:tc>
        <w:tc>
          <w:tcPr>
            <w:tcW w:w="858" w:type="pct"/>
            <w:tcBorders>
              <w:top w:val="single" w:sz="4" w:space="0" w:color="0070C0"/>
              <w:left w:val="nil"/>
              <w:bottom w:val="single" w:sz="8" w:space="0" w:color="0070C0"/>
              <w:right w:val="nil"/>
            </w:tcBorders>
            <w:shd w:val="clear" w:color="auto" w:fill="auto"/>
            <w:vAlign w:val="bottom"/>
            <w:hideMark/>
          </w:tcPr>
          <w:p w14:paraId="1C56B610" w14:textId="77777777" w:rsidR="00F01E8A" w:rsidRDefault="00F01E8A">
            <w:pPr>
              <w:jc w:val="center"/>
              <w:rPr>
                <w:rFonts w:ascii="Cambria" w:hAnsi="Cambria" w:cs="Arial"/>
                <w:b/>
                <w:bCs/>
                <w:color w:val="000000"/>
                <w:sz w:val="18"/>
                <w:szCs w:val="18"/>
              </w:rPr>
            </w:pPr>
            <w:r>
              <w:rPr>
                <w:rFonts w:ascii="Cambria" w:hAnsi="Cambria"/>
                <w:b/>
                <w:color w:val="000000"/>
                <w:sz w:val="18"/>
              </w:rPr>
              <w:t>Diminutions</w:t>
            </w:r>
          </w:p>
        </w:tc>
        <w:tc>
          <w:tcPr>
            <w:tcW w:w="858" w:type="pct"/>
            <w:tcBorders>
              <w:top w:val="single" w:sz="4" w:space="0" w:color="0070C0"/>
              <w:left w:val="nil"/>
              <w:bottom w:val="single" w:sz="8" w:space="0" w:color="0070C0"/>
              <w:right w:val="nil"/>
            </w:tcBorders>
            <w:shd w:val="clear" w:color="auto" w:fill="auto"/>
            <w:vAlign w:val="bottom"/>
            <w:hideMark/>
          </w:tcPr>
          <w:p w14:paraId="1CB6ED83" w14:textId="77777777" w:rsidR="00F01E8A" w:rsidRDefault="00F01E8A">
            <w:pPr>
              <w:jc w:val="center"/>
              <w:rPr>
                <w:rFonts w:ascii="Cambria" w:hAnsi="Cambria" w:cs="Arial"/>
                <w:b/>
                <w:bCs/>
                <w:color w:val="000000"/>
                <w:sz w:val="18"/>
                <w:szCs w:val="18"/>
              </w:rPr>
            </w:pPr>
            <w:r>
              <w:rPr>
                <w:rFonts w:ascii="Cambria" w:hAnsi="Cambria"/>
                <w:b/>
                <w:color w:val="000000"/>
                <w:sz w:val="18"/>
              </w:rPr>
              <w:t xml:space="preserve">Au 30 juin </w:t>
            </w:r>
          </w:p>
          <w:p w14:paraId="459352C9" w14:textId="791B05B5" w:rsidR="00F01E8A" w:rsidRDefault="00F01E8A">
            <w:pPr>
              <w:jc w:val="center"/>
              <w:rPr>
                <w:rFonts w:ascii="Cambria" w:hAnsi="Cambria" w:cs="Arial"/>
                <w:b/>
                <w:bCs/>
                <w:color w:val="000000"/>
                <w:sz w:val="18"/>
                <w:szCs w:val="18"/>
              </w:rPr>
            </w:pPr>
            <w:r>
              <w:rPr>
                <w:rFonts w:ascii="Cambria" w:hAnsi="Cambria"/>
                <w:b/>
                <w:color w:val="000000"/>
                <w:sz w:val="18"/>
              </w:rPr>
              <w:t>2021</w:t>
            </w:r>
          </w:p>
        </w:tc>
      </w:tr>
      <w:tr w:rsidR="00F01E8A" w14:paraId="091F2D5A" w14:textId="77777777" w:rsidTr="003F166F">
        <w:trPr>
          <w:trHeight w:val="228"/>
        </w:trPr>
        <w:tc>
          <w:tcPr>
            <w:tcW w:w="1567" w:type="pct"/>
            <w:tcBorders>
              <w:top w:val="nil"/>
              <w:left w:val="nil"/>
              <w:bottom w:val="nil"/>
              <w:right w:val="nil"/>
            </w:tcBorders>
            <w:shd w:val="clear" w:color="auto" w:fill="auto"/>
            <w:noWrap/>
            <w:vAlign w:val="bottom"/>
            <w:hideMark/>
          </w:tcPr>
          <w:p w14:paraId="6F6465D9" w14:textId="77777777" w:rsidR="00F01E8A" w:rsidRDefault="00F01E8A">
            <w:pPr>
              <w:rPr>
                <w:rFonts w:ascii="Cambria" w:hAnsi="Cambria" w:cs="Arial"/>
                <w:color w:val="000000"/>
                <w:sz w:val="18"/>
                <w:szCs w:val="18"/>
              </w:rPr>
            </w:pPr>
            <w:r>
              <w:rPr>
                <w:rFonts w:ascii="Cambria" w:hAnsi="Cambria"/>
                <w:color w:val="000000"/>
                <w:sz w:val="18"/>
              </w:rPr>
              <w:t>Réserve légale</w:t>
            </w:r>
          </w:p>
        </w:tc>
        <w:tc>
          <w:tcPr>
            <w:tcW w:w="858" w:type="pct"/>
            <w:tcBorders>
              <w:top w:val="nil"/>
              <w:left w:val="nil"/>
              <w:bottom w:val="nil"/>
              <w:right w:val="nil"/>
            </w:tcBorders>
            <w:shd w:val="clear" w:color="auto" w:fill="auto"/>
            <w:noWrap/>
            <w:vAlign w:val="bottom"/>
            <w:hideMark/>
          </w:tcPr>
          <w:p w14:paraId="79A41A75" w14:textId="77777777" w:rsidR="00F01E8A" w:rsidRDefault="00F01E8A">
            <w:pPr>
              <w:jc w:val="right"/>
              <w:rPr>
                <w:rFonts w:ascii="Cambria" w:hAnsi="Cambria" w:cs="Arial"/>
                <w:color w:val="000000"/>
                <w:sz w:val="18"/>
                <w:szCs w:val="18"/>
              </w:rPr>
            </w:pPr>
            <w:r>
              <w:rPr>
                <w:rFonts w:ascii="Cambria" w:hAnsi="Cambria"/>
                <w:color w:val="000000"/>
                <w:sz w:val="18"/>
              </w:rPr>
              <w:t>191 399</w:t>
            </w:r>
          </w:p>
        </w:tc>
        <w:tc>
          <w:tcPr>
            <w:tcW w:w="858" w:type="pct"/>
            <w:tcBorders>
              <w:top w:val="nil"/>
              <w:left w:val="nil"/>
              <w:bottom w:val="nil"/>
              <w:right w:val="nil"/>
            </w:tcBorders>
            <w:shd w:val="clear" w:color="auto" w:fill="auto"/>
            <w:noWrap/>
            <w:vAlign w:val="bottom"/>
            <w:hideMark/>
          </w:tcPr>
          <w:p w14:paraId="2797F89C" w14:textId="77777777" w:rsidR="00F01E8A" w:rsidRDefault="00F01E8A">
            <w:pPr>
              <w:jc w:val="right"/>
              <w:rPr>
                <w:rFonts w:ascii="Cambria" w:hAnsi="Cambria" w:cs="Arial"/>
                <w:color w:val="000000"/>
                <w:sz w:val="18"/>
                <w:szCs w:val="18"/>
              </w:rPr>
            </w:pPr>
            <w:r>
              <w:rPr>
                <w:rFonts w:ascii="Cambria" w:hAnsi="Cambria"/>
                <w:color w:val="000000"/>
                <w:sz w:val="18"/>
              </w:rPr>
              <w:t>45 934</w:t>
            </w:r>
          </w:p>
        </w:tc>
        <w:tc>
          <w:tcPr>
            <w:tcW w:w="858" w:type="pct"/>
            <w:tcBorders>
              <w:top w:val="nil"/>
              <w:left w:val="nil"/>
              <w:bottom w:val="nil"/>
              <w:right w:val="nil"/>
            </w:tcBorders>
            <w:shd w:val="clear" w:color="auto" w:fill="auto"/>
            <w:noWrap/>
            <w:vAlign w:val="bottom"/>
            <w:hideMark/>
          </w:tcPr>
          <w:p w14:paraId="0C294720" w14:textId="77777777" w:rsidR="00F01E8A" w:rsidRDefault="00F01E8A">
            <w:pPr>
              <w:jc w:val="right"/>
              <w:rPr>
                <w:rFonts w:ascii="Cambria" w:hAnsi="Cambria" w:cs="Arial"/>
                <w:color w:val="000000"/>
                <w:sz w:val="18"/>
                <w:szCs w:val="18"/>
              </w:rPr>
            </w:pPr>
            <w:r>
              <w:rPr>
                <w:rFonts w:ascii="Cambria" w:hAnsi="Cambria"/>
                <w:color w:val="000000"/>
                <w:sz w:val="18"/>
              </w:rPr>
              <w:t>0</w:t>
            </w:r>
          </w:p>
        </w:tc>
        <w:tc>
          <w:tcPr>
            <w:tcW w:w="858" w:type="pct"/>
            <w:tcBorders>
              <w:top w:val="nil"/>
              <w:left w:val="nil"/>
              <w:bottom w:val="nil"/>
              <w:right w:val="nil"/>
            </w:tcBorders>
            <w:shd w:val="clear" w:color="auto" w:fill="auto"/>
            <w:noWrap/>
            <w:vAlign w:val="bottom"/>
            <w:hideMark/>
          </w:tcPr>
          <w:p w14:paraId="269A50EC" w14:textId="77777777" w:rsidR="00F01E8A" w:rsidRDefault="00F01E8A">
            <w:pPr>
              <w:jc w:val="right"/>
              <w:rPr>
                <w:rFonts w:ascii="Cambria" w:hAnsi="Cambria" w:cs="Arial"/>
                <w:color w:val="000000"/>
                <w:sz w:val="18"/>
                <w:szCs w:val="18"/>
              </w:rPr>
            </w:pPr>
            <w:r>
              <w:rPr>
                <w:rFonts w:ascii="Cambria" w:hAnsi="Cambria"/>
                <w:color w:val="000000"/>
                <w:sz w:val="18"/>
              </w:rPr>
              <w:t>237 333</w:t>
            </w:r>
          </w:p>
        </w:tc>
      </w:tr>
      <w:tr w:rsidR="00F01E8A" w14:paraId="0708BF8B" w14:textId="77777777" w:rsidTr="003F166F">
        <w:trPr>
          <w:trHeight w:val="228"/>
        </w:trPr>
        <w:tc>
          <w:tcPr>
            <w:tcW w:w="1567" w:type="pct"/>
            <w:tcBorders>
              <w:top w:val="nil"/>
              <w:left w:val="nil"/>
              <w:bottom w:val="nil"/>
              <w:right w:val="nil"/>
            </w:tcBorders>
            <w:shd w:val="clear" w:color="auto" w:fill="auto"/>
            <w:noWrap/>
            <w:vAlign w:val="bottom"/>
            <w:hideMark/>
          </w:tcPr>
          <w:p w14:paraId="0C1B9157" w14:textId="77777777" w:rsidR="00F01E8A" w:rsidRDefault="00F01E8A">
            <w:pPr>
              <w:jc w:val="right"/>
              <w:rPr>
                <w:rFonts w:ascii="Cambria" w:hAnsi="Cambria" w:cs="Arial"/>
                <w:color w:val="000000"/>
                <w:sz w:val="18"/>
                <w:szCs w:val="18"/>
              </w:rPr>
            </w:pPr>
          </w:p>
        </w:tc>
        <w:tc>
          <w:tcPr>
            <w:tcW w:w="858" w:type="pct"/>
            <w:tcBorders>
              <w:top w:val="nil"/>
              <w:left w:val="nil"/>
              <w:bottom w:val="nil"/>
              <w:right w:val="nil"/>
            </w:tcBorders>
            <w:shd w:val="clear" w:color="auto" w:fill="auto"/>
            <w:noWrap/>
            <w:vAlign w:val="bottom"/>
            <w:hideMark/>
          </w:tcPr>
          <w:p w14:paraId="18A38090" w14:textId="77777777" w:rsidR="00F01E8A" w:rsidRDefault="00F01E8A">
            <w:pPr>
              <w:rPr>
                <w:sz w:val="20"/>
                <w:szCs w:val="20"/>
              </w:rPr>
            </w:pPr>
          </w:p>
        </w:tc>
        <w:tc>
          <w:tcPr>
            <w:tcW w:w="858" w:type="pct"/>
            <w:tcBorders>
              <w:top w:val="nil"/>
              <w:left w:val="nil"/>
              <w:bottom w:val="nil"/>
              <w:right w:val="nil"/>
            </w:tcBorders>
            <w:shd w:val="clear" w:color="auto" w:fill="auto"/>
            <w:noWrap/>
            <w:vAlign w:val="bottom"/>
            <w:hideMark/>
          </w:tcPr>
          <w:p w14:paraId="5387D281" w14:textId="77777777" w:rsidR="00F01E8A" w:rsidRDefault="00F01E8A">
            <w:pPr>
              <w:rPr>
                <w:sz w:val="20"/>
                <w:szCs w:val="20"/>
              </w:rPr>
            </w:pPr>
          </w:p>
        </w:tc>
        <w:tc>
          <w:tcPr>
            <w:tcW w:w="858" w:type="pct"/>
            <w:tcBorders>
              <w:top w:val="nil"/>
              <w:left w:val="nil"/>
              <w:bottom w:val="nil"/>
              <w:right w:val="nil"/>
            </w:tcBorders>
            <w:shd w:val="clear" w:color="auto" w:fill="auto"/>
            <w:noWrap/>
            <w:vAlign w:val="bottom"/>
            <w:hideMark/>
          </w:tcPr>
          <w:p w14:paraId="1CA36F90" w14:textId="77777777" w:rsidR="00F01E8A" w:rsidRDefault="00F01E8A">
            <w:pPr>
              <w:rPr>
                <w:sz w:val="20"/>
                <w:szCs w:val="20"/>
              </w:rPr>
            </w:pPr>
          </w:p>
        </w:tc>
        <w:tc>
          <w:tcPr>
            <w:tcW w:w="858" w:type="pct"/>
            <w:tcBorders>
              <w:top w:val="nil"/>
              <w:left w:val="nil"/>
              <w:bottom w:val="nil"/>
              <w:right w:val="nil"/>
            </w:tcBorders>
            <w:shd w:val="clear" w:color="auto" w:fill="auto"/>
            <w:noWrap/>
            <w:vAlign w:val="bottom"/>
            <w:hideMark/>
          </w:tcPr>
          <w:p w14:paraId="44FBB2D7" w14:textId="77777777" w:rsidR="00F01E8A" w:rsidRDefault="00F01E8A">
            <w:pPr>
              <w:rPr>
                <w:sz w:val="20"/>
                <w:szCs w:val="20"/>
              </w:rPr>
            </w:pPr>
          </w:p>
        </w:tc>
      </w:tr>
      <w:tr w:rsidR="00F01E8A" w14:paraId="7692C462" w14:textId="77777777" w:rsidTr="003F166F">
        <w:trPr>
          <w:trHeight w:val="228"/>
        </w:trPr>
        <w:tc>
          <w:tcPr>
            <w:tcW w:w="1567" w:type="pct"/>
            <w:tcBorders>
              <w:top w:val="nil"/>
              <w:left w:val="nil"/>
              <w:bottom w:val="nil"/>
              <w:right w:val="nil"/>
            </w:tcBorders>
            <w:shd w:val="clear" w:color="auto" w:fill="auto"/>
            <w:noWrap/>
            <w:vAlign w:val="bottom"/>
            <w:hideMark/>
          </w:tcPr>
          <w:p w14:paraId="75A8FE60" w14:textId="77777777" w:rsidR="00F01E8A" w:rsidRDefault="00F01E8A">
            <w:pPr>
              <w:rPr>
                <w:rFonts w:ascii="Cambria" w:hAnsi="Cambria" w:cs="Arial"/>
                <w:color w:val="000000"/>
                <w:sz w:val="18"/>
                <w:szCs w:val="18"/>
              </w:rPr>
            </w:pPr>
            <w:r>
              <w:rPr>
                <w:rFonts w:ascii="Cambria" w:hAnsi="Cambria"/>
                <w:color w:val="000000"/>
                <w:sz w:val="18"/>
              </w:rPr>
              <w:t>Réserve de conversion IAS/IFRS</w:t>
            </w:r>
          </w:p>
        </w:tc>
        <w:tc>
          <w:tcPr>
            <w:tcW w:w="858" w:type="pct"/>
            <w:tcBorders>
              <w:top w:val="nil"/>
              <w:left w:val="nil"/>
              <w:bottom w:val="nil"/>
              <w:right w:val="nil"/>
            </w:tcBorders>
            <w:shd w:val="clear" w:color="auto" w:fill="auto"/>
            <w:noWrap/>
            <w:vAlign w:val="bottom"/>
            <w:hideMark/>
          </w:tcPr>
          <w:p w14:paraId="6F33A2A2" w14:textId="77777777" w:rsidR="00F01E8A" w:rsidRDefault="00F01E8A">
            <w:pPr>
              <w:jc w:val="right"/>
              <w:rPr>
                <w:rFonts w:ascii="Cambria" w:hAnsi="Cambria" w:cs="Arial"/>
                <w:color w:val="000000"/>
                <w:sz w:val="18"/>
                <w:szCs w:val="18"/>
              </w:rPr>
            </w:pPr>
            <w:r>
              <w:rPr>
                <w:rFonts w:ascii="Cambria" w:hAnsi="Cambria"/>
                <w:color w:val="000000"/>
                <w:sz w:val="18"/>
              </w:rPr>
              <w:t>2 440 366</w:t>
            </w:r>
          </w:p>
        </w:tc>
        <w:tc>
          <w:tcPr>
            <w:tcW w:w="858" w:type="pct"/>
            <w:tcBorders>
              <w:top w:val="nil"/>
              <w:left w:val="nil"/>
              <w:bottom w:val="nil"/>
              <w:right w:val="nil"/>
            </w:tcBorders>
            <w:shd w:val="clear" w:color="auto" w:fill="auto"/>
            <w:noWrap/>
            <w:vAlign w:val="bottom"/>
            <w:hideMark/>
          </w:tcPr>
          <w:p w14:paraId="2AF30123" w14:textId="77777777" w:rsidR="00F01E8A" w:rsidRDefault="00F01E8A">
            <w:pPr>
              <w:jc w:val="right"/>
              <w:rPr>
                <w:rFonts w:ascii="Cambria" w:hAnsi="Cambria" w:cs="Arial"/>
                <w:color w:val="000000"/>
                <w:sz w:val="18"/>
                <w:szCs w:val="18"/>
              </w:rPr>
            </w:pPr>
            <w:r>
              <w:rPr>
                <w:rFonts w:ascii="Cambria" w:hAnsi="Cambria"/>
                <w:color w:val="000000"/>
                <w:sz w:val="18"/>
              </w:rPr>
              <w:t>0</w:t>
            </w:r>
          </w:p>
        </w:tc>
        <w:tc>
          <w:tcPr>
            <w:tcW w:w="858" w:type="pct"/>
            <w:tcBorders>
              <w:top w:val="nil"/>
              <w:left w:val="nil"/>
              <w:bottom w:val="nil"/>
              <w:right w:val="nil"/>
            </w:tcBorders>
            <w:shd w:val="clear" w:color="auto" w:fill="auto"/>
            <w:noWrap/>
            <w:vAlign w:val="bottom"/>
            <w:hideMark/>
          </w:tcPr>
          <w:p w14:paraId="477F5EED" w14:textId="77777777" w:rsidR="00F01E8A" w:rsidRDefault="00F01E8A">
            <w:pPr>
              <w:jc w:val="right"/>
              <w:rPr>
                <w:rFonts w:ascii="Cambria" w:hAnsi="Cambria" w:cs="Arial"/>
                <w:color w:val="000000"/>
                <w:sz w:val="18"/>
                <w:szCs w:val="18"/>
              </w:rPr>
            </w:pPr>
            <w:r>
              <w:rPr>
                <w:rFonts w:ascii="Cambria" w:hAnsi="Cambria"/>
                <w:color w:val="000000"/>
                <w:sz w:val="18"/>
              </w:rPr>
              <w:t>0</w:t>
            </w:r>
          </w:p>
        </w:tc>
        <w:tc>
          <w:tcPr>
            <w:tcW w:w="858" w:type="pct"/>
            <w:tcBorders>
              <w:top w:val="nil"/>
              <w:left w:val="nil"/>
              <w:bottom w:val="nil"/>
              <w:right w:val="nil"/>
            </w:tcBorders>
            <w:shd w:val="clear" w:color="auto" w:fill="auto"/>
            <w:noWrap/>
            <w:vAlign w:val="bottom"/>
            <w:hideMark/>
          </w:tcPr>
          <w:p w14:paraId="7C698150" w14:textId="77777777" w:rsidR="00F01E8A" w:rsidRDefault="00F01E8A">
            <w:pPr>
              <w:jc w:val="right"/>
              <w:rPr>
                <w:rFonts w:ascii="Cambria" w:hAnsi="Cambria" w:cs="Arial"/>
                <w:color w:val="000000"/>
                <w:sz w:val="18"/>
                <w:szCs w:val="18"/>
              </w:rPr>
            </w:pPr>
            <w:r>
              <w:rPr>
                <w:rFonts w:ascii="Cambria" w:hAnsi="Cambria"/>
                <w:color w:val="000000"/>
                <w:sz w:val="18"/>
              </w:rPr>
              <w:t>2 440 366</w:t>
            </w:r>
          </w:p>
        </w:tc>
      </w:tr>
      <w:tr w:rsidR="00F01E8A" w14:paraId="157DD644" w14:textId="77777777" w:rsidTr="003F166F">
        <w:trPr>
          <w:trHeight w:val="228"/>
        </w:trPr>
        <w:tc>
          <w:tcPr>
            <w:tcW w:w="1567" w:type="pct"/>
            <w:tcBorders>
              <w:top w:val="nil"/>
              <w:left w:val="nil"/>
              <w:bottom w:val="nil"/>
              <w:right w:val="nil"/>
            </w:tcBorders>
            <w:shd w:val="clear" w:color="auto" w:fill="auto"/>
            <w:noWrap/>
            <w:vAlign w:val="bottom"/>
            <w:hideMark/>
          </w:tcPr>
          <w:p w14:paraId="7784DA36" w14:textId="77777777" w:rsidR="00F01E8A" w:rsidRDefault="00F01E8A">
            <w:pPr>
              <w:jc w:val="right"/>
              <w:rPr>
                <w:rFonts w:ascii="Cambria" w:hAnsi="Cambria" w:cs="Arial"/>
                <w:color w:val="000000"/>
                <w:sz w:val="18"/>
                <w:szCs w:val="18"/>
              </w:rPr>
            </w:pPr>
          </w:p>
        </w:tc>
        <w:tc>
          <w:tcPr>
            <w:tcW w:w="858" w:type="pct"/>
            <w:tcBorders>
              <w:top w:val="nil"/>
              <w:left w:val="nil"/>
              <w:bottom w:val="nil"/>
              <w:right w:val="nil"/>
            </w:tcBorders>
            <w:shd w:val="clear" w:color="auto" w:fill="auto"/>
            <w:noWrap/>
            <w:vAlign w:val="bottom"/>
            <w:hideMark/>
          </w:tcPr>
          <w:p w14:paraId="3EB43823" w14:textId="77777777" w:rsidR="00F01E8A" w:rsidRDefault="00F01E8A">
            <w:pPr>
              <w:rPr>
                <w:sz w:val="20"/>
                <w:szCs w:val="20"/>
              </w:rPr>
            </w:pPr>
          </w:p>
        </w:tc>
        <w:tc>
          <w:tcPr>
            <w:tcW w:w="858" w:type="pct"/>
            <w:tcBorders>
              <w:top w:val="nil"/>
              <w:left w:val="nil"/>
              <w:bottom w:val="nil"/>
              <w:right w:val="nil"/>
            </w:tcBorders>
            <w:shd w:val="clear" w:color="auto" w:fill="auto"/>
            <w:noWrap/>
            <w:vAlign w:val="bottom"/>
            <w:hideMark/>
          </w:tcPr>
          <w:p w14:paraId="22DA6D8F" w14:textId="77777777" w:rsidR="00F01E8A" w:rsidRDefault="00F01E8A">
            <w:pPr>
              <w:rPr>
                <w:sz w:val="20"/>
                <w:szCs w:val="20"/>
              </w:rPr>
            </w:pPr>
          </w:p>
        </w:tc>
        <w:tc>
          <w:tcPr>
            <w:tcW w:w="858" w:type="pct"/>
            <w:tcBorders>
              <w:top w:val="nil"/>
              <w:left w:val="nil"/>
              <w:bottom w:val="nil"/>
              <w:right w:val="nil"/>
            </w:tcBorders>
            <w:shd w:val="clear" w:color="auto" w:fill="auto"/>
            <w:noWrap/>
            <w:vAlign w:val="bottom"/>
            <w:hideMark/>
          </w:tcPr>
          <w:p w14:paraId="30A9CE6F" w14:textId="77777777" w:rsidR="00F01E8A" w:rsidRDefault="00F01E8A">
            <w:pPr>
              <w:rPr>
                <w:sz w:val="20"/>
                <w:szCs w:val="20"/>
              </w:rPr>
            </w:pPr>
          </w:p>
        </w:tc>
        <w:tc>
          <w:tcPr>
            <w:tcW w:w="858" w:type="pct"/>
            <w:tcBorders>
              <w:top w:val="nil"/>
              <w:left w:val="nil"/>
              <w:bottom w:val="nil"/>
              <w:right w:val="nil"/>
            </w:tcBorders>
            <w:shd w:val="clear" w:color="auto" w:fill="auto"/>
            <w:noWrap/>
            <w:vAlign w:val="bottom"/>
            <w:hideMark/>
          </w:tcPr>
          <w:p w14:paraId="7D6136BC" w14:textId="77777777" w:rsidR="00F01E8A" w:rsidRDefault="00F01E8A">
            <w:pPr>
              <w:rPr>
                <w:sz w:val="20"/>
                <w:szCs w:val="20"/>
              </w:rPr>
            </w:pPr>
          </w:p>
        </w:tc>
      </w:tr>
      <w:tr w:rsidR="00F01E8A" w14:paraId="29DDA6FF" w14:textId="77777777" w:rsidTr="003F166F">
        <w:trPr>
          <w:trHeight w:val="228"/>
        </w:trPr>
        <w:tc>
          <w:tcPr>
            <w:tcW w:w="1567" w:type="pct"/>
            <w:tcBorders>
              <w:top w:val="nil"/>
              <w:left w:val="nil"/>
              <w:bottom w:val="nil"/>
              <w:right w:val="nil"/>
            </w:tcBorders>
            <w:shd w:val="clear" w:color="auto" w:fill="auto"/>
            <w:noWrap/>
            <w:vAlign w:val="bottom"/>
            <w:hideMark/>
          </w:tcPr>
          <w:p w14:paraId="1791ADDF" w14:textId="77777777" w:rsidR="00F01E8A" w:rsidRDefault="00F01E8A">
            <w:pPr>
              <w:rPr>
                <w:rFonts w:ascii="Cambria" w:hAnsi="Cambria" w:cs="Arial"/>
                <w:color w:val="000000"/>
                <w:sz w:val="18"/>
                <w:szCs w:val="18"/>
              </w:rPr>
            </w:pPr>
            <w:r>
              <w:rPr>
                <w:rFonts w:ascii="Cambria" w:hAnsi="Cambria"/>
                <w:color w:val="000000"/>
                <w:sz w:val="18"/>
              </w:rPr>
              <w:t>Autres réserves</w:t>
            </w:r>
          </w:p>
        </w:tc>
        <w:tc>
          <w:tcPr>
            <w:tcW w:w="858" w:type="pct"/>
            <w:tcBorders>
              <w:top w:val="nil"/>
              <w:left w:val="nil"/>
              <w:bottom w:val="nil"/>
              <w:right w:val="nil"/>
            </w:tcBorders>
            <w:shd w:val="clear" w:color="auto" w:fill="auto"/>
            <w:noWrap/>
            <w:vAlign w:val="bottom"/>
            <w:hideMark/>
          </w:tcPr>
          <w:p w14:paraId="4AC7FC35" w14:textId="77777777" w:rsidR="00F01E8A" w:rsidRDefault="00F01E8A">
            <w:pPr>
              <w:jc w:val="right"/>
              <w:rPr>
                <w:rFonts w:ascii="Cambria" w:hAnsi="Cambria" w:cs="Arial"/>
                <w:color w:val="000000"/>
                <w:sz w:val="18"/>
                <w:szCs w:val="18"/>
              </w:rPr>
            </w:pPr>
            <w:r>
              <w:rPr>
                <w:rFonts w:ascii="Cambria" w:hAnsi="Cambria"/>
                <w:color w:val="000000"/>
                <w:sz w:val="18"/>
              </w:rPr>
              <w:t>3 470 718</w:t>
            </w:r>
          </w:p>
        </w:tc>
        <w:tc>
          <w:tcPr>
            <w:tcW w:w="858" w:type="pct"/>
            <w:tcBorders>
              <w:top w:val="nil"/>
              <w:left w:val="nil"/>
              <w:bottom w:val="nil"/>
              <w:right w:val="nil"/>
            </w:tcBorders>
            <w:shd w:val="clear" w:color="auto" w:fill="auto"/>
            <w:noWrap/>
            <w:vAlign w:val="bottom"/>
            <w:hideMark/>
          </w:tcPr>
          <w:p w14:paraId="75235FEE" w14:textId="77777777" w:rsidR="00F01E8A" w:rsidRDefault="00F01E8A">
            <w:pPr>
              <w:jc w:val="right"/>
              <w:rPr>
                <w:rFonts w:ascii="Cambria" w:hAnsi="Cambria" w:cs="Arial"/>
                <w:color w:val="000000"/>
                <w:sz w:val="18"/>
                <w:szCs w:val="18"/>
              </w:rPr>
            </w:pPr>
            <w:r>
              <w:rPr>
                <w:rFonts w:ascii="Cambria" w:hAnsi="Cambria"/>
                <w:color w:val="000000"/>
                <w:sz w:val="18"/>
              </w:rPr>
              <w:t>4 506 228</w:t>
            </w:r>
          </w:p>
        </w:tc>
        <w:tc>
          <w:tcPr>
            <w:tcW w:w="858" w:type="pct"/>
            <w:tcBorders>
              <w:top w:val="nil"/>
              <w:left w:val="nil"/>
              <w:bottom w:val="nil"/>
              <w:right w:val="nil"/>
            </w:tcBorders>
            <w:shd w:val="clear" w:color="auto" w:fill="auto"/>
            <w:noWrap/>
            <w:vAlign w:val="bottom"/>
            <w:hideMark/>
          </w:tcPr>
          <w:p w14:paraId="69243621" w14:textId="77777777" w:rsidR="00F01E8A" w:rsidRDefault="00F01E8A">
            <w:pPr>
              <w:jc w:val="right"/>
              <w:rPr>
                <w:rFonts w:ascii="Cambria" w:hAnsi="Cambria" w:cs="Arial"/>
                <w:color w:val="000000"/>
                <w:sz w:val="18"/>
                <w:szCs w:val="18"/>
              </w:rPr>
            </w:pPr>
            <w:r>
              <w:rPr>
                <w:rFonts w:ascii="Cambria" w:hAnsi="Cambria"/>
                <w:color w:val="000000"/>
                <w:sz w:val="18"/>
              </w:rPr>
              <w:t>(5 313 333)</w:t>
            </w:r>
          </w:p>
        </w:tc>
        <w:tc>
          <w:tcPr>
            <w:tcW w:w="858" w:type="pct"/>
            <w:tcBorders>
              <w:top w:val="nil"/>
              <w:left w:val="nil"/>
              <w:bottom w:val="nil"/>
              <w:right w:val="nil"/>
            </w:tcBorders>
            <w:shd w:val="clear" w:color="auto" w:fill="auto"/>
            <w:noWrap/>
            <w:vAlign w:val="bottom"/>
            <w:hideMark/>
          </w:tcPr>
          <w:p w14:paraId="2D3D75D1" w14:textId="77777777" w:rsidR="00F01E8A" w:rsidRDefault="00F01E8A">
            <w:pPr>
              <w:jc w:val="right"/>
              <w:rPr>
                <w:rFonts w:ascii="Cambria" w:hAnsi="Cambria" w:cs="Arial"/>
                <w:color w:val="000000"/>
                <w:sz w:val="18"/>
                <w:szCs w:val="18"/>
              </w:rPr>
            </w:pPr>
            <w:r>
              <w:rPr>
                <w:rFonts w:ascii="Cambria" w:hAnsi="Cambria"/>
                <w:color w:val="000000"/>
                <w:sz w:val="18"/>
              </w:rPr>
              <w:t>2 663 613</w:t>
            </w:r>
          </w:p>
        </w:tc>
      </w:tr>
      <w:tr w:rsidR="00F01E8A" w14:paraId="39B7A541" w14:textId="77777777" w:rsidTr="003F166F">
        <w:trPr>
          <w:trHeight w:val="228"/>
        </w:trPr>
        <w:tc>
          <w:tcPr>
            <w:tcW w:w="1567" w:type="pct"/>
            <w:tcBorders>
              <w:top w:val="nil"/>
              <w:left w:val="nil"/>
              <w:bottom w:val="nil"/>
              <w:right w:val="nil"/>
            </w:tcBorders>
            <w:shd w:val="clear" w:color="auto" w:fill="auto"/>
            <w:noWrap/>
            <w:vAlign w:val="bottom"/>
            <w:hideMark/>
          </w:tcPr>
          <w:p w14:paraId="375C56D5" w14:textId="77777777" w:rsidR="00F01E8A" w:rsidRDefault="00F01E8A">
            <w:pPr>
              <w:rPr>
                <w:rFonts w:ascii="Cambria" w:hAnsi="Cambria" w:cs="Arial"/>
                <w:i/>
                <w:iCs/>
                <w:color w:val="000000"/>
                <w:sz w:val="18"/>
                <w:szCs w:val="18"/>
              </w:rPr>
            </w:pPr>
            <w:r>
              <w:rPr>
                <w:rFonts w:ascii="Cambria" w:hAnsi="Cambria"/>
                <w:i/>
                <w:color w:val="000000"/>
                <w:sz w:val="18"/>
              </w:rPr>
              <w:t xml:space="preserve">    Réserve extraordinaire</w:t>
            </w:r>
          </w:p>
        </w:tc>
        <w:tc>
          <w:tcPr>
            <w:tcW w:w="858" w:type="pct"/>
            <w:tcBorders>
              <w:top w:val="nil"/>
              <w:left w:val="nil"/>
              <w:bottom w:val="nil"/>
              <w:right w:val="nil"/>
            </w:tcBorders>
            <w:shd w:val="clear" w:color="auto" w:fill="auto"/>
            <w:noWrap/>
            <w:vAlign w:val="bottom"/>
            <w:hideMark/>
          </w:tcPr>
          <w:p w14:paraId="6C7C0D2E" w14:textId="77777777" w:rsidR="00F01E8A" w:rsidRDefault="00F01E8A">
            <w:pPr>
              <w:jc w:val="right"/>
              <w:rPr>
                <w:rFonts w:ascii="Cambria" w:hAnsi="Cambria" w:cs="Arial"/>
                <w:i/>
                <w:iCs/>
                <w:color w:val="000000"/>
                <w:sz w:val="18"/>
                <w:szCs w:val="18"/>
              </w:rPr>
            </w:pPr>
            <w:r>
              <w:rPr>
                <w:rFonts w:ascii="Cambria" w:hAnsi="Cambria"/>
                <w:i/>
                <w:color w:val="000000"/>
                <w:sz w:val="18"/>
              </w:rPr>
              <w:t>3 433 354</w:t>
            </w:r>
          </w:p>
        </w:tc>
        <w:tc>
          <w:tcPr>
            <w:tcW w:w="858" w:type="pct"/>
            <w:tcBorders>
              <w:top w:val="nil"/>
              <w:left w:val="nil"/>
              <w:bottom w:val="nil"/>
              <w:right w:val="nil"/>
            </w:tcBorders>
            <w:shd w:val="clear" w:color="auto" w:fill="auto"/>
            <w:noWrap/>
            <w:vAlign w:val="bottom"/>
            <w:hideMark/>
          </w:tcPr>
          <w:p w14:paraId="6E129BD0" w14:textId="77777777" w:rsidR="00F01E8A" w:rsidRDefault="00F01E8A">
            <w:pPr>
              <w:jc w:val="right"/>
              <w:rPr>
                <w:rFonts w:ascii="Cambria" w:hAnsi="Cambria" w:cs="Arial"/>
                <w:i/>
                <w:iCs/>
                <w:color w:val="000000"/>
                <w:sz w:val="18"/>
                <w:szCs w:val="18"/>
              </w:rPr>
            </w:pPr>
            <w:r>
              <w:rPr>
                <w:rFonts w:ascii="Cambria" w:hAnsi="Cambria"/>
                <w:i/>
                <w:color w:val="000000"/>
                <w:sz w:val="18"/>
              </w:rPr>
              <w:t>4 338 010</w:t>
            </w:r>
          </w:p>
        </w:tc>
        <w:tc>
          <w:tcPr>
            <w:tcW w:w="858" w:type="pct"/>
            <w:tcBorders>
              <w:top w:val="nil"/>
              <w:left w:val="nil"/>
              <w:bottom w:val="nil"/>
              <w:right w:val="nil"/>
            </w:tcBorders>
            <w:shd w:val="clear" w:color="auto" w:fill="auto"/>
            <w:noWrap/>
            <w:vAlign w:val="bottom"/>
            <w:hideMark/>
          </w:tcPr>
          <w:p w14:paraId="5AF06F60" w14:textId="77777777" w:rsidR="00F01E8A" w:rsidRDefault="00F01E8A">
            <w:pPr>
              <w:jc w:val="right"/>
              <w:rPr>
                <w:rFonts w:ascii="Cambria" w:hAnsi="Cambria" w:cs="Arial"/>
                <w:i/>
                <w:iCs/>
                <w:color w:val="000000"/>
                <w:sz w:val="18"/>
                <w:szCs w:val="18"/>
              </w:rPr>
            </w:pPr>
            <w:r>
              <w:rPr>
                <w:rFonts w:ascii="Cambria" w:hAnsi="Cambria"/>
                <w:i/>
                <w:color w:val="000000"/>
                <w:sz w:val="18"/>
              </w:rPr>
              <w:t>(5 153 333)</w:t>
            </w:r>
          </w:p>
        </w:tc>
        <w:tc>
          <w:tcPr>
            <w:tcW w:w="858" w:type="pct"/>
            <w:tcBorders>
              <w:top w:val="nil"/>
              <w:left w:val="nil"/>
              <w:bottom w:val="nil"/>
              <w:right w:val="nil"/>
            </w:tcBorders>
            <w:shd w:val="clear" w:color="auto" w:fill="auto"/>
            <w:noWrap/>
            <w:vAlign w:val="bottom"/>
            <w:hideMark/>
          </w:tcPr>
          <w:p w14:paraId="54ED969B" w14:textId="77777777" w:rsidR="00F01E8A" w:rsidRDefault="00F01E8A">
            <w:pPr>
              <w:jc w:val="right"/>
              <w:rPr>
                <w:rFonts w:ascii="Cambria" w:hAnsi="Cambria" w:cs="Arial"/>
                <w:i/>
                <w:iCs/>
                <w:color w:val="000000"/>
                <w:sz w:val="18"/>
                <w:szCs w:val="18"/>
              </w:rPr>
            </w:pPr>
            <w:r>
              <w:rPr>
                <w:rFonts w:ascii="Cambria" w:hAnsi="Cambria"/>
                <w:i/>
                <w:color w:val="000000"/>
                <w:sz w:val="18"/>
              </w:rPr>
              <w:t>2 618 031</w:t>
            </w:r>
          </w:p>
        </w:tc>
      </w:tr>
      <w:tr w:rsidR="00F01E8A" w14:paraId="44E89558" w14:textId="77777777" w:rsidTr="003F166F">
        <w:trPr>
          <w:trHeight w:val="228"/>
        </w:trPr>
        <w:tc>
          <w:tcPr>
            <w:tcW w:w="1567" w:type="pct"/>
            <w:tcBorders>
              <w:top w:val="nil"/>
              <w:left w:val="nil"/>
              <w:bottom w:val="nil"/>
              <w:right w:val="nil"/>
            </w:tcBorders>
            <w:shd w:val="clear" w:color="auto" w:fill="auto"/>
            <w:noWrap/>
            <w:vAlign w:val="bottom"/>
            <w:hideMark/>
          </w:tcPr>
          <w:p w14:paraId="554B8C7F" w14:textId="77777777" w:rsidR="00F01E8A" w:rsidRDefault="00F01E8A">
            <w:pPr>
              <w:rPr>
                <w:rFonts w:ascii="Cambria" w:hAnsi="Cambria" w:cs="Arial"/>
                <w:i/>
                <w:iCs/>
                <w:color w:val="000000"/>
                <w:sz w:val="18"/>
                <w:szCs w:val="18"/>
              </w:rPr>
            </w:pPr>
            <w:r>
              <w:rPr>
                <w:rFonts w:ascii="Cambria" w:hAnsi="Cambria"/>
                <w:i/>
                <w:color w:val="000000"/>
                <w:sz w:val="18"/>
              </w:rPr>
              <w:t xml:space="preserve">   Autre réserve de capital</w:t>
            </w:r>
          </w:p>
        </w:tc>
        <w:tc>
          <w:tcPr>
            <w:tcW w:w="858" w:type="pct"/>
            <w:tcBorders>
              <w:top w:val="nil"/>
              <w:left w:val="nil"/>
              <w:bottom w:val="nil"/>
              <w:right w:val="nil"/>
            </w:tcBorders>
            <w:shd w:val="clear" w:color="auto" w:fill="auto"/>
            <w:noWrap/>
            <w:vAlign w:val="bottom"/>
            <w:hideMark/>
          </w:tcPr>
          <w:p w14:paraId="4E59D4D4" w14:textId="77777777" w:rsidR="00F01E8A" w:rsidRDefault="00F01E8A">
            <w:pPr>
              <w:jc w:val="right"/>
              <w:rPr>
                <w:rFonts w:ascii="Cambria" w:hAnsi="Cambria" w:cs="Arial"/>
                <w:i/>
                <w:iCs/>
                <w:color w:val="000000"/>
                <w:sz w:val="18"/>
                <w:szCs w:val="18"/>
              </w:rPr>
            </w:pPr>
            <w:r>
              <w:rPr>
                <w:rFonts w:ascii="Cambria" w:hAnsi="Cambria"/>
                <w:i/>
                <w:color w:val="000000"/>
                <w:sz w:val="18"/>
              </w:rPr>
              <w:t>160 000</w:t>
            </w:r>
          </w:p>
        </w:tc>
        <w:tc>
          <w:tcPr>
            <w:tcW w:w="858" w:type="pct"/>
            <w:tcBorders>
              <w:top w:val="nil"/>
              <w:left w:val="nil"/>
              <w:bottom w:val="nil"/>
              <w:right w:val="nil"/>
            </w:tcBorders>
            <w:shd w:val="clear" w:color="auto" w:fill="auto"/>
            <w:noWrap/>
            <w:vAlign w:val="bottom"/>
            <w:hideMark/>
          </w:tcPr>
          <w:p w14:paraId="6746AA0C" w14:textId="77777777" w:rsidR="00F01E8A" w:rsidRDefault="00F01E8A">
            <w:pPr>
              <w:jc w:val="right"/>
              <w:rPr>
                <w:rFonts w:ascii="Cambria" w:hAnsi="Cambria" w:cs="Arial"/>
                <w:i/>
                <w:iCs/>
                <w:color w:val="000000"/>
                <w:sz w:val="18"/>
                <w:szCs w:val="18"/>
              </w:rPr>
            </w:pPr>
            <w:r>
              <w:rPr>
                <w:rFonts w:ascii="Cambria" w:hAnsi="Cambria"/>
                <w:i/>
                <w:color w:val="000000"/>
                <w:sz w:val="18"/>
              </w:rPr>
              <w:t>0</w:t>
            </w:r>
          </w:p>
        </w:tc>
        <w:tc>
          <w:tcPr>
            <w:tcW w:w="858" w:type="pct"/>
            <w:tcBorders>
              <w:top w:val="nil"/>
              <w:left w:val="nil"/>
              <w:bottom w:val="nil"/>
              <w:right w:val="nil"/>
            </w:tcBorders>
            <w:shd w:val="clear" w:color="auto" w:fill="auto"/>
            <w:noWrap/>
            <w:vAlign w:val="bottom"/>
            <w:hideMark/>
          </w:tcPr>
          <w:p w14:paraId="1CF670D1" w14:textId="77777777" w:rsidR="00F01E8A" w:rsidRDefault="00F01E8A">
            <w:pPr>
              <w:jc w:val="right"/>
              <w:rPr>
                <w:rFonts w:ascii="Cambria" w:hAnsi="Cambria" w:cs="Arial"/>
                <w:i/>
                <w:iCs/>
                <w:color w:val="000000"/>
                <w:sz w:val="18"/>
                <w:szCs w:val="18"/>
              </w:rPr>
            </w:pPr>
            <w:r>
              <w:rPr>
                <w:rFonts w:ascii="Cambria" w:hAnsi="Cambria"/>
                <w:i/>
                <w:color w:val="000000"/>
                <w:sz w:val="18"/>
              </w:rPr>
              <w:t>(160 000)</w:t>
            </w:r>
          </w:p>
        </w:tc>
        <w:tc>
          <w:tcPr>
            <w:tcW w:w="858" w:type="pct"/>
            <w:tcBorders>
              <w:top w:val="nil"/>
              <w:left w:val="nil"/>
              <w:bottom w:val="nil"/>
              <w:right w:val="nil"/>
            </w:tcBorders>
            <w:shd w:val="clear" w:color="auto" w:fill="auto"/>
            <w:noWrap/>
            <w:vAlign w:val="bottom"/>
            <w:hideMark/>
          </w:tcPr>
          <w:p w14:paraId="3552CF54" w14:textId="77777777" w:rsidR="00F01E8A" w:rsidRDefault="00F01E8A">
            <w:pPr>
              <w:jc w:val="right"/>
              <w:rPr>
                <w:rFonts w:ascii="Cambria" w:hAnsi="Cambria" w:cs="Arial"/>
                <w:i/>
                <w:iCs/>
                <w:color w:val="000000"/>
                <w:sz w:val="18"/>
                <w:szCs w:val="18"/>
              </w:rPr>
            </w:pPr>
            <w:r>
              <w:rPr>
                <w:rFonts w:ascii="Cambria" w:hAnsi="Cambria"/>
                <w:i/>
                <w:color w:val="000000"/>
                <w:sz w:val="18"/>
              </w:rPr>
              <w:t>0</w:t>
            </w:r>
          </w:p>
        </w:tc>
      </w:tr>
      <w:tr w:rsidR="00F01E8A" w14:paraId="65638F3F" w14:textId="77777777" w:rsidTr="003F166F">
        <w:trPr>
          <w:trHeight w:val="228"/>
        </w:trPr>
        <w:tc>
          <w:tcPr>
            <w:tcW w:w="1567" w:type="pct"/>
            <w:tcBorders>
              <w:top w:val="nil"/>
              <w:left w:val="nil"/>
              <w:bottom w:val="nil"/>
              <w:right w:val="nil"/>
            </w:tcBorders>
            <w:shd w:val="clear" w:color="auto" w:fill="auto"/>
            <w:noWrap/>
            <w:vAlign w:val="bottom"/>
            <w:hideMark/>
          </w:tcPr>
          <w:p w14:paraId="29B623EB" w14:textId="77777777" w:rsidR="00F01E8A" w:rsidRDefault="00F01E8A">
            <w:pPr>
              <w:rPr>
                <w:rFonts w:ascii="Cambria" w:hAnsi="Cambria" w:cs="Arial"/>
                <w:i/>
                <w:iCs/>
                <w:color w:val="000000"/>
                <w:sz w:val="18"/>
                <w:szCs w:val="18"/>
              </w:rPr>
            </w:pPr>
            <w:r>
              <w:rPr>
                <w:rFonts w:ascii="Cambria" w:hAnsi="Cambria"/>
                <w:i/>
                <w:color w:val="000000"/>
                <w:sz w:val="18"/>
              </w:rPr>
              <w:t xml:space="preserve">   Réserve pour les régimes de prévoyance (OCI) - actualisée</w:t>
            </w:r>
          </w:p>
        </w:tc>
        <w:tc>
          <w:tcPr>
            <w:tcW w:w="858" w:type="pct"/>
            <w:tcBorders>
              <w:top w:val="nil"/>
              <w:left w:val="nil"/>
              <w:bottom w:val="nil"/>
              <w:right w:val="nil"/>
            </w:tcBorders>
            <w:shd w:val="clear" w:color="auto" w:fill="auto"/>
            <w:noWrap/>
            <w:vAlign w:val="bottom"/>
            <w:hideMark/>
          </w:tcPr>
          <w:p w14:paraId="4B8CA4C5" w14:textId="77777777" w:rsidR="00F01E8A" w:rsidRDefault="00F01E8A">
            <w:pPr>
              <w:jc w:val="right"/>
              <w:rPr>
                <w:rFonts w:ascii="Cambria" w:hAnsi="Cambria" w:cs="Arial"/>
                <w:i/>
                <w:iCs/>
                <w:color w:val="000000"/>
                <w:sz w:val="18"/>
                <w:szCs w:val="18"/>
              </w:rPr>
            </w:pPr>
            <w:r>
              <w:rPr>
                <w:rFonts w:ascii="Cambria" w:hAnsi="Cambria"/>
                <w:i/>
                <w:color w:val="000000"/>
                <w:sz w:val="18"/>
              </w:rPr>
              <w:t>(122 636)</w:t>
            </w:r>
          </w:p>
        </w:tc>
        <w:tc>
          <w:tcPr>
            <w:tcW w:w="858" w:type="pct"/>
            <w:tcBorders>
              <w:top w:val="nil"/>
              <w:left w:val="nil"/>
              <w:bottom w:val="nil"/>
              <w:right w:val="nil"/>
            </w:tcBorders>
            <w:shd w:val="clear" w:color="auto" w:fill="auto"/>
            <w:noWrap/>
            <w:vAlign w:val="bottom"/>
            <w:hideMark/>
          </w:tcPr>
          <w:p w14:paraId="6D99EE75" w14:textId="77777777" w:rsidR="00F01E8A" w:rsidRDefault="00F01E8A">
            <w:pPr>
              <w:jc w:val="right"/>
              <w:rPr>
                <w:rFonts w:ascii="Cambria" w:hAnsi="Cambria" w:cs="Arial"/>
                <w:i/>
                <w:iCs/>
                <w:color w:val="000000"/>
                <w:sz w:val="18"/>
                <w:szCs w:val="18"/>
              </w:rPr>
            </w:pPr>
            <w:r>
              <w:rPr>
                <w:rFonts w:ascii="Cambria" w:hAnsi="Cambria"/>
                <w:i/>
                <w:color w:val="000000"/>
                <w:sz w:val="18"/>
              </w:rPr>
              <w:t>3 078</w:t>
            </w:r>
          </w:p>
        </w:tc>
        <w:tc>
          <w:tcPr>
            <w:tcW w:w="858" w:type="pct"/>
            <w:tcBorders>
              <w:top w:val="nil"/>
              <w:left w:val="nil"/>
              <w:bottom w:val="nil"/>
              <w:right w:val="nil"/>
            </w:tcBorders>
            <w:shd w:val="clear" w:color="auto" w:fill="auto"/>
            <w:noWrap/>
            <w:vAlign w:val="bottom"/>
            <w:hideMark/>
          </w:tcPr>
          <w:p w14:paraId="455DF6FD" w14:textId="77777777" w:rsidR="00F01E8A" w:rsidRDefault="00F01E8A">
            <w:pPr>
              <w:jc w:val="right"/>
              <w:rPr>
                <w:rFonts w:ascii="Cambria" w:hAnsi="Cambria" w:cs="Arial"/>
                <w:i/>
                <w:iCs/>
                <w:color w:val="000000"/>
                <w:sz w:val="18"/>
                <w:szCs w:val="18"/>
              </w:rPr>
            </w:pPr>
          </w:p>
        </w:tc>
        <w:tc>
          <w:tcPr>
            <w:tcW w:w="858" w:type="pct"/>
            <w:tcBorders>
              <w:top w:val="nil"/>
              <w:left w:val="nil"/>
              <w:bottom w:val="nil"/>
              <w:right w:val="nil"/>
            </w:tcBorders>
            <w:shd w:val="clear" w:color="auto" w:fill="auto"/>
            <w:noWrap/>
            <w:vAlign w:val="bottom"/>
            <w:hideMark/>
          </w:tcPr>
          <w:p w14:paraId="40D924BF" w14:textId="77777777" w:rsidR="00F01E8A" w:rsidRDefault="00F01E8A">
            <w:pPr>
              <w:jc w:val="right"/>
              <w:rPr>
                <w:rFonts w:ascii="Cambria" w:hAnsi="Cambria" w:cs="Arial"/>
                <w:i/>
                <w:iCs/>
                <w:color w:val="000000"/>
                <w:sz w:val="18"/>
                <w:szCs w:val="18"/>
              </w:rPr>
            </w:pPr>
            <w:r>
              <w:rPr>
                <w:rFonts w:ascii="Cambria" w:hAnsi="Cambria"/>
                <w:i/>
                <w:color w:val="000000"/>
                <w:sz w:val="18"/>
              </w:rPr>
              <w:t>(119 557)</w:t>
            </w:r>
          </w:p>
        </w:tc>
      </w:tr>
      <w:tr w:rsidR="00F01E8A" w14:paraId="079D3715" w14:textId="77777777" w:rsidTr="003F166F">
        <w:trPr>
          <w:trHeight w:val="228"/>
        </w:trPr>
        <w:tc>
          <w:tcPr>
            <w:tcW w:w="1567" w:type="pct"/>
            <w:tcBorders>
              <w:top w:val="nil"/>
              <w:left w:val="nil"/>
              <w:bottom w:val="nil"/>
              <w:right w:val="nil"/>
            </w:tcBorders>
            <w:shd w:val="clear" w:color="auto" w:fill="auto"/>
            <w:noWrap/>
            <w:vAlign w:val="bottom"/>
            <w:hideMark/>
          </w:tcPr>
          <w:p w14:paraId="377B5840" w14:textId="77777777" w:rsidR="00F01E8A" w:rsidRDefault="00F01E8A">
            <w:pPr>
              <w:rPr>
                <w:rFonts w:ascii="Cambria" w:hAnsi="Cambria" w:cs="Arial"/>
                <w:i/>
                <w:iCs/>
                <w:color w:val="000000"/>
                <w:sz w:val="18"/>
                <w:szCs w:val="18"/>
              </w:rPr>
            </w:pPr>
            <w:r>
              <w:rPr>
                <w:rFonts w:ascii="Cambria" w:hAnsi="Cambria"/>
                <w:i/>
                <w:color w:val="000000"/>
                <w:sz w:val="18"/>
              </w:rPr>
              <w:t xml:space="preserve">  Réserve pour bénéfices de change</w:t>
            </w:r>
          </w:p>
        </w:tc>
        <w:tc>
          <w:tcPr>
            <w:tcW w:w="858" w:type="pct"/>
            <w:tcBorders>
              <w:top w:val="nil"/>
              <w:left w:val="nil"/>
              <w:bottom w:val="nil"/>
              <w:right w:val="nil"/>
            </w:tcBorders>
            <w:shd w:val="clear" w:color="auto" w:fill="auto"/>
            <w:noWrap/>
            <w:vAlign w:val="bottom"/>
            <w:hideMark/>
          </w:tcPr>
          <w:p w14:paraId="11F56C77" w14:textId="77777777" w:rsidR="00F01E8A" w:rsidRDefault="00F01E8A">
            <w:pPr>
              <w:jc w:val="right"/>
              <w:rPr>
                <w:rFonts w:ascii="Cambria" w:hAnsi="Cambria" w:cs="Arial"/>
                <w:i/>
                <w:iCs/>
                <w:color w:val="000000"/>
                <w:sz w:val="18"/>
                <w:szCs w:val="18"/>
              </w:rPr>
            </w:pPr>
            <w:r>
              <w:rPr>
                <w:rFonts w:ascii="Cambria" w:hAnsi="Cambria"/>
                <w:i/>
                <w:color w:val="000000"/>
                <w:sz w:val="18"/>
              </w:rPr>
              <w:t>0</w:t>
            </w:r>
          </w:p>
        </w:tc>
        <w:tc>
          <w:tcPr>
            <w:tcW w:w="858" w:type="pct"/>
            <w:tcBorders>
              <w:top w:val="nil"/>
              <w:left w:val="nil"/>
              <w:bottom w:val="nil"/>
              <w:right w:val="nil"/>
            </w:tcBorders>
            <w:shd w:val="clear" w:color="auto" w:fill="auto"/>
            <w:noWrap/>
            <w:vAlign w:val="bottom"/>
            <w:hideMark/>
          </w:tcPr>
          <w:p w14:paraId="0F4EC336" w14:textId="77777777" w:rsidR="00F01E8A" w:rsidRDefault="00F01E8A">
            <w:pPr>
              <w:jc w:val="right"/>
              <w:rPr>
                <w:rFonts w:ascii="Cambria" w:hAnsi="Cambria" w:cs="Arial"/>
                <w:i/>
                <w:iCs/>
                <w:color w:val="000000"/>
                <w:sz w:val="18"/>
                <w:szCs w:val="18"/>
              </w:rPr>
            </w:pPr>
            <w:r>
              <w:rPr>
                <w:rFonts w:ascii="Cambria" w:hAnsi="Cambria"/>
                <w:i/>
                <w:color w:val="000000"/>
                <w:sz w:val="18"/>
              </w:rPr>
              <w:t>165 140</w:t>
            </w:r>
          </w:p>
        </w:tc>
        <w:tc>
          <w:tcPr>
            <w:tcW w:w="858" w:type="pct"/>
            <w:tcBorders>
              <w:top w:val="nil"/>
              <w:left w:val="nil"/>
              <w:bottom w:val="nil"/>
              <w:right w:val="nil"/>
            </w:tcBorders>
            <w:shd w:val="clear" w:color="auto" w:fill="auto"/>
            <w:noWrap/>
            <w:vAlign w:val="bottom"/>
            <w:hideMark/>
          </w:tcPr>
          <w:p w14:paraId="5BA3A803" w14:textId="77777777" w:rsidR="00F01E8A" w:rsidRDefault="00F01E8A">
            <w:pPr>
              <w:jc w:val="right"/>
              <w:rPr>
                <w:rFonts w:ascii="Cambria" w:hAnsi="Cambria" w:cs="Arial"/>
                <w:i/>
                <w:iCs/>
                <w:color w:val="000000"/>
                <w:sz w:val="18"/>
                <w:szCs w:val="18"/>
              </w:rPr>
            </w:pPr>
          </w:p>
        </w:tc>
        <w:tc>
          <w:tcPr>
            <w:tcW w:w="858" w:type="pct"/>
            <w:tcBorders>
              <w:top w:val="nil"/>
              <w:left w:val="nil"/>
              <w:bottom w:val="nil"/>
              <w:right w:val="nil"/>
            </w:tcBorders>
            <w:shd w:val="clear" w:color="auto" w:fill="auto"/>
            <w:noWrap/>
            <w:vAlign w:val="bottom"/>
            <w:hideMark/>
          </w:tcPr>
          <w:p w14:paraId="30715A2D" w14:textId="77777777" w:rsidR="00F01E8A" w:rsidRDefault="00F01E8A">
            <w:pPr>
              <w:jc w:val="right"/>
              <w:rPr>
                <w:rFonts w:ascii="Cambria" w:hAnsi="Cambria" w:cs="Arial"/>
                <w:i/>
                <w:iCs/>
                <w:color w:val="000000"/>
                <w:sz w:val="18"/>
                <w:szCs w:val="18"/>
              </w:rPr>
            </w:pPr>
            <w:r>
              <w:rPr>
                <w:rFonts w:ascii="Cambria" w:hAnsi="Cambria"/>
                <w:i/>
                <w:color w:val="000000"/>
                <w:sz w:val="18"/>
              </w:rPr>
              <w:t>165 140</w:t>
            </w:r>
          </w:p>
        </w:tc>
      </w:tr>
      <w:tr w:rsidR="00F01E8A" w14:paraId="67BADF8B" w14:textId="77777777" w:rsidTr="003F166F">
        <w:trPr>
          <w:trHeight w:val="228"/>
        </w:trPr>
        <w:tc>
          <w:tcPr>
            <w:tcW w:w="1567" w:type="pct"/>
            <w:tcBorders>
              <w:top w:val="nil"/>
              <w:left w:val="nil"/>
              <w:bottom w:val="nil"/>
              <w:right w:val="nil"/>
            </w:tcBorders>
            <w:shd w:val="clear" w:color="auto" w:fill="auto"/>
            <w:noWrap/>
            <w:vAlign w:val="bottom"/>
            <w:hideMark/>
          </w:tcPr>
          <w:p w14:paraId="3556E617" w14:textId="77777777" w:rsidR="00F01E8A" w:rsidRDefault="00F01E8A">
            <w:pPr>
              <w:jc w:val="right"/>
              <w:rPr>
                <w:rFonts w:ascii="Cambria" w:hAnsi="Cambria" w:cs="Arial"/>
                <w:i/>
                <w:iCs/>
                <w:color w:val="000000"/>
                <w:sz w:val="18"/>
                <w:szCs w:val="18"/>
              </w:rPr>
            </w:pPr>
          </w:p>
        </w:tc>
        <w:tc>
          <w:tcPr>
            <w:tcW w:w="858" w:type="pct"/>
            <w:tcBorders>
              <w:top w:val="nil"/>
              <w:left w:val="nil"/>
              <w:bottom w:val="nil"/>
              <w:right w:val="nil"/>
            </w:tcBorders>
            <w:shd w:val="clear" w:color="auto" w:fill="auto"/>
            <w:noWrap/>
            <w:vAlign w:val="bottom"/>
            <w:hideMark/>
          </w:tcPr>
          <w:p w14:paraId="61C5C271" w14:textId="77777777" w:rsidR="00F01E8A" w:rsidRDefault="00F01E8A">
            <w:pPr>
              <w:rPr>
                <w:sz w:val="20"/>
                <w:szCs w:val="20"/>
              </w:rPr>
            </w:pPr>
          </w:p>
        </w:tc>
        <w:tc>
          <w:tcPr>
            <w:tcW w:w="858" w:type="pct"/>
            <w:tcBorders>
              <w:top w:val="nil"/>
              <w:left w:val="nil"/>
              <w:bottom w:val="nil"/>
              <w:right w:val="nil"/>
            </w:tcBorders>
            <w:shd w:val="clear" w:color="auto" w:fill="auto"/>
            <w:noWrap/>
            <w:vAlign w:val="bottom"/>
            <w:hideMark/>
          </w:tcPr>
          <w:p w14:paraId="7AC14AD4" w14:textId="77777777" w:rsidR="00F01E8A" w:rsidRDefault="00F01E8A">
            <w:pPr>
              <w:rPr>
                <w:sz w:val="20"/>
                <w:szCs w:val="20"/>
              </w:rPr>
            </w:pPr>
          </w:p>
        </w:tc>
        <w:tc>
          <w:tcPr>
            <w:tcW w:w="858" w:type="pct"/>
            <w:tcBorders>
              <w:top w:val="nil"/>
              <w:left w:val="nil"/>
              <w:bottom w:val="nil"/>
              <w:right w:val="nil"/>
            </w:tcBorders>
            <w:shd w:val="clear" w:color="auto" w:fill="auto"/>
            <w:noWrap/>
            <w:vAlign w:val="bottom"/>
            <w:hideMark/>
          </w:tcPr>
          <w:p w14:paraId="6460A8CA" w14:textId="77777777" w:rsidR="00F01E8A" w:rsidRDefault="00F01E8A">
            <w:pPr>
              <w:rPr>
                <w:sz w:val="20"/>
                <w:szCs w:val="20"/>
              </w:rPr>
            </w:pPr>
          </w:p>
        </w:tc>
        <w:tc>
          <w:tcPr>
            <w:tcW w:w="858" w:type="pct"/>
            <w:tcBorders>
              <w:top w:val="nil"/>
              <w:left w:val="nil"/>
              <w:bottom w:val="nil"/>
              <w:right w:val="nil"/>
            </w:tcBorders>
            <w:shd w:val="clear" w:color="auto" w:fill="auto"/>
            <w:noWrap/>
            <w:vAlign w:val="bottom"/>
            <w:hideMark/>
          </w:tcPr>
          <w:p w14:paraId="6B383E4C" w14:textId="77777777" w:rsidR="00F01E8A" w:rsidRDefault="00F01E8A">
            <w:pPr>
              <w:rPr>
                <w:sz w:val="20"/>
                <w:szCs w:val="20"/>
              </w:rPr>
            </w:pPr>
          </w:p>
        </w:tc>
      </w:tr>
      <w:tr w:rsidR="00F01E8A" w14:paraId="16CE8E37" w14:textId="77777777" w:rsidTr="003F166F">
        <w:trPr>
          <w:trHeight w:val="228"/>
        </w:trPr>
        <w:tc>
          <w:tcPr>
            <w:tcW w:w="1567" w:type="pct"/>
            <w:tcBorders>
              <w:top w:val="nil"/>
              <w:left w:val="nil"/>
              <w:bottom w:val="nil"/>
              <w:right w:val="nil"/>
            </w:tcBorders>
            <w:shd w:val="clear" w:color="auto" w:fill="auto"/>
            <w:noWrap/>
            <w:vAlign w:val="bottom"/>
            <w:hideMark/>
          </w:tcPr>
          <w:p w14:paraId="071ED41B" w14:textId="77777777" w:rsidR="00F01E8A" w:rsidRDefault="00F01E8A" w:rsidP="00454EE7">
            <w:pPr>
              <w:spacing w:line="18" w:lineRule="atLeast"/>
              <w:rPr>
                <w:rFonts w:ascii="Cambria" w:hAnsi="Cambria" w:cs="Arial"/>
                <w:color w:val="000000"/>
                <w:sz w:val="18"/>
                <w:szCs w:val="18"/>
              </w:rPr>
            </w:pPr>
            <w:r>
              <w:rPr>
                <w:rFonts w:ascii="Cambria" w:hAnsi="Cambria"/>
                <w:color w:val="000000"/>
                <w:sz w:val="18"/>
              </w:rPr>
              <w:lastRenderedPageBreak/>
              <w:t>Bénéfices/(pertes) des périodes précédentes</w:t>
            </w:r>
          </w:p>
        </w:tc>
        <w:tc>
          <w:tcPr>
            <w:tcW w:w="858" w:type="pct"/>
            <w:tcBorders>
              <w:top w:val="nil"/>
              <w:left w:val="nil"/>
              <w:bottom w:val="nil"/>
              <w:right w:val="nil"/>
            </w:tcBorders>
            <w:shd w:val="clear" w:color="auto" w:fill="auto"/>
            <w:noWrap/>
            <w:vAlign w:val="bottom"/>
            <w:hideMark/>
          </w:tcPr>
          <w:p w14:paraId="44BBC5E8" w14:textId="77777777" w:rsidR="00F01E8A" w:rsidRDefault="00F01E8A" w:rsidP="00454EE7">
            <w:pPr>
              <w:spacing w:line="18" w:lineRule="atLeast"/>
              <w:jc w:val="right"/>
              <w:rPr>
                <w:rFonts w:ascii="Cambria" w:hAnsi="Cambria" w:cs="Arial"/>
                <w:color w:val="000000"/>
                <w:sz w:val="18"/>
                <w:szCs w:val="18"/>
              </w:rPr>
            </w:pPr>
            <w:r>
              <w:rPr>
                <w:rFonts w:ascii="Cambria" w:hAnsi="Cambria"/>
                <w:color w:val="000000"/>
                <w:sz w:val="18"/>
              </w:rPr>
              <w:t>733 560</w:t>
            </w:r>
          </w:p>
        </w:tc>
        <w:tc>
          <w:tcPr>
            <w:tcW w:w="858" w:type="pct"/>
            <w:tcBorders>
              <w:top w:val="nil"/>
              <w:left w:val="nil"/>
              <w:bottom w:val="nil"/>
              <w:right w:val="nil"/>
            </w:tcBorders>
            <w:shd w:val="clear" w:color="auto" w:fill="auto"/>
            <w:noWrap/>
            <w:vAlign w:val="bottom"/>
            <w:hideMark/>
          </w:tcPr>
          <w:p w14:paraId="72A434AA" w14:textId="77777777" w:rsidR="00F01E8A" w:rsidRDefault="00F01E8A" w:rsidP="00454EE7">
            <w:pPr>
              <w:spacing w:line="18" w:lineRule="atLeast"/>
              <w:jc w:val="right"/>
              <w:rPr>
                <w:rFonts w:ascii="Cambria" w:hAnsi="Cambria" w:cs="Arial"/>
                <w:color w:val="000000"/>
                <w:sz w:val="18"/>
                <w:szCs w:val="18"/>
              </w:rPr>
            </w:pPr>
            <w:r>
              <w:rPr>
                <w:rFonts w:ascii="Cambria" w:hAnsi="Cambria"/>
                <w:color w:val="000000"/>
                <w:sz w:val="18"/>
              </w:rPr>
              <w:t>0</w:t>
            </w:r>
          </w:p>
        </w:tc>
        <w:tc>
          <w:tcPr>
            <w:tcW w:w="858" w:type="pct"/>
            <w:tcBorders>
              <w:top w:val="nil"/>
              <w:left w:val="nil"/>
              <w:bottom w:val="nil"/>
              <w:right w:val="nil"/>
            </w:tcBorders>
            <w:shd w:val="clear" w:color="auto" w:fill="auto"/>
            <w:noWrap/>
            <w:vAlign w:val="bottom"/>
            <w:hideMark/>
          </w:tcPr>
          <w:p w14:paraId="2085405E" w14:textId="77777777" w:rsidR="00F01E8A" w:rsidRDefault="00F01E8A" w:rsidP="00454EE7">
            <w:pPr>
              <w:spacing w:line="18" w:lineRule="atLeast"/>
              <w:jc w:val="right"/>
              <w:rPr>
                <w:rFonts w:ascii="Cambria" w:hAnsi="Cambria" w:cs="Arial"/>
                <w:color w:val="000000"/>
                <w:sz w:val="18"/>
                <w:szCs w:val="18"/>
              </w:rPr>
            </w:pPr>
            <w:r>
              <w:rPr>
                <w:rFonts w:ascii="Cambria" w:hAnsi="Cambria"/>
                <w:color w:val="000000"/>
                <w:sz w:val="18"/>
              </w:rPr>
              <w:t>(733 560)</w:t>
            </w:r>
          </w:p>
        </w:tc>
        <w:tc>
          <w:tcPr>
            <w:tcW w:w="858" w:type="pct"/>
            <w:tcBorders>
              <w:top w:val="nil"/>
              <w:left w:val="nil"/>
              <w:bottom w:val="nil"/>
              <w:right w:val="nil"/>
            </w:tcBorders>
            <w:shd w:val="clear" w:color="auto" w:fill="auto"/>
            <w:noWrap/>
            <w:vAlign w:val="bottom"/>
            <w:hideMark/>
          </w:tcPr>
          <w:p w14:paraId="33030B20" w14:textId="77777777" w:rsidR="00F01E8A" w:rsidRDefault="00F01E8A" w:rsidP="00454EE7">
            <w:pPr>
              <w:spacing w:line="18" w:lineRule="atLeast"/>
              <w:jc w:val="right"/>
              <w:rPr>
                <w:rFonts w:ascii="Cambria" w:hAnsi="Cambria" w:cs="Arial"/>
                <w:color w:val="000000"/>
                <w:sz w:val="18"/>
                <w:szCs w:val="18"/>
              </w:rPr>
            </w:pPr>
            <w:r>
              <w:rPr>
                <w:rFonts w:ascii="Cambria" w:hAnsi="Cambria"/>
                <w:color w:val="000000"/>
                <w:sz w:val="18"/>
              </w:rPr>
              <w:t>0</w:t>
            </w:r>
          </w:p>
        </w:tc>
      </w:tr>
      <w:tr w:rsidR="00F01E8A" w14:paraId="4661D9FE" w14:textId="77777777" w:rsidTr="003F166F">
        <w:trPr>
          <w:trHeight w:val="228"/>
        </w:trPr>
        <w:tc>
          <w:tcPr>
            <w:tcW w:w="1567" w:type="pct"/>
            <w:tcBorders>
              <w:top w:val="nil"/>
              <w:left w:val="nil"/>
              <w:bottom w:val="nil"/>
              <w:right w:val="nil"/>
            </w:tcBorders>
            <w:shd w:val="clear" w:color="auto" w:fill="auto"/>
            <w:noWrap/>
            <w:vAlign w:val="bottom"/>
            <w:hideMark/>
          </w:tcPr>
          <w:p w14:paraId="0D328151" w14:textId="77777777" w:rsidR="00F01E8A" w:rsidRDefault="00F01E8A" w:rsidP="00454EE7">
            <w:pPr>
              <w:spacing w:line="18" w:lineRule="atLeast"/>
              <w:jc w:val="right"/>
              <w:rPr>
                <w:rFonts w:ascii="Cambria" w:hAnsi="Cambria" w:cs="Arial"/>
                <w:color w:val="000000"/>
                <w:sz w:val="18"/>
                <w:szCs w:val="18"/>
              </w:rPr>
            </w:pPr>
          </w:p>
        </w:tc>
        <w:tc>
          <w:tcPr>
            <w:tcW w:w="858" w:type="pct"/>
            <w:tcBorders>
              <w:top w:val="nil"/>
              <w:left w:val="nil"/>
              <w:bottom w:val="nil"/>
              <w:right w:val="nil"/>
            </w:tcBorders>
            <w:shd w:val="clear" w:color="auto" w:fill="auto"/>
            <w:noWrap/>
            <w:vAlign w:val="bottom"/>
            <w:hideMark/>
          </w:tcPr>
          <w:p w14:paraId="6597AFC7" w14:textId="77777777" w:rsidR="00F01E8A" w:rsidRDefault="00F01E8A" w:rsidP="00454EE7">
            <w:pPr>
              <w:spacing w:line="18" w:lineRule="atLeast"/>
              <w:rPr>
                <w:sz w:val="20"/>
                <w:szCs w:val="20"/>
              </w:rPr>
            </w:pPr>
          </w:p>
        </w:tc>
        <w:tc>
          <w:tcPr>
            <w:tcW w:w="858" w:type="pct"/>
            <w:tcBorders>
              <w:top w:val="nil"/>
              <w:left w:val="nil"/>
              <w:bottom w:val="nil"/>
              <w:right w:val="nil"/>
            </w:tcBorders>
            <w:shd w:val="clear" w:color="auto" w:fill="auto"/>
            <w:noWrap/>
            <w:vAlign w:val="bottom"/>
            <w:hideMark/>
          </w:tcPr>
          <w:p w14:paraId="073F5DB5" w14:textId="77777777" w:rsidR="00F01E8A" w:rsidRDefault="00F01E8A" w:rsidP="00454EE7">
            <w:pPr>
              <w:spacing w:line="18" w:lineRule="atLeast"/>
              <w:rPr>
                <w:sz w:val="20"/>
                <w:szCs w:val="20"/>
              </w:rPr>
            </w:pPr>
          </w:p>
        </w:tc>
        <w:tc>
          <w:tcPr>
            <w:tcW w:w="858" w:type="pct"/>
            <w:tcBorders>
              <w:top w:val="nil"/>
              <w:left w:val="nil"/>
              <w:bottom w:val="nil"/>
              <w:right w:val="nil"/>
            </w:tcBorders>
            <w:shd w:val="clear" w:color="auto" w:fill="auto"/>
            <w:noWrap/>
            <w:vAlign w:val="bottom"/>
            <w:hideMark/>
          </w:tcPr>
          <w:p w14:paraId="24FA9843" w14:textId="77777777" w:rsidR="00F01E8A" w:rsidRDefault="00F01E8A" w:rsidP="00454EE7">
            <w:pPr>
              <w:spacing w:line="18" w:lineRule="atLeast"/>
              <w:rPr>
                <w:sz w:val="20"/>
                <w:szCs w:val="20"/>
              </w:rPr>
            </w:pPr>
          </w:p>
        </w:tc>
        <w:tc>
          <w:tcPr>
            <w:tcW w:w="858" w:type="pct"/>
            <w:tcBorders>
              <w:top w:val="nil"/>
              <w:left w:val="nil"/>
              <w:bottom w:val="nil"/>
              <w:right w:val="nil"/>
            </w:tcBorders>
            <w:shd w:val="clear" w:color="auto" w:fill="auto"/>
            <w:noWrap/>
            <w:vAlign w:val="bottom"/>
            <w:hideMark/>
          </w:tcPr>
          <w:p w14:paraId="3CAFFBF6" w14:textId="77777777" w:rsidR="00F01E8A" w:rsidRDefault="00F01E8A" w:rsidP="00454EE7">
            <w:pPr>
              <w:spacing w:line="18" w:lineRule="atLeast"/>
              <w:rPr>
                <w:sz w:val="20"/>
                <w:szCs w:val="20"/>
              </w:rPr>
            </w:pPr>
          </w:p>
        </w:tc>
      </w:tr>
      <w:tr w:rsidR="00F01E8A" w14:paraId="7C06A422" w14:textId="77777777" w:rsidTr="003F166F">
        <w:trPr>
          <w:trHeight w:val="240"/>
        </w:trPr>
        <w:tc>
          <w:tcPr>
            <w:tcW w:w="1567" w:type="pct"/>
            <w:tcBorders>
              <w:top w:val="nil"/>
              <w:left w:val="nil"/>
              <w:bottom w:val="nil"/>
              <w:right w:val="nil"/>
            </w:tcBorders>
            <w:shd w:val="clear" w:color="auto" w:fill="auto"/>
            <w:noWrap/>
            <w:vAlign w:val="bottom"/>
            <w:hideMark/>
          </w:tcPr>
          <w:p w14:paraId="32F4C602" w14:textId="77777777" w:rsidR="00F01E8A" w:rsidRDefault="00F01E8A" w:rsidP="00454EE7">
            <w:pPr>
              <w:spacing w:line="18" w:lineRule="atLeast"/>
              <w:rPr>
                <w:rFonts w:ascii="Cambria" w:hAnsi="Cambria" w:cs="Arial"/>
                <w:b/>
                <w:bCs/>
                <w:color w:val="000000"/>
                <w:sz w:val="18"/>
                <w:szCs w:val="18"/>
              </w:rPr>
            </w:pPr>
            <w:r>
              <w:rPr>
                <w:rFonts w:ascii="Cambria" w:hAnsi="Cambria"/>
                <w:b/>
                <w:color w:val="000000"/>
                <w:sz w:val="18"/>
              </w:rPr>
              <w:t>Total Réserves</w:t>
            </w:r>
          </w:p>
        </w:tc>
        <w:tc>
          <w:tcPr>
            <w:tcW w:w="858" w:type="pct"/>
            <w:tcBorders>
              <w:top w:val="single" w:sz="4" w:space="0" w:color="auto"/>
              <w:left w:val="nil"/>
              <w:bottom w:val="single" w:sz="8" w:space="0" w:color="auto"/>
              <w:right w:val="nil"/>
            </w:tcBorders>
            <w:shd w:val="clear" w:color="auto" w:fill="auto"/>
            <w:noWrap/>
            <w:vAlign w:val="bottom"/>
            <w:hideMark/>
          </w:tcPr>
          <w:p w14:paraId="735D014E" w14:textId="77777777" w:rsidR="00F01E8A" w:rsidRDefault="00F01E8A" w:rsidP="00454EE7">
            <w:pPr>
              <w:spacing w:line="18" w:lineRule="atLeast"/>
              <w:jc w:val="right"/>
              <w:rPr>
                <w:rFonts w:ascii="Cambria" w:hAnsi="Cambria" w:cs="Arial"/>
                <w:b/>
                <w:bCs/>
                <w:color w:val="000000"/>
                <w:sz w:val="18"/>
                <w:szCs w:val="18"/>
              </w:rPr>
            </w:pPr>
            <w:r>
              <w:rPr>
                <w:rFonts w:ascii="Cambria" w:hAnsi="Cambria"/>
                <w:b/>
                <w:color w:val="000000"/>
                <w:sz w:val="18"/>
              </w:rPr>
              <w:t>6 836 043</w:t>
            </w:r>
          </w:p>
        </w:tc>
        <w:tc>
          <w:tcPr>
            <w:tcW w:w="858" w:type="pct"/>
            <w:tcBorders>
              <w:top w:val="single" w:sz="4" w:space="0" w:color="auto"/>
              <w:left w:val="nil"/>
              <w:bottom w:val="single" w:sz="8" w:space="0" w:color="auto"/>
              <w:right w:val="nil"/>
            </w:tcBorders>
            <w:shd w:val="clear" w:color="auto" w:fill="auto"/>
            <w:noWrap/>
            <w:vAlign w:val="bottom"/>
            <w:hideMark/>
          </w:tcPr>
          <w:p w14:paraId="52081195" w14:textId="77777777" w:rsidR="00F01E8A" w:rsidRDefault="00F01E8A" w:rsidP="00454EE7">
            <w:pPr>
              <w:spacing w:line="18" w:lineRule="atLeast"/>
              <w:jc w:val="right"/>
              <w:rPr>
                <w:rFonts w:ascii="Cambria" w:hAnsi="Cambria" w:cs="Arial"/>
                <w:b/>
                <w:bCs/>
                <w:color w:val="000000"/>
                <w:sz w:val="18"/>
                <w:szCs w:val="18"/>
              </w:rPr>
            </w:pPr>
            <w:r>
              <w:rPr>
                <w:rFonts w:ascii="Cambria" w:hAnsi="Cambria"/>
                <w:b/>
                <w:color w:val="000000"/>
                <w:sz w:val="18"/>
              </w:rPr>
              <w:t>4 552 162</w:t>
            </w:r>
          </w:p>
        </w:tc>
        <w:tc>
          <w:tcPr>
            <w:tcW w:w="858" w:type="pct"/>
            <w:tcBorders>
              <w:top w:val="single" w:sz="4" w:space="0" w:color="auto"/>
              <w:left w:val="nil"/>
              <w:bottom w:val="single" w:sz="8" w:space="0" w:color="auto"/>
              <w:right w:val="nil"/>
            </w:tcBorders>
            <w:shd w:val="clear" w:color="auto" w:fill="auto"/>
            <w:noWrap/>
            <w:vAlign w:val="bottom"/>
            <w:hideMark/>
          </w:tcPr>
          <w:p w14:paraId="1A9771E6" w14:textId="77777777" w:rsidR="00F01E8A" w:rsidRDefault="00F01E8A" w:rsidP="00454EE7">
            <w:pPr>
              <w:spacing w:line="18" w:lineRule="atLeast"/>
              <w:jc w:val="right"/>
              <w:rPr>
                <w:rFonts w:ascii="Cambria" w:hAnsi="Cambria" w:cs="Arial"/>
                <w:b/>
                <w:bCs/>
                <w:color w:val="000000"/>
                <w:sz w:val="18"/>
                <w:szCs w:val="18"/>
              </w:rPr>
            </w:pPr>
            <w:r>
              <w:rPr>
                <w:rFonts w:ascii="Cambria" w:hAnsi="Cambria"/>
                <w:b/>
                <w:color w:val="000000"/>
                <w:sz w:val="18"/>
              </w:rPr>
              <w:t>(6 046 893)</w:t>
            </w:r>
          </w:p>
        </w:tc>
        <w:tc>
          <w:tcPr>
            <w:tcW w:w="858" w:type="pct"/>
            <w:tcBorders>
              <w:top w:val="single" w:sz="4" w:space="0" w:color="auto"/>
              <w:left w:val="nil"/>
              <w:bottom w:val="single" w:sz="8" w:space="0" w:color="auto"/>
              <w:right w:val="nil"/>
            </w:tcBorders>
            <w:shd w:val="clear" w:color="auto" w:fill="auto"/>
            <w:noWrap/>
            <w:vAlign w:val="bottom"/>
            <w:hideMark/>
          </w:tcPr>
          <w:p w14:paraId="3EF94631" w14:textId="77777777" w:rsidR="00F01E8A" w:rsidRDefault="00F01E8A" w:rsidP="00454EE7">
            <w:pPr>
              <w:spacing w:line="18" w:lineRule="atLeast"/>
              <w:jc w:val="right"/>
              <w:rPr>
                <w:rFonts w:ascii="Cambria" w:hAnsi="Cambria" w:cs="Arial"/>
                <w:b/>
                <w:bCs/>
                <w:color w:val="000000"/>
                <w:sz w:val="18"/>
                <w:szCs w:val="18"/>
              </w:rPr>
            </w:pPr>
            <w:r>
              <w:rPr>
                <w:rFonts w:ascii="Cambria" w:hAnsi="Cambria"/>
                <w:b/>
                <w:color w:val="000000"/>
                <w:sz w:val="18"/>
              </w:rPr>
              <w:t>5 341 313</w:t>
            </w:r>
          </w:p>
        </w:tc>
      </w:tr>
    </w:tbl>
    <w:p w14:paraId="58188207" w14:textId="77777777" w:rsidR="00F01E8A" w:rsidRDefault="00F01E8A" w:rsidP="00454EE7">
      <w:pPr>
        <w:spacing w:after="200" w:line="18" w:lineRule="atLeast"/>
        <w:jc w:val="both"/>
        <w:rPr>
          <w:rFonts w:ascii="Cambria" w:hAnsi="Cambria"/>
          <w:sz w:val="22"/>
          <w:szCs w:val="22"/>
        </w:rPr>
      </w:pPr>
    </w:p>
    <w:p w14:paraId="70106EA3" w14:textId="7574DA31" w:rsidR="00E16D12" w:rsidRPr="00C17031" w:rsidRDefault="00E16D12" w:rsidP="00454EE7">
      <w:pPr>
        <w:spacing w:after="200" w:line="18" w:lineRule="atLeast"/>
        <w:jc w:val="both"/>
        <w:rPr>
          <w:rFonts w:ascii="Cambria" w:hAnsi="Cambria"/>
          <w:sz w:val="22"/>
          <w:szCs w:val="22"/>
        </w:rPr>
      </w:pPr>
      <w:r>
        <w:rPr>
          <w:rFonts w:ascii="Cambria" w:hAnsi="Cambria"/>
          <w:sz w:val="22"/>
        </w:rPr>
        <w:t xml:space="preserve">La </w:t>
      </w:r>
      <w:r>
        <w:rPr>
          <w:rFonts w:ascii="Cambria" w:hAnsi="Cambria"/>
          <w:sz w:val="22"/>
          <w:u w:val="single"/>
        </w:rPr>
        <w:t>réserve légale</w:t>
      </w:r>
      <w:r>
        <w:rPr>
          <w:rFonts w:ascii="Cambria" w:hAnsi="Cambria"/>
          <w:sz w:val="22"/>
        </w:rPr>
        <w:t xml:space="preserve"> d’un montant de 237 000 euros, a augmenté en raison de l'affectation du résultat de l'exercice au 31 décembre 2020.</w:t>
      </w:r>
    </w:p>
    <w:p w14:paraId="41715DF3" w14:textId="10BB1ABB" w:rsidR="00E16D12" w:rsidRPr="00C17031" w:rsidRDefault="00E16D12" w:rsidP="00454EE7">
      <w:pPr>
        <w:spacing w:after="200" w:line="18" w:lineRule="atLeast"/>
        <w:jc w:val="both"/>
        <w:rPr>
          <w:rFonts w:ascii="Cambria" w:hAnsi="Cambria"/>
          <w:sz w:val="22"/>
          <w:szCs w:val="22"/>
        </w:rPr>
      </w:pPr>
      <w:r>
        <w:rPr>
          <w:rFonts w:ascii="Cambria" w:hAnsi="Cambria"/>
          <w:sz w:val="22"/>
        </w:rPr>
        <w:t xml:space="preserve">La réserve de </w:t>
      </w:r>
      <w:r>
        <w:rPr>
          <w:rFonts w:ascii="Cambria" w:hAnsi="Cambria"/>
          <w:sz w:val="22"/>
          <w:u w:val="single"/>
        </w:rPr>
        <w:t>conversion IAS/IFRS</w:t>
      </w:r>
      <w:r>
        <w:rPr>
          <w:rFonts w:ascii="Cambria" w:hAnsi="Cambria"/>
          <w:sz w:val="22"/>
        </w:rPr>
        <w:t>, positive pour 2 440 000 euros, comprend l'effet global du passage aux normes comptables internationales.</w:t>
      </w:r>
    </w:p>
    <w:p w14:paraId="352DFB22" w14:textId="77777777" w:rsidR="00A1419D" w:rsidRPr="00C17031" w:rsidRDefault="00A1419D" w:rsidP="00454EE7">
      <w:pPr>
        <w:spacing w:after="200" w:line="18" w:lineRule="atLeast"/>
        <w:jc w:val="both"/>
        <w:rPr>
          <w:rFonts w:ascii="Cambria" w:hAnsi="Cambria"/>
          <w:sz w:val="22"/>
          <w:szCs w:val="22"/>
          <w:u w:val="single"/>
        </w:rPr>
      </w:pPr>
      <w:r>
        <w:rPr>
          <w:rFonts w:ascii="Cambria" w:hAnsi="Cambria"/>
          <w:sz w:val="22"/>
        </w:rPr>
        <w:t xml:space="preserve">En ce qui concerne le poste </w:t>
      </w:r>
      <w:r>
        <w:rPr>
          <w:rFonts w:ascii="Cambria" w:hAnsi="Cambria"/>
          <w:sz w:val="22"/>
          <w:u w:val="single"/>
        </w:rPr>
        <w:t>Autres réserves</w:t>
      </w:r>
      <w:r>
        <w:rPr>
          <w:rFonts w:ascii="Cambria" w:hAnsi="Cambria"/>
          <w:sz w:val="22"/>
        </w:rPr>
        <w:t> :</w:t>
      </w:r>
    </w:p>
    <w:p w14:paraId="4008289C" w14:textId="1FF0FCF0" w:rsidR="00E16D12" w:rsidRPr="00C17031" w:rsidRDefault="00E16D12" w:rsidP="00454EE7">
      <w:pPr>
        <w:pStyle w:val="Paragrafoelenco"/>
        <w:numPr>
          <w:ilvl w:val="0"/>
          <w:numId w:val="2"/>
        </w:numPr>
        <w:spacing w:after="200" w:line="18" w:lineRule="atLeast"/>
        <w:jc w:val="both"/>
        <w:rPr>
          <w:rFonts w:ascii="Cambria" w:hAnsi="Cambria"/>
          <w:sz w:val="22"/>
          <w:szCs w:val="22"/>
        </w:rPr>
      </w:pPr>
      <w:proofErr w:type="gramStart"/>
      <w:r>
        <w:rPr>
          <w:rFonts w:ascii="Cambria" w:hAnsi="Cambria"/>
          <w:sz w:val="22"/>
        </w:rPr>
        <w:t>la</w:t>
      </w:r>
      <w:proofErr w:type="gramEnd"/>
      <w:r>
        <w:rPr>
          <w:rFonts w:ascii="Cambria" w:hAnsi="Cambria"/>
          <w:sz w:val="22"/>
        </w:rPr>
        <w:t xml:space="preserve"> « réserve extraordinaire » d’un montant de 2 618 000 euros, a augmenté en raison de l'affectation du résultat de l'exercice précédent et a diminué en raison des augmentations de capital et de la distribution de dividendes susmentionnées ;</w:t>
      </w:r>
    </w:p>
    <w:p w14:paraId="140AB9AC" w14:textId="134883C1" w:rsidR="00547AAA" w:rsidRPr="00C17031" w:rsidRDefault="00547AAA" w:rsidP="00454EE7">
      <w:pPr>
        <w:pStyle w:val="Paragrafoelenco"/>
        <w:numPr>
          <w:ilvl w:val="0"/>
          <w:numId w:val="2"/>
        </w:numPr>
        <w:spacing w:after="200" w:line="18" w:lineRule="atLeast"/>
        <w:jc w:val="both"/>
        <w:rPr>
          <w:rFonts w:ascii="Cambria" w:hAnsi="Cambria"/>
          <w:sz w:val="22"/>
          <w:szCs w:val="22"/>
        </w:rPr>
      </w:pPr>
      <w:proofErr w:type="gramStart"/>
      <w:r>
        <w:rPr>
          <w:rFonts w:ascii="Cambria" w:hAnsi="Cambria"/>
          <w:sz w:val="22"/>
        </w:rPr>
        <w:t>les</w:t>
      </w:r>
      <w:proofErr w:type="gramEnd"/>
      <w:r>
        <w:rPr>
          <w:rFonts w:ascii="Cambria" w:hAnsi="Cambria"/>
          <w:sz w:val="22"/>
        </w:rPr>
        <w:t xml:space="preserve"> « autres réserves de capital », d'un montant de 160 000 euros au 31 décembre 2020, ont été réduites à zéro à la suite des opérations d'augmentation de capital susmentionnées ;</w:t>
      </w:r>
    </w:p>
    <w:p w14:paraId="7A81BC85" w14:textId="1D7E580C" w:rsidR="00547AAA" w:rsidRDefault="00D86174" w:rsidP="00454EE7">
      <w:pPr>
        <w:pStyle w:val="Paragrafoelenco"/>
        <w:numPr>
          <w:ilvl w:val="0"/>
          <w:numId w:val="2"/>
        </w:numPr>
        <w:spacing w:after="200" w:line="18" w:lineRule="atLeast"/>
        <w:jc w:val="both"/>
        <w:rPr>
          <w:rFonts w:ascii="Cambria" w:hAnsi="Cambria"/>
          <w:sz w:val="22"/>
          <w:szCs w:val="22"/>
        </w:rPr>
      </w:pPr>
      <w:proofErr w:type="gramStart"/>
      <w:r>
        <w:rPr>
          <w:rFonts w:ascii="Cambria" w:hAnsi="Cambria"/>
          <w:sz w:val="22"/>
        </w:rPr>
        <w:t>la</w:t>
      </w:r>
      <w:proofErr w:type="gramEnd"/>
      <w:r>
        <w:rPr>
          <w:rFonts w:ascii="Cambria" w:hAnsi="Cambria"/>
          <w:sz w:val="22"/>
        </w:rPr>
        <w:t xml:space="preserve"> « réserve pour régime de prestations (OCI) - actualisée », négative pour un montant de 120 000 euros, représente l'effet de l'actualisation des régimes à prestations définies en place avec les employés (indemnité de départ) ;</w:t>
      </w:r>
    </w:p>
    <w:p w14:paraId="41C61084" w14:textId="14DB0E8D" w:rsidR="00207BFD" w:rsidRDefault="004A391C" w:rsidP="00454EE7">
      <w:pPr>
        <w:spacing w:after="200" w:line="18" w:lineRule="atLeast"/>
        <w:jc w:val="both"/>
        <w:rPr>
          <w:rFonts w:ascii="Cambria" w:hAnsi="Cambria"/>
          <w:sz w:val="22"/>
          <w:szCs w:val="22"/>
        </w:rPr>
      </w:pPr>
      <w:proofErr w:type="gramStart"/>
      <w:r>
        <w:rPr>
          <w:rFonts w:ascii="Cambria" w:hAnsi="Cambria"/>
          <w:sz w:val="22"/>
        </w:rPr>
        <w:t>la</w:t>
      </w:r>
      <w:proofErr w:type="gramEnd"/>
      <w:r>
        <w:rPr>
          <w:rFonts w:ascii="Cambria" w:hAnsi="Cambria"/>
          <w:sz w:val="22"/>
        </w:rPr>
        <w:t xml:space="preserve"> « réserve pour bénéfices de change » de 165 000 euros, a été comptabilisée par Over pour les bénéfices de change. </w:t>
      </w:r>
    </w:p>
    <w:p w14:paraId="1E7CDBA0" w14:textId="77777777" w:rsidR="00E16D12" w:rsidRPr="00CA252D" w:rsidRDefault="00E16D12" w:rsidP="00454EE7">
      <w:pPr>
        <w:pStyle w:val="Titolo2"/>
        <w:numPr>
          <w:ilvl w:val="0"/>
          <w:numId w:val="6"/>
        </w:numPr>
        <w:spacing w:line="18" w:lineRule="atLeast"/>
        <w:ind w:left="357" w:right="0" w:hanging="357"/>
        <w:jc w:val="left"/>
        <w:rPr>
          <w:i w:val="0"/>
        </w:rPr>
      </w:pPr>
      <w:bookmarkStart w:id="143" w:name="_Toc112768675"/>
      <w:r>
        <w:rPr>
          <w:i w:val="0"/>
        </w:rPr>
        <w:t>Prêts à moyen et long terme</w:t>
      </w:r>
      <w:bookmarkEnd w:id="143"/>
    </w:p>
    <w:p w14:paraId="37023B1A" w14:textId="77777777" w:rsidR="004E3754" w:rsidRPr="00C17031" w:rsidRDefault="004E3754" w:rsidP="00454EE7">
      <w:pPr>
        <w:spacing w:line="18" w:lineRule="atLeast"/>
        <w:rPr>
          <w:rFonts w:ascii="Cambria" w:hAnsi="Cambria"/>
        </w:rPr>
      </w:pPr>
    </w:p>
    <w:p w14:paraId="6BA23434" w14:textId="29631E07" w:rsidR="00E16D12" w:rsidRDefault="00E16D12" w:rsidP="00454EE7">
      <w:pPr>
        <w:spacing w:after="200" w:line="18" w:lineRule="atLeast"/>
        <w:jc w:val="both"/>
        <w:rPr>
          <w:rFonts w:ascii="Cambria" w:hAnsi="Cambria"/>
          <w:sz w:val="22"/>
          <w:szCs w:val="22"/>
        </w:rPr>
      </w:pPr>
      <w:r>
        <w:rPr>
          <w:rFonts w:ascii="Cambria" w:hAnsi="Cambria"/>
          <w:sz w:val="22"/>
        </w:rPr>
        <w:t>La ventilation du poste « Prêts à moyen et long terme » au 30 juin 2020, par rapport aux mêmes valeurs au 31 décembre 2020, est présentée ci-dessous :</w:t>
      </w:r>
    </w:p>
    <w:tbl>
      <w:tblPr>
        <w:tblW w:w="5000" w:type="pct"/>
        <w:tblCellMar>
          <w:left w:w="70" w:type="dxa"/>
          <w:right w:w="70" w:type="dxa"/>
        </w:tblCellMar>
        <w:tblLook w:val="04A0" w:firstRow="1" w:lastRow="0" w:firstColumn="1" w:lastColumn="0" w:noHBand="0" w:noVBand="1"/>
      </w:tblPr>
      <w:tblGrid>
        <w:gridCol w:w="4629"/>
        <w:gridCol w:w="1670"/>
        <w:gridCol w:w="1670"/>
        <w:gridCol w:w="1669"/>
      </w:tblGrid>
      <w:tr w:rsidR="00A61CFE" w14:paraId="509DBCD8" w14:textId="77777777" w:rsidTr="00A61CFE">
        <w:trPr>
          <w:trHeight w:val="495"/>
        </w:trPr>
        <w:tc>
          <w:tcPr>
            <w:tcW w:w="2401" w:type="pct"/>
            <w:tcBorders>
              <w:top w:val="single" w:sz="4" w:space="0" w:color="0070C0"/>
              <w:left w:val="nil"/>
              <w:bottom w:val="single" w:sz="8" w:space="0" w:color="0070C0"/>
              <w:right w:val="nil"/>
            </w:tcBorders>
            <w:shd w:val="clear" w:color="auto" w:fill="auto"/>
            <w:noWrap/>
            <w:vAlign w:val="bottom"/>
            <w:hideMark/>
          </w:tcPr>
          <w:p w14:paraId="64FECD1B" w14:textId="77777777" w:rsidR="00A61CFE" w:rsidRDefault="00A61CFE" w:rsidP="00454EE7">
            <w:pPr>
              <w:spacing w:line="18" w:lineRule="atLeast"/>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866" w:type="pct"/>
            <w:tcBorders>
              <w:top w:val="single" w:sz="4" w:space="0" w:color="0070C0"/>
              <w:left w:val="nil"/>
              <w:bottom w:val="single" w:sz="8" w:space="0" w:color="0070C0"/>
              <w:right w:val="nil"/>
            </w:tcBorders>
            <w:shd w:val="clear" w:color="auto" w:fill="auto"/>
            <w:vAlign w:val="bottom"/>
            <w:hideMark/>
          </w:tcPr>
          <w:p w14:paraId="1E0F7F2B" w14:textId="77777777" w:rsidR="00A61CFE" w:rsidRDefault="00A61CFE" w:rsidP="00454EE7">
            <w:pPr>
              <w:spacing w:line="18" w:lineRule="atLeast"/>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866" w:type="pct"/>
            <w:tcBorders>
              <w:top w:val="single" w:sz="4" w:space="0" w:color="0070C0"/>
              <w:left w:val="nil"/>
              <w:bottom w:val="single" w:sz="8" w:space="0" w:color="0070C0"/>
              <w:right w:val="nil"/>
            </w:tcBorders>
            <w:shd w:val="clear" w:color="auto" w:fill="auto"/>
            <w:vAlign w:val="bottom"/>
            <w:hideMark/>
          </w:tcPr>
          <w:p w14:paraId="538E5FD9" w14:textId="77777777" w:rsidR="00A61CFE" w:rsidRDefault="00A61CFE" w:rsidP="00454EE7">
            <w:pPr>
              <w:spacing w:line="18" w:lineRule="atLeast"/>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c>
          <w:tcPr>
            <w:tcW w:w="866" w:type="pct"/>
            <w:tcBorders>
              <w:top w:val="single" w:sz="4" w:space="0" w:color="0070C0"/>
              <w:left w:val="nil"/>
              <w:bottom w:val="single" w:sz="8" w:space="0" w:color="0070C0"/>
              <w:right w:val="nil"/>
            </w:tcBorders>
            <w:shd w:val="clear" w:color="auto" w:fill="auto"/>
            <w:vAlign w:val="bottom"/>
            <w:hideMark/>
          </w:tcPr>
          <w:p w14:paraId="17FFEFC3" w14:textId="77777777" w:rsidR="00A61CFE" w:rsidRDefault="00A61CFE" w:rsidP="00454EE7">
            <w:pPr>
              <w:spacing w:line="18" w:lineRule="atLeast"/>
              <w:jc w:val="center"/>
              <w:rPr>
                <w:rFonts w:ascii="Cambria" w:hAnsi="Cambria" w:cs="Arial"/>
                <w:b/>
                <w:bCs/>
                <w:color w:val="000000"/>
                <w:sz w:val="18"/>
                <w:szCs w:val="18"/>
              </w:rPr>
            </w:pPr>
            <w:r>
              <w:rPr>
                <w:rFonts w:ascii="Cambria" w:hAnsi="Cambria"/>
                <w:b/>
                <w:color w:val="000000"/>
                <w:sz w:val="18"/>
              </w:rPr>
              <w:t>Variations</w:t>
            </w:r>
          </w:p>
        </w:tc>
      </w:tr>
      <w:tr w:rsidR="00A61CFE" w14:paraId="1CC4EF15" w14:textId="77777777" w:rsidTr="00A61CFE">
        <w:trPr>
          <w:trHeight w:val="240"/>
        </w:trPr>
        <w:tc>
          <w:tcPr>
            <w:tcW w:w="2401" w:type="pct"/>
            <w:tcBorders>
              <w:top w:val="nil"/>
              <w:left w:val="nil"/>
              <w:bottom w:val="nil"/>
              <w:right w:val="nil"/>
            </w:tcBorders>
            <w:shd w:val="clear" w:color="auto" w:fill="auto"/>
            <w:noWrap/>
            <w:vAlign w:val="bottom"/>
            <w:hideMark/>
          </w:tcPr>
          <w:p w14:paraId="4E627C5D" w14:textId="77777777" w:rsidR="00A61CFE" w:rsidRDefault="00A61CFE" w:rsidP="00454EE7">
            <w:pPr>
              <w:spacing w:line="18" w:lineRule="atLeast"/>
              <w:rPr>
                <w:rFonts w:ascii="Cambria" w:hAnsi="Cambria" w:cs="Arial"/>
                <w:color w:val="000000"/>
                <w:sz w:val="18"/>
                <w:szCs w:val="18"/>
              </w:rPr>
            </w:pPr>
            <w:r>
              <w:rPr>
                <w:rFonts w:ascii="Cambria" w:hAnsi="Cambria"/>
                <w:color w:val="000000"/>
                <w:sz w:val="18"/>
              </w:rPr>
              <w:t>Prêt de la BCC - portion à long terme</w:t>
            </w:r>
          </w:p>
        </w:tc>
        <w:tc>
          <w:tcPr>
            <w:tcW w:w="866" w:type="pct"/>
            <w:tcBorders>
              <w:top w:val="nil"/>
              <w:left w:val="nil"/>
              <w:bottom w:val="nil"/>
              <w:right w:val="nil"/>
            </w:tcBorders>
            <w:shd w:val="clear" w:color="auto" w:fill="auto"/>
            <w:noWrap/>
            <w:vAlign w:val="bottom"/>
            <w:hideMark/>
          </w:tcPr>
          <w:p w14:paraId="3349EA15"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26 819</w:t>
            </w:r>
          </w:p>
        </w:tc>
        <w:tc>
          <w:tcPr>
            <w:tcW w:w="866" w:type="pct"/>
            <w:tcBorders>
              <w:top w:val="nil"/>
              <w:left w:val="nil"/>
              <w:bottom w:val="nil"/>
              <w:right w:val="nil"/>
            </w:tcBorders>
            <w:shd w:val="clear" w:color="auto" w:fill="auto"/>
            <w:noWrap/>
            <w:vAlign w:val="bottom"/>
            <w:hideMark/>
          </w:tcPr>
          <w:p w14:paraId="35A5E97E"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71 849</w:t>
            </w:r>
          </w:p>
        </w:tc>
        <w:tc>
          <w:tcPr>
            <w:tcW w:w="866" w:type="pct"/>
            <w:tcBorders>
              <w:top w:val="nil"/>
              <w:left w:val="nil"/>
              <w:bottom w:val="nil"/>
              <w:right w:val="nil"/>
            </w:tcBorders>
            <w:shd w:val="clear" w:color="auto" w:fill="auto"/>
            <w:noWrap/>
            <w:vAlign w:val="bottom"/>
            <w:hideMark/>
          </w:tcPr>
          <w:p w14:paraId="38FB53A7"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(45 030)</w:t>
            </w:r>
          </w:p>
        </w:tc>
      </w:tr>
      <w:tr w:rsidR="00A61CFE" w14:paraId="1B6A2CDC" w14:textId="77777777" w:rsidTr="00A61CFE">
        <w:trPr>
          <w:trHeight w:val="240"/>
        </w:trPr>
        <w:tc>
          <w:tcPr>
            <w:tcW w:w="2401" w:type="pct"/>
            <w:tcBorders>
              <w:top w:val="nil"/>
              <w:left w:val="nil"/>
              <w:bottom w:val="nil"/>
              <w:right w:val="nil"/>
            </w:tcBorders>
            <w:shd w:val="clear" w:color="auto" w:fill="auto"/>
            <w:noWrap/>
            <w:vAlign w:val="bottom"/>
            <w:hideMark/>
          </w:tcPr>
          <w:p w14:paraId="4A14C20F" w14:textId="77777777" w:rsidR="00A61CFE" w:rsidRDefault="00A61CFE" w:rsidP="00454EE7">
            <w:pPr>
              <w:spacing w:line="18" w:lineRule="atLeast"/>
              <w:rPr>
                <w:rFonts w:ascii="Cambria" w:hAnsi="Cambria" w:cs="Arial"/>
                <w:color w:val="000000"/>
                <w:sz w:val="18"/>
                <w:szCs w:val="18"/>
              </w:rPr>
            </w:pPr>
            <w:r>
              <w:rPr>
                <w:rFonts w:ascii="Cambria" w:hAnsi="Cambria"/>
                <w:color w:val="000000"/>
                <w:sz w:val="18"/>
              </w:rPr>
              <w:t>Prêt de la BPB - portion à long terme</w:t>
            </w:r>
          </w:p>
        </w:tc>
        <w:tc>
          <w:tcPr>
            <w:tcW w:w="866" w:type="pct"/>
            <w:tcBorders>
              <w:top w:val="nil"/>
              <w:left w:val="nil"/>
              <w:bottom w:val="nil"/>
              <w:right w:val="nil"/>
            </w:tcBorders>
            <w:shd w:val="clear" w:color="auto" w:fill="auto"/>
            <w:noWrap/>
            <w:vAlign w:val="bottom"/>
            <w:hideMark/>
          </w:tcPr>
          <w:p w14:paraId="19659397"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224 568</w:t>
            </w:r>
          </w:p>
        </w:tc>
        <w:tc>
          <w:tcPr>
            <w:tcW w:w="866" w:type="pct"/>
            <w:tcBorders>
              <w:top w:val="nil"/>
              <w:left w:val="nil"/>
              <w:bottom w:val="nil"/>
              <w:right w:val="nil"/>
            </w:tcBorders>
            <w:shd w:val="clear" w:color="auto" w:fill="auto"/>
            <w:noWrap/>
            <w:vAlign w:val="bottom"/>
            <w:hideMark/>
          </w:tcPr>
          <w:p w14:paraId="68DBCF09"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335 631</w:t>
            </w:r>
          </w:p>
        </w:tc>
        <w:tc>
          <w:tcPr>
            <w:tcW w:w="866" w:type="pct"/>
            <w:tcBorders>
              <w:top w:val="nil"/>
              <w:left w:val="nil"/>
              <w:bottom w:val="nil"/>
              <w:right w:val="nil"/>
            </w:tcBorders>
            <w:shd w:val="clear" w:color="auto" w:fill="auto"/>
            <w:noWrap/>
            <w:vAlign w:val="bottom"/>
            <w:hideMark/>
          </w:tcPr>
          <w:p w14:paraId="53A27B8A"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(111 063)</w:t>
            </w:r>
          </w:p>
        </w:tc>
      </w:tr>
      <w:tr w:rsidR="00A61CFE" w14:paraId="276078A8" w14:textId="77777777" w:rsidTr="00A61CFE">
        <w:trPr>
          <w:trHeight w:val="240"/>
        </w:trPr>
        <w:tc>
          <w:tcPr>
            <w:tcW w:w="2401" w:type="pct"/>
            <w:tcBorders>
              <w:top w:val="nil"/>
              <w:left w:val="nil"/>
              <w:bottom w:val="nil"/>
              <w:right w:val="nil"/>
            </w:tcBorders>
            <w:shd w:val="clear" w:color="auto" w:fill="auto"/>
            <w:noWrap/>
            <w:vAlign w:val="bottom"/>
            <w:hideMark/>
          </w:tcPr>
          <w:p w14:paraId="5347B196" w14:textId="77777777" w:rsidR="00A61CFE" w:rsidRDefault="00A61CFE" w:rsidP="00454EE7">
            <w:pPr>
              <w:spacing w:line="18" w:lineRule="atLeast"/>
              <w:rPr>
                <w:rFonts w:ascii="Cambria" w:hAnsi="Cambria" w:cs="Arial"/>
                <w:color w:val="000000"/>
                <w:sz w:val="18"/>
                <w:szCs w:val="18"/>
              </w:rPr>
            </w:pPr>
            <w:r>
              <w:rPr>
                <w:rFonts w:ascii="Cambria" w:hAnsi="Cambria"/>
                <w:color w:val="000000"/>
                <w:sz w:val="18"/>
              </w:rPr>
              <w:t>Prêt de la BCC 2 - portion à long terme</w:t>
            </w:r>
          </w:p>
        </w:tc>
        <w:tc>
          <w:tcPr>
            <w:tcW w:w="866" w:type="pct"/>
            <w:tcBorders>
              <w:top w:val="nil"/>
              <w:left w:val="nil"/>
              <w:bottom w:val="nil"/>
              <w:right w:val="nil"/>
            </w:tcBorders>
            <w:shd w:val="clear" w:color="auto" w:fill="auto"/>
            <w:noWrap/>
            <w:vAlign w:val="bottom"/>
            <w:hideMark/>
          </w:tcPr>
          <w:p w14:paraId="0074B424"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535 698</w:t>
            </w:r>
          </w:p>
        </w:tc>
        <w:tc>
          <w:tcPr>
            <w:tcW w:w="866" w:type="pct"/>
            <w:tcBorders>
              <w:top w:val="nil"/>
              <w:left w:val="nil"/>
              <w:bottom w:val="nil"/>
              <w:right w:val="nil"/>
            </w:tcBorders>
            <w:shd w:val="clear" w:color="auto" w:fill="auto"/>
            <w:noWrap/>
            <w:vAlign w:val="bottom"/>
            <w:hideMark/>
          </w:tcPr>
          <w:p w14:paraId="182F8B18"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589 664</w:t>
            </w:r>
          </w:p>
        </w:tc>
        <w:tc>
          <w:tcPr>
            <w:tcW w:w="866" w:type="pct"/>
            <w:tcBorders>
              <w:top w:val="nil"/>
              <w:left w:val="nil"/>
              <w:bottom w:val="nil"/>
              <w:right w:val="nil"/>
            </w:tcBorders>
            <w:shd w:val="clear" w:color="auto" w:fill="auto"/>
            <w:noWrap/>
            <w:vAlign w:val="bottom"/>
            <w:hideMark/>
          </w:tcPr>
          <w:p w14:paraId="72F7CC2B"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(53 966)</w:t>
            </w:r>
          </w:p>
        </w:tc>
      </w:tr>
      <w:tr w:rsidR="00A61CFE" w14:paraId="5768A354" w14:textId="77777777" w:rsidTr="00A61CFE">
        <w:trPr>
          <w:trHeight w:val="240"/>
        </w:trPr>
        <w:tc>
          <w:tcPr>
            <w:tcW w:w="2401" w:type="pct"/>
            <w:tcBorders>
              <w:top w:val="nil"/>
              <w:left w:val="nil"/>
              <w:bottom w:val="nil"/>
              <w:right w:val="nil"/>
            </w:tcBorders>
            <w:shd w:val="clear" w:color="auto" w:fill="auto"/>
            <w:noWrap/>
            <w:vAlign w:val="bottom"/>
            <w:hideMark/>
          </w:tcPr>
          <w:p w14:paraId="3B019DF9" w14:textId="77777777" w:rsidR="00A61CFE" w:rsidRDefault="00A61CFE" w:rsidP="00454EE7">
            <w:pPr>
              <w:spacing w:line="18" w:lineRule="atLeast"/>
              <w:rPr>
                <w:rFonts w:ascii="Cambria" w:hAnsi="Cambria" w:cs="Arial"/>
                <w:color w:val="000000"/>
                <w:sz w:val="18"/>
                <w:szCs w:val="18"/>
              </w:rPr>
            </w:pPr>
            <w:r>
              <w:rPr>
                <w:rFonts w:ascii="Cambria" w:hAnsi="Cambria"/>
                <w:color w:val="000000"/>
                <w:sz w:val="18"/>
              </w:rPr>
              <w:t>Prêt de la SANPAOLO 2 - portion à long terme</w:t>
            </w:r>
          </w:p>
        </w:tc>
        <w:tc>
          <w:tcPr>
            <w:tcW w:w="866" w:type="pct"/>
            <w:tcBorders>
              <w:top w:val="nil"/>
              <w:left w:val="nil"/>
              <w:bottom w:val="nil"/>
              <w:right w:val="nil"/>
            </w:tcBorders>
            <w:shd w:val="clear" w:color="auto" w:fill="auto"/>
            <w:noWrap/>
            <w:vAlign w:val="bottom"/>
            <w:hideMark/>
          </w:tcPr>
          <w:p w14:paraId="4816243C"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502 087</w:t>
            </w:r>
          </w:p>
        </w:tc>
        <w:tc>
          <w:tcPr>
            <w:tcW w:w="866" w:type="pct"/>
            <w:tcBorders>
              <w:top w:val="nil"/>
              <w:left w:val="nil"/>
              <w:bottom w:val="nil"/>
              <w:right w:val="nil"/>
            </w:tcBorders>
            <w:shd w:val="clear" w:color="auto" w:fill="auto"/>
            <w:noWrap/>
            <w:vAlign w:val="bottom"/>
            <w:hideMark/>
          </w:tcPr>
          <w:p w14:paraId="1478F647"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703 361</w:t>
            </w:r>
          </w:p>
        </w:tc>
        <w:tc>
          <w:tcPr>
            <w:tcW w:w="866" w:type="pct"/>
            <w:tcBorders>
              <w:top w:val="nil"/>
              <w:left w:val="nil"/>
              <w:bottom w:val="nil"/>
              <w:right w:val="nil"/>
            </w:tcBorders>
            <w:shd w:val="clear" w:color="auto" w:fill="auto"/>
            <w:noWrap/>
            <w:vAlign w:val="bottom"/>
            <w:hideMark/>
          </w:tcPr>
          <w:p w14:paraId="7F8CCB85"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(201 274)</w:t>
            </w:r>
          </w:p>
        </w:tc>
      </w:tr>
      <w:tr w:rsidR="00A61CFE" w14:paraId="6E659139" w14:textId="77777777" w:rsidTr="00A61CFE">
        <w:trPr>
          <w:trHeight w:val="240"/>
        </w:trPr>
        <w:tc>
          <w:tcPr>
            <w:tcW w:w="2401" w:type="pct"/>
            <w:tcBorders>
              <w:top w:val="nil"/>
              <w:left w:val="nil"/>
              <w:bottom w:val="nil"/>
              <w:right w:val="nil"/>
            </w:tcBorders>
            <w:shd w:val="clear" w:color="auto" w:fill="auto"/>
            <w:noWrap/>
            <w:vAlign w:val="bottom"/>
            <w:hideMark/>
          </w:tcPr>
          <w:p w14:paraId="644EAAA6" w14:textId="77777777" w:rsidR="00A61CFE" w:rsidRDefault="00A61CFE" w:rsidP="00454EE7">
            <w:pPr>
              <w:spacing w:line="18" w:lineRule="atLeast"/>
              <w:rPr>
                <w:rFonts w:ascii="Cambria" w:hAnsi="Cambria" w:cs="Arial"/>
                <w:color w:val="000000"/>
                <w:sz w:val="18"/>
                <w:szCs w:val="18"/>
              </w:rPr>
            </w:pPr>
            <w:r>
              <w:rPr>
                <w:rFonts w:ascii="Cambria" w:hAnsi="Cambria"/>
                <w:color w:val="000000"/>
                <w:sz w:val="18"/>
              </w:rPr>
              <w:t>Prêt de la BPM - portion à long terme</w:t>
            </w:r>
          </w:p>
        </w:tc>
        <w:tc>
          <w:tcPr>
            <w:tcW w:w="866" w:type="pct"/>
            <w:tcBorders>
              <w:top w:val="nil"/>
              <w:left w:val="nil"/>
              <w:bottom w:val="nil"/>
              <w:right w:val="nil"/>
            </w:tcBorders>
            <w:shd w:val="clear" w:color="auto" w:fill="auto"/>
            <w:noWrap/>
            <w:vAlign w:val="bottom"/>
            <w:hideMark/>
          </w:tcPr>
          <w:p w14:paraId="38F59A0A"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726 521</w:t>
            </w:r>
          </w:p>
        </w:tc>
        <w:tc>
          <w:tcPr>
            <w:tcW w:w="866" w:type="pct"/>
            <w:tcBorders>
              <w:top w:val="nil"/>
              <w:left w:val="nil"/>
              <w:bottom w:val="nil"/>
              <w:right w:val="nil"/>
            </w:tcBorders>
            <w:shd w:val="clear" w:color="auto" w:fill="auto"/>
            <w:noWrap/>
            <w:vAlign w:val="bottom"/>
            <w:hideMark/>
          </w:tcPr>
          <w:p w14:paraId="41235583"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822 811</w:t>
            </w:r>
          </w:p>
        </w:tc>
        <w:tc>
          <w:tcPr>
            <w:tcW w:w="866" w:type="pct"/>
            <w:tcBorders>
              <w:top w:val="nil"/>
              <w:left w:val="nil"/>
              <w:bottom w:val="nil"/>
              <w:right w:val="nil"/>
            </w:tcBorders>
            <w:shd w:val="clear" w:color="auto" w:fill="auto"/>
            <w:noWrap/>
            <w:vAlign w:val="bottom"/>
            <w:hideMark/>
          </w:tcPr>
          <w:p w14:paraId="0394614E"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(96 290)</w:t>
            </w:r>
          </w:p>
        </w:tc>
      </w:tr>
      <w:tr w:rsidR="00A61CFE" w14:paraId="0472992E" w14:textId="77777777" w:rsidTr="00A61CFE">
        <w:trPr>
          <w:trHeight w:val="240"/>
        </w:trPr>
        <w:tc>
          <w:tcPr>
            <w:tcW w:w="2401" w:type="pct"/>
            <w:tcBorders>
              <w:top w:val="nil"/>
              <w:left w:val="nil"/>
              <w:bottom w:val="nil"/>
              <w:right w:val="nil"/>
            </w:tcBorders>
            <w:shd w:val="clear" w:color="auto" w:fill="auto"/>
            <w:noWrap/>
            <w:vAlign w:val="bottom"/>
            <w:hideMark/>
          </w:tcPr>
          <w:p w14:paraId="49813822" w14:textId="77777777" w:rsidR="00A61CFE" w:rsidRDefault="00A61CFE" w:rsidP="00454EE7">
            <w:pPr>
              <w:spacing w:line="18" w:lineRule="atLeast"/>
              <w:rPr>
                <w:rFonts w:ascii="Cambria" w:hAnsi="Cambria" w:cs="Arial"/>
                <w:color w:val="000000"/>
                <w:sz w:val="18"/>
                <w:szCs w:val="18"/>
              </w:rPr>
            </w:pPr>
            <w:r>
              <w:rPr>
                <w:rFonts w:ascii="Cambria" w:hAnsi="Cambria"/>
                <w:color w:val="000000"/>
                <w:sz w:val="18"/>
              </w:rPr>
              <w:t>Prêt de la BPB 2 - portion à long terme</w:t>
            </w:r>
          </w:p>
        </w:tc>
        <w:tc>
          <w:tcPr>
            <w:tcW w:w="866" w:type="pct"/>
            <w:tcBorders>
              <w:top w:val="nil"/>
              <w:left w:val="nil"/>
              <w:bottom w:val="nil"/>
              <w:right w:val="nil"/>
            </w:tcBorders>
            <w:shd w:val="clear" w:color="auto" w:fill="auto"/>
            <w:noWrap/>
            <w:vAlign w:val="bottom"/>
            <w:hideMark/>
          </w:tcPr>
          <w:p w14:paraId="7D535713"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710 230</w:t>
            </w:r>
          </w:p>
        </w:tc>
        <w:tc>
          <w:tcPr>
            <w:tcW w:w="866" w:type="pct"/>
            <w:tcBorders>
              <w:top w:val="nil"/>
              <w:left w:val="nil"/>
              <w:bottom w:val="nil"/>
              <w:right w:val="nil"/>
            </w:tcBorders>
            <w:shd w:val="clear" w:color="auto" w:fill="auto"/>
            <w:noWrap/>
            <w:vAlign w:val="bottom"/>
            <w:hideMark/>
          </w:tcPr>
          <w:p w14:paraId="0140753C"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774 445</w:t>
            </w:r>
          </w:p>
        </w:tc>
        <w:tc>
          <w:tcPr>
            <w:tcW w:w="866" w:type="pct"/>
            <w:tcBorders>
              <w:top w:val="nil"/>
              <w:left w:val="nil"/>
              <w:bottom w:val="nil"/>
              <w:right w:val="nil"/>
            </w:tcBorders>
            <w:shd w:val="clear" w:color="auto" w:fill="auto"/>
            <w:noWrap/>
            <w:vAlign w:val="bottom"/>
            <w:hideMark/>
          </w:tcPr>
          <w:p w14:paraId="20DE1FB1"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(64 215)</w:t>
            </w:r>
          </w:p>
        </w:tc>
      </w:tr>
      <w:tr w:rsidR="00A61CFE" w14:paraId="56F098F8" w14:textId="77777777" w:rsidTr="00A61CFE">
        <w:trPr>
          <w:trHeight w:val="240"/>
        </w:trPr>
        <w:tc>
          <w:tcPr>
            <w:tcW w:w="2401" w:type="pct"/>
            <w:tcBorders>
              <w:top w:val="nil"/>
              <w:left w:val="nil"/>
              <w:bottom w:val="nil"/>
              <w:right w:val="nil"/>
            </w:tcBorders>
            <w:shd w:val="clear" w:color="auto" w:fill="auto"/>
            <w:noWrap/>
            <w:vAlign w:val="bottom"/>
            <w:hideMark/>
          </w:tcPr>
          <w:p w14:paraId="3B6B2A74" w14:textId="77777777" w:rsidR="00A61CFE" w:rsidRDefault="00A61CFE" w:rsidP="00454EE7">
            <w:pPr>
              <w:spacing w:line="18" w:lineRule="atLeast"/>
              <w:rPr>
                <w:rFonts w:ascii="Cambria" w:hAnsi="Cambria" w:cs="Arial"/>
                <w:color w:val="000000"/>
                <w:sz w:val="18"/>
                <w:szCs w:val="18"/>
              </w:rPr>
            </w:pPr>
            <w:r>
              <w:rPr>
                <w:rFonts w:ascii="Cambria" w:hAnsi="Cambria"/>
                <w:color w:val="000000"/>
                <w:sz w:val="18"/>
              </w:rPr>
              <w:t>Prêt de la BDF - portion à long terme</w:t>
            </w:r>
          </w:p>
        </w:tc>
        <w:tc>
          <w:tcPr>
            <w:tcW w:w="866" w:type="pct"/>
            <w:tcBorders>
              <w:top w:val="nil"/>
              <w:left w:val="nil"/>
              <w:bottom w:val="nil"/>
              <w:right w:val="nil"/>
            </w:tcBorders>
            <w:shd w:val="clear" w:color="auto" w:fill="auto"/>
            <w:noWrap/>
            <w:vAlign w:val="bottom"/>
            <w:hideMark/>
          </w:tcPr>
          <w:p w14:paraId="194870D5"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752 752</w:t>
            </w:r>
          </w:p>
        </w:tc>
        <w:tc>
          <w:tcPr>
            <w:tcW w:w="866" w:type="pct"/>
            <w:tcBorders>
              <w:top w:val="nil"/>
              <w:left w:val="nil"/>
              <w:bottom w:val="nil"/>
              <w:right w:val="nil"/>
            </w:tcBorders>
            <w:shd w:val="clear" w:color="auto" w:fill="auto"/>
            <w:noWrap/>
            <w:vAlign w:val="bottom"/>
            <w:hideMark/>
          </w:tcPr>
          <w:p w14:paraId="0B1D5E85"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818 097</w:t>
            </w:r>
          </w:p>
        </w:tc>
        <w:tc>
          <w:tcPr>
            <w:tcW w:w="866" w:type="pct"/>
            <w:tcBorders>
              <w:top w:val="nil"/>
              <w:left w:val="nil"/>
              <w:bottom w:val="nil"/>
              <w:right w:val="nil"/>
            </w:tcBorders>
            <w:shd w:val="clear" w:color="auto" w:fill="auto"/>
            <w:noWrap/>
            <w:vAlign w:val="bottom"/>
            <w:hideMark/>
          </w:tcPr>
          <w:p w14:paraId="00BFBE35"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(65 345)</w:t>
            </w:r>
          </w:p>
        </w:tc>
      </w:tr>
      <w:tr w:rsidR="00A61CFE" w14:paraId="0F955667" w14:textId="77777777" w:rsidTr="00A61CFE">
        <w:trPr>
          <w:trHeight w:val="240"/>
        </w:trPr>
        <w:tc>
          <w:tcPr>
            <w:tcW w:w="2401" w:type="pct"/>
            <w:tcBorders>
              <w:top w:val="nil"/>
              <w:left w:val="nil"/>
              <w:bottom w:val="nil"/>
              <w:right w:val="nil"/>
            </w:tcBorders>
            <w:shd w:val="clear" w:color="auto" w:fill="auto"/>
            <w:noWrap/>
            <w:vAlign w:val="bottom"/>
            <w:hideMark/>
          </w:tcPr>
          <w:p w14:paraId="67295841" w14:textId="77777777" w:rsidR="00A61CFE" w:rsidRDefault="00A61CFE" w:rsidP="00454EE7">
            <w:pPr>
              <w:spacing w:line="18" w:lineRule="atLeast"/>
              <w:rPr>
                <w:rFonts w:ascii="Cambria" w:hAnsi="Cambria" w:cs="Arial"/>
                <w:color w:val="000000"/>
                <w:sz w:val="18"/>
                <w:szCs w:val="18"/>
              </w:rPr>
            </w:pPr>
            <w:r>
              <w:rPr>
                <w:rFonts w:ascii="Cambria" w:hAnsi="Cambria"/>
                <w:color w:val="000000"/>
                <w:sz w:val="18"/>
              </w:rPr>
              <w:t xml:space="preserve">Prêt de la </w:t>
            </w:r>
            <w:proofErr w:type="spellStart"/>
            <w:r>
              <w:rPr>
                <w:rFonts w:ascii="Cambria" w:hAnsi="Cambria"/>
                <w:color w:val="000000"/>
                <w:sz w:val="18"/>
              </w:rPr>
              <w:t>Sanpaolo</w:t>
            </w:r>
            <w:proofErr w:type="spellEnd"/>
            <w:r>
              <w:rPr>
                <w:rFonts w:ascii="Cambria" w:hAnsi="Cambria"/>
                <w:color w:val="000000"/>
                <w:sz w:val="18"/>
              </w:rPr>
              <w:t xml:space="preserve"> 3 - portion à long terme</w:t>
            </w:r>
          </w:p>
        </w:tc>
        <w:tc>
          <w:tcPr>
            <w:tcW w:w="866" w:type="pct"/>
            <w:tcBorders>
              <w:top w:val="nil"/>
              <w:left w:val="nil"/>
              <w:bottom w:val="nil"/>
              <w:right w:val="nil"/>
            </w:tcBorders>
            <w:shd w:val="clear" w:color="auto" w:fill="auto"/>
            <w:noWrap/>
            <w:vAlign w:val="bottom"/>
            <w:hideMark/>
          </w:tcPr>
          <w:p w14:paraId="382BAC13"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719 037</w:t>
            </w:r>
          </w:p>
        </w:tc>
        <w:tc>
          <w:tcPr>
            <w:tcW w:w="866" w:type="pct"/>
            <w:tcBorders>
              <w:top w:val="nil"/>
              <w:left w:val="nil"/>
              <w:bottom w:val="nil"/>
              <w:right w:val="nil"/>
            </w:tcBorders>
            <w:shd w:val="clear" w:color="auto" w:fill="auto"/>
            <w:noWrap/>
            <w:vAlign w:val="bottom"/>
            <w:hideMark/>
          </w:tcPr>
          <w:p w14:paraId="7E753568"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0</w:t>
            </w:r>
          </w:p>
        </w:tc>
        <w:tc>
          <w:tcPr>
            <w:tcW w:w="866" w:type="pct"/>
            <w:tcBorders>
              <w:top w:val="nil"/>
              <w:left w:val="nil"/>
              <w:bottom w:val="nil"/>
              <w:right w:val="nil"/>
            </w:tcBorders>
            <w:shd w:val="clear" w:color="auto" w:fill="auto"/>
            <w:noWrap/>
            <w:vAlign w:val="bottom"/>
            <w:hideMark/>
          </w:tcPr>
          <w:p w14:paraId="718ED52F"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719 037</w:t>
            </w:r>
          </w:p>
        </w:tc>
      </w:tr>
      <w:tr w:rsidR="00A61CFE" w14:paraId="7400B134" w14:textId="77777777" w:rsidTr="00A61CFE">
        <w:trPr>
          <w:trHeight w:val="255"/>
        </w:trPr>
        <w:tc>
          <w:tcPr>
            <w:tcW w:w="2401" w:type="pct"/>
            <w:tcBorders>
              <w:top w:val="nil"/>
              <w:left w:val="nil"/>
              <w:bottom w:val="nil"/>
              <w:right w:val="nil"/>
            </w:tcBorders>
            <w:shd w:val="clear" w:color="auto" w:fill="auto"/>
            <w:noWrap/>
            <w:vAlign w:val="bottom"/>
            <w:hideMark/>
          </w:tcPr>
          <w:p w14:paraId="6F20574D" w14:textId="77777777" w:rsidR="00A61CFE" w:rsidRDefault="00A61CFE" w:rsidP="00454EE7">
            <w:pPr>
              <w:spacing w:line="18" w:lineRule="atLeast"/>
              <w:rPr>
                <w:rFonts w:ascii="Cambria" w:hAnsi="Cambria" w:cs="Arial"/>
                <w:b/>
                <w:bCs/>
                <w:color w:val="000000"/>
                <w:sz w:val="18"/>
                <w:szCs w:val="18"/>
              </w:rPr>
            </w:pPr>
            <w:r>
              <w:rPr>
                <w:rFonts w:ascii="Cambria" w:hAnsi="Cambria"/>
                <w:b/>
                <w:color w:val="000000"/>
                <w:sz w:val="18"/>
              </w:rPr>
              <w:t>Total Prêts à moyen et long terme</w:t>
            </w:r>
          </w:p>
        </w:tc>
        <w:tc>
          <w:tcPr>
            <w:tcW w:w="866" w:type="pct"/>
            <w:tcBorders>
              <w:top w:val="single" w:sz="4" w:space="0" w:color="auto"/>
              <w:left w:val="nil"/>
              <w:bottom w:val="single" w:sz="8" w:space="0" w:color="auto"/>
              <w:right w:val="nil"/>
            </w:tcBorders>
            <w:shd w:val="clear" w:color="auto" w:fill="auto"/>
            <w:noWrap/>
            <w:vAlign w:val="bottom"/>
            <w:hideMark/>
          </w:tcPr>
          <w:p w14:paraId="46C2136B" w14:textId="77777777" w:rsidR="00A61CFE" w:rsidRDefault="00A61CFE" w:rsidP="00454EE7">
            <w:pPr>
              <w:spacing w:line="18" w:lineRule="atLeast"/>
              <w:jc w:val="right"/>
              <w:rPr>
                <w:rFonts w:ascii="Cambria" w:hAnsi="Cambria" w:cs="Arial"/>
                <w:b/>
                <w:bCs/>
                <w:color w:val="000000"/>
                <w:sz w:val="18"/>
                <w:szCs w:val="18"/>
              </w:rPr>
            </w:pPr>
            <w:r>
              <w:rPr>
                <w:rFonts w:ascii="Cambria" w:hAnsi="Cambria"/>
                <w:b/>
                <w:color w:val="000000"/>
                <w:sz w:val="18"/>
              </w:rPr>
              <w:t>4 197 711</w:t>
            </w:r>
          </w:p>
        </w:tc>
        <w:tc>
          <w:tcPr>
            <w:tcW w:w="866" w:type="pct"/>
            <w:tcBorders>
              <w:top w:val="single" w:sz="4" w:space="0" w:color="auto"/>
              <w:left w:val="nil"/>
              <w:bottom w:val="single" w:sz="8" w:space="0" w:color="auto"/>
              <w:right w:val="nil"/>
            </w:tcBorders>
            <w:shd w:val="clear" w:color="auto" w:fill="auto"/>
            <w:noWrap/>
            <w:vAlign w:val="bottom"/>
            <w:hideMark/>
          </w:tcPr>
          <w:p w14:paraId="1E6FBFD2" w14:textId="77777777" w:rsidR="00A61CFE" w:rsidRDefault="00A61CFE" w:rsidP="00454EE7">
            <w:pPr>
              <w:spacing w:line="18" w:lineRule="atLeast"/>
              <w:jc w:val="right"/>
              <w:rPr>
                <w:rFonts w:ascii="Cambria" w:hAnsi="Cambria" w:cs="Arial"/>
                <w:b/>
                <w:bCs/>
                <w:color w:val="000000"/>
                <w:sz w:val="18"/>
                <w:szCs w:val="18"/>
              </w:rPr>
            </w:pPr>
            <w:r>
              <w:rPr>
                <w:rFonts w:ascii="Cambria" w:hAnsi="Cambria"/>
                <w:b/>
                <w:color w:val="000000"/>
                <w:sz w:val="18"/>
              </w:rPr>
              <w:t>4 115 858</w:t>
            </w:r>
          </w:p>
        </w:tc>
        <w:tc>
          <w:tcPr>
            <w:tcW w:w="866" w:type="pct"/>
            <w:tcBorders>
              <w:top w:val="single" w:sz="4" w:space="0" w:color="auto"/>
              <w:left w:val="nil"/>
              <w:bottom w:val="single" w:sz="8" w:space="0" w:color="auto"/>
              <w:right w:val="nil"/>
            </w:tcBorders>
            <w:shd w:val="clear" w:color="auto" w:fill="auto"/>
            <w:noWrap/>
            <w:vAlign w:val="bottom"/>
            <w:hideMark/>
          </w:tcPr>
          <w:p w14:paraId="401EADDC" w14:textId="77777777" w:rsidR="00A61CFE" w:rsidRDefault="00A61CFE" w:rsidP="00454EE7">
            <w:pPr>
              <w:spacing w:line="18" w:lineRule="atLeast"/>
              <w:jc w:val="right"/>
              <w:rPr>
                <w:rFonts w:ascii="Cambria" w:hAnsi="Cambria" w:cs="Arial"/>
                <w:b/>
                <w:bCs/>
                <w:color w:val="000000"/>
                <w:sz w:val="18"/>
                <w:szCs w:val="18"/>
              </w:rPr>
            </w:pPr>
            <w:r>
              <w:rPr>
                <w:rFonts w:ascii="Cambria" w:hAnsi="Cambria"/>
                <w:b/>
                <w:color w:val="000000"/>
                <w:sz w:val="18"/>
              </w:rPr>
              <w:t>81 853</w:t>
            </w:r>
          </w:p>
        </w:tc>
      </w:tr>
    </w:tbl>
    <w:p w14:paraId="222C5F72" w14:textId="0E7F86A6" w:rsidR="0009301E" w:rsidRDefault="0009301E" w:rsidP="00454EE7">
      <w:pPr>
        <w:spacing w:after="200" w:line="18" w:lineRule="atLeast"/>
        <w:jc w:val="both"/>
        <w:rPr>
          <w:rFonts w:ascii="Cambria" w:hAnsi="Cambria"/>
          <w:sz w:val="22"/>
          <w:szCs w:val="22"/>
        </w:rPr>
      </w:pPr>
    </w:p>
    <w:p w14:paraId="545542C6" w14:textId="255963FD" w:rsidR="00E16D12" w:rsidRPr="00C17031" w:rsidRDefault="009A7135" w:rsidP="00454EE7">
      <w:pPr>
        <w:spacing w:after="200" w:line="18" w:lineRule="atLeast"/>
        <w:jc w:val="both"/>
        <w:rPr>
          <w:rFonts w:ascii="Cambria" w:hAnsi="Cambria"/>
          <w:sz w:val="22"/>
          <w:szCs w:val="22"/>
        </w:rPr>
      </w:pPr>
      <w:r>
        <w:rPr>
          <w:rFonts w:ascii="Cambria" w:hAnsi="Cambria"/>
          <w:sz w:val="22"/>
        </w:rPr>
        <w:t>Ce poste se réfère à la partie à moyen/long terme des prêts bancaires en cours aux dates de référence.</w:t>
      </w:r>
    </w:p>
    <w:p w14:paraId="65EF98CB" w14:textId="41DC8C5B" w:rsidR="009A7135" w:rsidRDefault="009A7135" w:rsidP="00454EE7">
      <w:pPr>
        <w:spacing w:after="200" w:line="18" w:lineRule="atLeast"/>
        <w:jc w:val="both"/>
        <w:rPr>
          <w:rFonts w:ascii="Cambria" w:hAnsi="Cambria"/>
          <w:sz w:val="22"/>
          <w:szCs w:val="22"/>
        </w:rPr>
      </w:pPr>
      <w:r>
        <w:rPr>
          <w:rFonts w:ascii="Cambria" w:hAnsi="Cambria"/>
          <w:sz w:val="22"/>
        </w:rPr>
        <w:t>Les mouvements globaux des dettes à court et moyen/long terme envers les banques sont présentés ci-dessous :</w:t>
      </w:r>
    </w:p>
    <w:tbl>
      <w:tblPr>
        <w:tblW w:w="4964" w:type="pct"/>
        <w:tblCellMar>
          <w:left w:w="70" w:type="dxa"/>
          <w:right w:w="70" w:type="dxa"/>
        </w:tblCellMar>
        <w:tblLook w:val="04A0" w:firstRow="1" w:lastRow="0" w:firstColumn="1" w:lastColumn="0" w:noHBand="0" w:noVBand="1"/>
      </w:tblPr>
      <w:tblGrid>
        <w:gridCol w:w="4766"/>
        <w:gridCol w:w="1208"/>
        <w:gridCol w:w="1023"/>
        <w:gridCol w:w="1606"/>
        <w:gridCol w:w="966"/>
      </w:tblGrid>
      <w:tr w:rsidR="0014442B" w14:paraId="1283779F" w14:textId="77777777" w:rsidTr="0061181E">
        <w:trPr>
          <w:trHeight w:val="495"/>
        </w:trPr>
        <w:tc>
          <w:tcPr>
            <w:tcW w:w="2519" w:type="pct"/>
            <w:tcBorders>
              <w:top w:val="single" w:sz="4" w:space="0" w:color="0070C0"/>
              <w:left w:val="nil"/>
              <w:bottom w:val="single" w:sz="8" w:space="0" w:color="0070C0"/>
              <w:right w:val="nil"/>
            </w:tcBorders>
            <w:shd w:val="clear" w:color="auto" w:fill="auto"/>
            <w:noWrap/>
            <w:vAlign w:val="bottom"/>
            <w:hideMark/>
          </w:tcPr>
          <w:p w14:paraId="3B0ADC61" w14:textId="77777777" w:rsidR="00A61CFE" w:rsidRDefault="00A61CFE" w:rsidP="00454EE7">
            <w:pPr>
              <w:spacing w:line="18" w:lineRule="atLeast"/>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659" w:type="pct"/>
            <w:tcBorders>
              <w:top w:val="single" w:sz="4" w:space="0" w:color="0070C0"/>
              <w:left w:val="nil"/>
              <w:bottom w:val="single" w:sz="8" w:space="0" w:color="0070C0"/>
              <w:right w:val="nil"/>
            </w:tcBorders>
            <w:shd w:val="clear" w:color="auto" w:fill="auto"/>
            <w:vAlign w:val="bottom"/>
            <w:hideMark/>
          </w:tcPr>
          <w:p w14:paraId="2AB54304" w14:textId="77777777" w:rsidR="00A61CFE" w:rsidRDefault="00A61CFE" w:rsidP="00454EE7">
            <w:pPr>
              <w:spacing w:line="18" w:lineRule="atLeast"/>
              <w:jc w:val="center"/>
              <w:rPr>
                <w:rFonts w:ascii="Cambria" w:hAnsi="Cambria" w:cs="Arial"/>
                <w:b/>
                <w:bCs/>
                <w:color w:val="000000"/>
                <w:sz w:val="18"/>
                <w:szCs w:val="18"/>
              </w:rPr>
            </w:pPr>
            <w:r>
              <w:rPr>
                <w:rFonts w:ascii="Cambria" w:hAnsi="Cambria"/>
                <w:b/>
                <w:color w:val="000000"/>
                <w:sz w:val="18"/>
              </w:rPr>
              <w:t>31 décembre 2020</w:t>
            </w:r>
          </w:p>
        </w:tc>
        <w:tc>
          <w:tcPr>
            <w:tcW w:w="562" w:type="pct"/>
            <w:tcBorders>
              <w:top w:val="single" w:sz="4" w:space="0" w:color="0070C0"/>
              <w:left w:val="nil"/>
              <w:bottom w:val="single" w:sz="8" w:space="0" w:color="0070C0"/>
              <w:right w:val="nil"/>
            </w:tcBorders>
            <w:shd w:val="clear" w:color="auto" w:fill="auto"/>
            <w:vAlign w:val="bottom"/>
            <w:hideMark/>
          </w:tcPr>
          <w:p w14:paraId="06D8B8C3" w14:textId="77777777" w:rsidR="00A61CFE" w:rsidRDefault="00A61CFE" w:rsidP="00454EE7">
            <w:pPr>
              <w:spacing w:line="18" w:lineRule="atLeast"/>
              <w:jc w:val="center"/>
              <w:rPr>
                <w:rFonts w:ascii="Cambria" w:hAnsi="Cambria" w:cs="Arial"/>
                <w:b/>
                <w:bCs/>
                <w:color w:val="000000"/>
                <w:sz w:val="18"/>
                <w:szCs w:val="18"/>
              </w:rPr>
            </w:pPr>
            <w:r>
              <w:rPr>
                <w:rFonts w:ascii="Cambria" w:hAnsi="Cambria"/>
                <w:b/>
                <w:color w:val="000000"/>
                <w:sz w:val="18"/>
              </w:rPr>
              <w:t>Débours</w:t>
            </w:r>
          </w:p>
        </w:tc>
        <w:tc>
          <w:tcPr>
            <w:tcW w:w="747" w:type="pct"/>
            <w:tcBorders>
              <w:top w:val="single" w:sz="4" w:space="0" w:color="0070C0"/>
              <w:left w:val="nil"/>
              <w:bottom w:val="single" w:sz="8" w:space="0" w:color="0070C0"/>
              <w:right w:val="nil"/>
            </w:tcBorders>
            <w:shd w:val="clear" w:color="auto" w:fill="auto"/>
            <w:vAlign w:val="bottom"/>
            <w:hideMark/>
          </w:tcPr>
          <w:p w14:paraId="4334CF2E" w14:textId="77777777" w:rsidR="00A61CFE" w:rsidRDefault="00A61CFE" w:rsidP="00454EE7">
            <w:pPr>
              <w:spacing w:line="18" w:lineRule="atLeast"/>
              <w:jc w:val="center"/>
              <w:rPr>
                <w:rFonts w:ascii="Cambria" w:hAnsi="Cambria" w:cs="Arial"/>
                <w:b/>
                <w:bCs/>
                <w:color w:val="000000"/>
                <w:sz w:val="18"/>
                <w:szCs w:val="18"/>
              </w:rPr>
            </w:pPr>
            <w:r>
              <w:rPr>
                <w:rFonts w:ascii="Cambria" w:hAnsi="Cambria"/>
                <w:b/>
                <w:color w:val="000000"/>
                <w:sz w:val="18"/>
              </w:rPr>
              <w:t>Remboursements</w:t>
            </w:r>
          </w:p>
        </w:tc>
        <w:tc>
          <w:tcPr>
            <w:tcW w:w="513" w:type="pct"/>
            <w:tcBorders>
              <w:top w:val="single" w:sz="4" w:space="0" w:color="0070C0"/>
              <w:left w:val="nil"/>
              <w:bottom w:val="single" w:sz="8" w:space="0" w:color="0070C0"/>
              <w:right w:val="nil"/>
            </w:tcBorders>
            <w:shd w:val="clear" w:color="auto" w:fill="auto"/>
            <w:vAlign w:val="bottom"/>
            <w:hideMark/>
          </w:tcPr>
          <w:p w14:paraId="4DD85281" w14:textId="77777777" w:rsidR="00A61CFE" w:rsidRDefault="00A61CFE" w:rsidP="00454EE7">
            <w:pPr>
              <w:spacing w:line="18" w:lineRule="atLeast"/>
              <w:jc w:val="center"/>
              <w:rPr>
                <w:rFonts w:ascii="Cambria" w:hAnsi="Cambria" w:cs="Arial"/>
                <w:b/>
                <w:bCs/>
                <w:color w:val="000000"/>
                <w:sz w:val="18"/>
                <w:szCs w:val="18"/>
              </w:rPr>
            </w:pPr>
            <w:r>
              <w:rPr>
                <w:rFonts w:ascii="Cambria" w:hAnsi="Cambria"/>
                <w:b/>
                <w:color w:val="000000"/>
                <w:sz w:val="18"/>
              </w:rPr>
              <w:t xml:space="preserve">Au 30 juin </w:t>
            </w:r>
          </w:p>
          <w:p w14:paraId="5BFCF658" w14:textId="3DC51C38" w:rsidR="00A61CFE" w:rsidRDefault="00A61CFE" w:rsidP="00454EE7">
            <w:pPr>
              <w:spacing w:line="18" w:lineRule="atLeast"/>
              <w:jc w:val="center"/>
              <w:rPr>
                <w:rFonts w:ascii="Cambria" w:hAnsi="Cambria" w:cs="Arial"/>
                <w:b/>
                <w:bCs/>
                <w:color w:val="000000"/>
                <w:sz w:val="18"/>
                <w:szCs w:val="18"/>
              </w:rPr>
            </w:pPr>
            <w:r>
              <w:rPr>
                <w:rFonts w:ascii="Cambria" w:hAnsi="Cambria"/>
                <w:b/>
                <w:color w:val="000000"/>
                <w:sz w:val="18"/>
              </w:rPr>
              <w:t>2021</w:t>
            </w:r>
          </w:p>
        </w:tc>
      </w:tr>
      <w:tr w:rsidR="0014442B" w14:paraId="13A5BC0E" w14:textId="77777777" w:rsidTr="0061181E">
        <w:trPr>
          <w:trHeight w:val="240"/>
        </w:trPr>
        <w:tc>
          <w:tcPr>
            <w:tcW w:w="2519" w:type="pct"/>
            <w:tcBorders>
              <w:top w:val="nil"/>
              <w:left w:val="nil"/>
              <w:bottom w:val="nil"/>
              <w:right w:val="nil"/>
            </w:tcBorders>
            <w:shd w:val="clear" w:color="auto" w:fill="auto"/>
            <w:noWrap/>
            <w:vAlign w:val="bottom"/>
            <w:hideMark/>
          </w:tcPr>
          <w:p w14:paraId="5890C695" w14:textId="77777777" w:rsidR="00A61CFE" w:rsidRDefault="00A61CFE" w:rsidP="00454EE7">
            <w:pPr>
              <w:spacing w:line="18" w:lineRule="atLeast"/>
              <w:rPr>
                <w:rFonts w:ascii="Cambria" w:hAnsi="Cambria" w:cs="Arial"/>
                <w:color w:val="000000"/>
                <w:sz w:val="18"/>
                <w:szCs w:val="18"/>
              </w:rPr>
            </w:pPr>
            <w:r>
              <w:rPr>
                <w:rFonts w:ascii="Cambria" w:hAnsi="Cambria"/>
                <w:color w:val="000000"/>
                <w:sz w:val="18"/>
              </w:rPr>
              <w:t>Prêt de la BCC</w:t>
            </w:r>
          </w:p>
        </w:tc>
        <w:tc>
          <w:tcPr>
            <w:tcW w:w="659" w:type="pct"/>
            <w:tcBorders>
              <w:top w:val="nil"/>
              <w:left w:val="nil"/>
              <w:bottom w:val="nil"/>
              <w:right w:val="nil"/>
            </w:tcBorders>
            <w:shd w:val="clear" w:color="auto" w:fill="auto"/>
            <w:noWrap/>
            <w:vAlign w:val="bottom"/>
            <w:hideMark/>
          </w:tcPr>
          <w:p w14:paraId="451F2855"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175 055</w:t>
            </w:r>
          </w:p>
        </w:tc>
        <w:tc>
          <w:tcPr>
            <w:tcW w:w="562" w:type="pct"/>
            <w:tcBorders>
              <w:top w:val="nil"/>
              <w:left w:val="nil"/>
              <w:bottom w:val="nil"/>
              <w:right w:val="nil"/>
            </w:tcBorders>
            <w:shd w:val="clear" w:color="auto" w:fill="auto"/>
            <w:noWrap/>
            <w:vAlign w:val="bottom"/>
            <w:hideMark/>
          </w:tcPr>
          <w:p w14:paraId="575B156D" w14:textId="77777777" w:rsidR="00A61CFE" w:rsidRDefault="00A61CFE" w:rsidP="00454EE7">
            <w:pPr>
              <w:spacing w:line="18" w:lineRule="atLeast"/>
              <w:jc w:val="right"/>
              <w:rPr>
                <w:rFonts w:ascii="Cambria" w:hAnsi="Cambria" w:cs="Arial"/>
                <w:color w:val="000000"/>
                <w:sz w:val="18"/>
                <w:szCs w:val="18"/>
              </w:rPr>
            </w:pPr>
          </w:p>
        </w:tc>
        <w:tc>
          <w:tcPr>
            <w:tcW w:w="747" w:type="pct"/>
            <w:tcBorders>
              <w:top w:val="nil"/>
              <w:left w:val="nil"/>
              <w:bottom w:val="nil"/>
              <w:right w:val="nil"/>
            </w:tcBorders>
            <w:shd w:val="clear" w:color="auto" w:fill="auto"/>
            <w:noWrap/>
            <w:vAlign w:val="bottom"/>
            <w:hideMark/>
          </w:tcPr>
          <w:p w14:paraId="5C51DA8D"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(51 602)</w:t>
            </w:r>
          </w:p>
        </w:tc>
        <w:tc>
          <w:tcPr>
            <w:tcW w:w="513" w:type="pct"/>
            <w:tcBorders>
              <w:top w:val="nil"/>
              <w:left w:val="nil"/>
              <w:bottom w:val="nil"/>
              <w:right w:val="nil"/>
            </w:tcBorders>
            <w:shd w:val="clear" w:color="auto" w:fill="auto"/>
            <w:noWrap/>
            <w:vAlign w:val="bottom"/>
            <w:hideMark/>
          </w:tcPr>
          <w:p w14:paraId="4B3A38E6" w14:textId="77777777" w:rsidR="00A61CFE" w:rsidRDefault="00A61CFE" w:rsidP="00454EE7">
            <w:pPr>
              <w:spacing w:line="18" w:lineRule="atLeast"/>
              <w:jc w:val="right"/>
              <w:rPr>
                <w:rFonts w:ascii="Cambria" w:hAnsi="Cambria" w:cs="Arial"/>
                <w:color w:val="000000"/>
                <w:sz w:val="18"/>
                <w:szCs w:val="18"/>
              </w:rPr>
            </w:pPr>
            <w:r>
              <w:rPr>
                <w:rFonts w:ascii="Cambria" w:hAnsi="Cambria"/>
                <w:color w:val="000000"/>
                <w:sz w:val="18"/>
              </w:rPr>
              <w:t>123 453</w:t>
            </w:r>
          </w:p>
        </w:tc>
      </w:tr>
      <w:tr w:rsidR="0014442B" w14:paraId="654A8991" w14:textId="77777777" w:rsidTr="0061181E">
        <w:trPr>
          <w:trHeight w:val="240"/>
        </w:trPr>
        <w:tc>
          <w:tcPr>
            <w:tcW w:w="2519" w:type="pct"/>
            <w:tcBorders>
              <w:top w:val="nil"/>
              <w:left w:val="nil"/>
              <w:bottom w:val="nil"/>
              <w:right w:val="nil"/>
            </w:tcBorders>
            <w:shd w:val="clear" w:color="auto" w:fill="auto"/>
            <w:noWrap/>
            <w:vAlign w:val="bottom"/>
            <w:hideMark/>
          </w:tcPr>
          <w:p w14:paraId="582C1929" w14:textId="77777777" w:rsidR="00A61CFE" w:rsidRDefault="00A61CFE">
            <w:pPr>
              <w:rPr>
                <w:rFonts w:ascii="Cambria" w:hAnsi="Cambria" w:cs="Arial"/>
                <w:color w:val="000000"/>
                <w:sz w:val="18"/>
                <w:szCs w:val="18"/>
              </w:rPr>
            </w:pPr>
            <w:r>
              <w:rPr>
                <w:rFonts w:ascii="Cambria" w:hAnsi="Cambria"/>
                <w:color w:val="000000"/>
                <w:sz w:val="18"/>
              </w:rPr>
              <w:t>Prêt de la BPB</w:t>
            </w:r>
          </w:p>
        </w:tc>
        <w:tc>
          <w:tcPr>
            <w:tcW w:w="659" w:type="pct"/>
            <w:tcBorders>
              <w:top w:val="nil"/>
              <w:left w:val="nil"/>
              <w:bottom w:val="nil"/>
              <w:right w:val="nil"/>
            </w:tcBorders>
            <w:shd w:val="clear" w:color="auto" w:fill="auto"/>
            <w:noWrap/>
            <w:vAlign w:val="bottom"/>
            <w:hideMark/>
          </w:tcPr>
          <w:p w14:paraId="2ECE1CF3" w14:textId="77777777" w:rsidR="00A61CFE" w:rsidRDefault="00A61CFE">
            <w:pPr>
              <w:jc w:val="right"/>
              <w:rPr>
                <w:rFonts w:ascii="Cambria" w:hAnsi="Cambria" w:cs="Arial"/>
                <w:color w:val="000000"/>
                <w:sz w:val="18"/>
                <w:szCs w:val="18"/>
              </w:rPr>
            </w:pPr>
            <w:r>
              <w:rPr>
                <w:rFonts w:ascii="Cambria" w:hAnsi="Cambria"/>
                <w:color w:val="000000"/>
                <w:sz w:val="18"/>
              </w:rPr>
              <w:t>598 902</w:t>
            </w:r>
          </w:p>
        </w:tc>
        <w:tc>
          <w:tcPr>
            <w:tcW w:w="562" w:type="pct"/>
            <w:tcBorders>
              <w:top w:val="nil"/>
              <w:left w:val="nil"/>
              <w:bottom w:val="nil"/>
              <w:right w:val="nil"/>
            </w:tcBorders>
            <w:shd w:val="clear" w:color="auto" w:fill="auto"/>
            <w:noWrap/>
            <w:vAlign w:val="bottom"/>
            <w:hideMark/>
          </w:tcPr>
          <w:p w14:paraId="34397510" w14:textId="77777777" w:rsidR="00A61CFE" w:rsidRDefault="00A61CFE">
            <w:pPr>
              <w:jc w:val="right"/>
              <w:rPr>
                <w:rFonts w:ascii="Cambria" w:hAnsi="Cambria" w:cs="Arial"/>
                <w:color w:val="000000"/>
                <w:sz w:val="18"/>
                <w:szCs w:val="18"/>
              </w:rPr>
            </w:pPr>
          </w:p>
        </w:tc>
        <w:tc>
          <w:tcPr>
            <w:tcW w:w="747" w:type="pct"/>
            <w:tcBorders>
              <w:top w:val="nil"/>
              <w:left w:val="nil"/>
              <w:bottom w:val="nil"/>
              <w:right w:val="nil"/>
            </w:tcBorders>
            <w:shd w:val="clear" w:color="auto" w:fill="auto"/>
            <w:noWrap/>
            <w:vAlign w:val="bottom"/>
            <w:hideMark/>
          </w:tcPr>
          <w:p w14:paraId="1B4CB80A" w14:textId="77777777" w:rsidR="00A61CFE" w:rsidRDefault="00A61CFE">
            <w:pPr>
              <w:jc w:val="right"/>
              <w:rPr>
                <w:rFonts w:ascii="Cambria" w:hAnsi="Cambria" w:cs="Arial"/>
                <w:color w:val="000000"/>
                <w:sz w:val="18"/>
                <w:szCs w:val="18"/>
              </w:rPr>
            </w:pPr>
            <w:r>
              <w:rPr>
                <w:rFonts w:ascii="Cambria" w:hAnsi="Cambria"/>
                <w:color w:val="000000"/>
                <w:sz w:val="18"/>
              </w:rPr>
              <w:t>(131 061)</w:t>
            </w:r>
          </w:p>
        </w:tc>
        <w:tc>
          <w:tcPr>
            <w:tcW w:w="513" w:type="pct"/>
            <w:tcBorders>
              <w:top w:val="nil"/>
              <w:left w:val="nil"/>
              <w:bottom w:val="nil"/>
              <w:right w:val="nil"/>
            </w:tcBorders>
            <w:shd w:val="clear" w:color="auto" w:fill="auto"/>
            <w:noWrap/>
            <w:vAlign w:val="bottom"/>
            <w:hideMark/>
          </w:tcPr>
          <w:p w14:paraId="693D0736" w14:textId="77777777" w:rsidR="00A61CFE" w:rsidRDefault="00A61CFE">
            <w:pPr>
              <w:jc w:val="right"/>
              <w:rPr>
                <w:rFonts w:ascii="Cambria" w:hAnsi="Cambria" w:cs="Arial"/>
                <w:color w:val="000000"/>
                <w:sz w:val="18"/>
                <w:szCs w:val="18"/>
              </w:rPr>
            </w:pPr>
            <w:r>
              <w:rPr>
                <w:rFonts w:ascii="Cambria" w:hAnsi="Cambria"/>
                <w:color w:val="000000"/>
                <w:sz w:val="18"/>
              </w:rPr>
              <w:t>467 842</w:t>
            </w:r>
          </w:p>
        </w:tc>
      </w:tr>
      <w:tr w:rsidR="0014442B" w14:paraId="1D309AB4" w14:textId="77777777" w:rsidTr="0061181E">
        <w:trPr>
          <w:trHeight w:val="240"/>
        </w:trPr>
        <w:tc>
          <w:tcPr>
            <w:tcW w:w="2519" w:type="pct"/>
            <w:tcBorders>
              <w:top w:val="nil"/>
              <w:left w:val="nil"/>
              <w:bottom w:val="nil"/>
              <w:right w:val="nil"/>
            </w:tcBorders>
            <w:shd w:val="clear" w:color="auto" w:fill="auto"/>
            <w:noWrap/>
            <w:vAlign w:val="bottom"/>
            <w:hideMark/>
          </w:tcPr>
          <w:p w14:paraId="778C6F8A" w14:textId="77777777" w:rsidR="00A61CFE" w:rsidRDefault="00A61CFE">
            <w:pPr>
              <w:rPr>
                <w:rFonts w:ascii="Cambria" w:hAnsi="Cambria" w:cs="Arial"/>
                <w:color w:val="000000"/>
                <w:sz w:val="18"/>
                <w:szCs w:val="18"/>
              </w:rPr>
            </w:pPr>
            <w:r>
              <w:rPr>
                <w:rFonts w:ascii="Cambria" w:hAnsi="Cambria"/>
                <w:color w:val="000000"/>
                <w:sz w:val="18"/>
              </w:rPr>
              <w:t xml:space="preserve">Prêt de la </w:t>
            </w:r>
            <w:proofErr w:type="spellStart"/>
            <w:r>
              <w:rPr>
                <w:rFonts w:ascii="Cambria" w:hAnsi="Cambria"/>
                <w:color w:val="000000"/>
                <w:sz w:val="18"/>
              </w:rPr>
              <w:t>Sanpaolo</w:t>
            </w:r>
            <w:proofErr w:type="spellEnd"/>
          </w:p>
        </w:tc>
        <w:tc>
          <w:tcPr>
            <w:tcW w:w="659" w:type="pct"/>
            <w:tcBorders>
              <w:top w:val="nil"/>
              <w:left w:val="nil"/>
              <w:bottom w:val="nil"/>
              <w:right w:val="nil"/>
            </w:tcBorders>
            <w:shd w:val="clear" w:color="auto" w:fill="auto"/>
            <w:noWrap/>
            <w:vAlign w:val="bottom"/>
            <w:hideMark/>
          </w:tcPr>
          <w:p w14:paraId="61A0089A" w14:textId="77777777" w:rsidR="00A61CFE" w:rsidRDefault="00A61CFE">
            <w:pPr>
              <w:jc w:val="right"/>
              <w:rPr>
                <w:rFonts w:ascii="Cambria" w:hAnsi="Cambria" w:cs="Arial"/>
                <w:color w:val="000000"/>
                <w:sz w:val="18"/>
                <w:szCs w:val="18"/>
              </w:rPr>
            </w:pPr>
            <w:r>
              <w:rPr>
                <w:rFonts w:ascii="Cambria" w:hAnsi="Cambria"/>
                <w:color w:val="000000"/>
                <w:sz w:val="18"/>
              </w:rPr>
              <w:t>125 371</w:t>
            </w:r>
          </w:p>
        </w:tc>
        <w:tc>
          <w:tcPr>
            <w:tcW w:w="562" w:type="pct"/>
            <w:tcBorders>
              <w:top w:val="nil"/>
              <w:left w:val="nil"/>
              <w:bottom w:val="nil"/>
              <w:right w:val="nil"/>
            </w:tcBorders>
            <w:shd w:val="clear" w:color="auto" w:fill="auto"/>
            <w:noWrap/>
            <w:vAlign w:val="bottom"/>
            <w:hideMark/>
          </w:tcPr>
          <w:p w14:paraId="5376E55E" w14:textId="77777777" w:rsidR="00A61CFE" w:rsidRDefault="00A61CFE">
            <w:pPr>
              <w:jc w:val="right"/>
              <w:rPr>
                <w:rFonts w:ascii="Cambria" w:hAnsi="Cambria" w:cs="Arial"/>
                <w:color w:val="000000"/>
                <w:sz w:val="18"/>
                <w:szCs w:val="18"/>
              </w:rPr>
            </w:pPr>
          </w:p>
        </w:tc>
        <w:tc>
          <w:tcPr>
            <w:tcW w:w="747" w:type="pct"/>
            <w:tcBorders>
              <w:top w:val="nil"/>
              <w:left w:val="nil"/>
              <w:bottom w:val="nil"/>
              <w:right w:val="nil"/>
            </w:tcBorders>
            <w:shd w:val="clear" w:color="auto" w:fill="auto"/>
            <w:noWrap/>
            <w:vAlign w:val="bottom"/>
            <w:hideMark/>
          </w:tcPr>
          <w:p w14:paraId="134A36CB" w14:textId="77777777" w:rsidR="00A61CFE" w:rsidRDefault="00A61CFE">
            <w:pPr>
              <w:jc w:val="right"/>
              <w:rPr>
                <w:rFonts w:ascii="Cambria" w:hAnsi="Cambria" w:cs="Arial"/>
                <w:color w:val="000000"/>
                <w:sz w:val="18"/>
                <w:szCs w:val="18"/>
              </w:rPr>
            </w:pPr>
            <w:r>
              <w:rPr>
                <w:rFonts w:ascii="Cambria" w:hAnsi="Cambria"/>
                <w:color w:val="000000"/>
                <w:sz w:val="18"/>
              </w:rPr>
              <w:t>(125 371)</w:t>
            </w:r>
          </w:p>
        </w:tc>
        <w:tc>
          <w:tcPr>
            <w:tcW w:w="513" w:type="pct"/>
            <w:tcBorders>
              <w:top w:val="nil"/>
              <w:left w:val="nil"/>
              <w:bottom w:val="nil"/>
              <w:right w:val="nil"/>
            </w:tcBorders>
            <w:shd w:val="clear" w:color="auto" w:fill="auto"/>
            <w:noWrap/>
            <w:vAlign w:val="bottom"/>
            <w:hideMark/>
          </w:tcPr>
          <w:p w14:paraId="2124D5F3" w14:textId="77777777" w:rsidR="00A61CFE" w:rsidRDefault="00A61CFE">
            <w:pPr>
              <w:jc w:val="right"/>
              <w:rPr>
                <w:rFonts w:ascii="Cambria" w:hAnsi="Cambria" w:cs="Arial"/>
                <w:color w:val="000000"/>
                <w:sz w:val="18"/>
                <w:szCs w:val="18"/>
              </w:rPr>
            </w:pPr>
            <w:r>
              <w:rPr>
                <w:rFonts w:ascii="Cambria" w:hAnsi="Cambria"/>
                <w:color w:val="000000"/>
                <w:sz w:val="18"/>
              </w:rPr>
              <w:t>0</w:t>
            </w:r>
          </w:p>
        </w:tc>
      </w:tr>
      <w:tr w:rsidR="0014442B" w14:paraId="6EA5D32F" w14:textId="77777777" w:rsidTr="0061181E">
        <w:trPr>
          <w:trHeight w:val="240"/>
        </w:trPr>
        <w:tc>
          <w:tcPr>
            <w:tcW w:w="2519" w:type="pct"/>
            <w:tcBorders>
              <w:top w:val="nil"/>
              <w:left w:val="nil"/>
              <w:bottom w:val="nil"/>
              <w:right w:val="nil"/>
            </w:tcBorders>
            <w:shd w:val="clear" w:color="auto" w:fill="auto"/>
            <w:noWrap/>
            <w:vAlign w:val="bottom"/>
            <w:hideMark/>
          </w:tcPr>
          <w:p w14:paraId="6CABB38B" w14:textId="77777777" w:rsidR="00A61CFE" w:rsidRDefault="00A61CFE">
            <w:pPr>
              <w:rPr>
                <w:rFonts w:ascii="Cambria" w:hAnsi="Cambria" w:cs="Arial"/>
                <w:color w:val="000000"/>
                <w:sz w:val="18"/>
                <w:szCs w:val="18"/>
              </w:rPr>
            </w:pPr>
            <w:r>
              <w:rPr>
                <w:rFonts w:ascii="Cambria" w:hAnsi="Cambria"/>
                <w:color w:val="000000"/>
                <w:sz w:val="18"/>
              </w:rPr>
              <w:t xml:space="preserve">Prêt de la BCC 2 </w:t>
            </w:r>
          </w:p>
        </w:tc>
        <w:tc>
          <w:tcPr>
            <w:tcW w:w="659" w:type="pct"/>
            <w:tcBorders>
              <w:top w:val="nil"/>
              <w:left w:val="nil"/>
              <w:bottom w:val="nil"/>
              <w:right w:val="nil"/>
            </w:tcBorders>
            <w:shd w:val="clear" w:color="auto" w:fill="auto"/>
            <w:noWrap/>
            <w:vAlign w:val="bottom"/>
            <w:hideMark/>
          </w:tcPr>
          <w:p w14:paraId="1213D8A1" w14:textId="77777777" w:rsidR="00A61CFE" w:rsidRDefault="00A61CFE">
            <w:pPr>
              <w:jc w:val="right"/>
              <w:rPr>
                <w:rFonts w:ascii="Cambria" w:hAnsi="Cambria" w:cs="Arial"/>
                <w:color w:val="000000"/>
                <w:sz w:val="18"/>
                <w:szCs w:val="18"/>
              </w:rPr>
            </w:pPr>
            <w:r>
              <w:rPr>
                <w:rFonts w:ascii="Cambria" w:hAnsi="Cambria"/>
                <w:color w:val="000000"/>
                <w:sz w:val="18"/>
              </w:rPr>
              <w:t>716 915</w:t>
            </w:r>
          </w:p>
        </w:tc>
        <w:tc>
          <w:tcPr>
            <w:tcW w:w="562" w:type="pct"/>
            <w:tcBorders>
              <w:top w:val="nil"/>
              <w:left w:val="nil"/>
              <w:bottom w:val="nil"/>
              <w:right w:val="nil"/>
            </w:tcBorders>
            <w:shd w:val="clear" w:color="auto" w:fill="auto"/>
            <w:noWrap/>
            <w:vAlign w:val="bottom"/>
            <w:hideMark/>
          </w:tcPr>
          <w:p w14:paraId="1E6A5927" w14:textId="77777777" w:rsidR="00A61CFE" w:rsidRDefault="00A61CFE">
            <w:pPr>
              <w:jc w:val="right"/>
              <w:rPr>
                <w:rFonts w:ascii="Cambria" w:hAnsi="Cambria" w:cs="Arial"/>
                <w:color w:val="000000"/>
                <w:sz w:val="18"/>
                <w:szCs w:val="18"/>
              </w:rPr>
            </w:pPr>
          </w:p>
        </w:tc>
        <w:tc>
          <w:tcPr>
            <w:tcW w:w="747" w:type="pct"/>
            <w:tcBorders>
              <w:top w:val="nil"/>
              <w:left w:val="nil"/>
              <w:bottom w:val="nil"/>
              <w:right w:val="nil"/>
            </w:tcBorders>
            <w:shd w:val="clear" w:color="auto" w:fill="auto"/>
            <w:noWrap/>
            <w:vAlign w:val="bottom"/>
            <w:hideMark/>
          </w:tcPr>
          <w:p w14:paraId="70EAFDA3" w14:textId="77777777" w:rsidR="00A61CFE" w:rsidRDefault="00A61CFE">
            <w:pPr>
              <w:jc w:val="right"/>
              <w:rPr>
                <w:rFonts w:ascii="Cambria" w:hAnsi="Cambria" w:cs="Arial"/>
                <w:color w:val="000000"/>
                <w:sz w:val="18"/>
                <w:szCs w:val="18"/>
              </w:rPr>
            </w:pPr>
            <w:r>
              <w:rPr>
                <w:rFonts w:ascii="Cambria" w:hAnsi="Cambria"/>
                <w:color w:val="000000"/>
                <w:sz w:val="18"/>
              </w:rPr>
              <w:t>(63 228)</w:t>
            </w:r>
          </w:p>
        </w:tc>
        <w:tc>
          <w:tcPr>
            <w:tcW w:w="513" w:type="pct"/>
            <w:tcBorders>
              <w:top w:val="nil"/>
              <w:left w:val="nil"/>
              <w:bottom w:val="nil"/>
              <w:right w:val="nil"/>
            </w:tcBorders>
            <w:shd w:val="clear" w:color="auto" w:fill="auto"/>
            <w:noWrap/>
            <w:vAlign w:val="bottom"/>
            <w:hideMark/>
          </w:tcPr>
          <w:p w14:paraId="02115991" w14:textId="77777777" w:rsidR="00A61CFE" w:rsidRDefault="00A61CFE">
            <w:pPr>
              <w:jc w:val="right"/>
              <w:rPr>
                <w:rFonts w:ascii="Cambria" w:hAnsi="Cambria" w:cs="Arial"/>
                <w:color w:val="000000"/>
                <w:sz w:val="18"/>
                <w:szCs w:val="18"/>
              </w:rPr>
            </w:pPr>
            <w:r>
              <w:rPr>
                <w:rFonts w:ascii="Cambria" w:hAnsi="Cambria"/>
                <w:color w:val="000000"/>
                <w:sz w:val="18"/>
              </w:rPr>
              <w:t>653 687</w:t>
            </w:r>
          </w:p>
        </w:tc>
      </w:tr>
      <w:tr w:rsidR="0014442B" w14:paraId="7CB465B3" w14:textId="77777777" w:rsidTr="0061181E">
        <w:trPr>
          <w:trHeight w:val="240"/>
        </w:trPr>
        <w:tc>
          <w:tcPr>
            <w:tcW w:w="2519" w:type="pct"/>
            <w:tcBorders>
              <w:top w:val="nil"/>
              <w:left w:val="nil"/>
              <w:bottom w:val="nil"/>
              <w:right w:val="nil"/>
            </w:tcBorders>
            <w:shd w:val="clear" w:color="auto" w:fill="auto"/>
            <w:noWrap/>
            <w:vAlign w:val="bottom"/>
            <w:hideMark/>
          </w:tcPr>
          <w:p w14:paraId="6AA3A52A" w14:textId="77777777" w:rsidR="00A61CFE" w:rsidRDefault="00A61CFE">
            <w:pPr>
              <w:rPr>
                <w:rFonts w:ascii="Cambria" w:hAnsi="Cambria" w:cs="Arial"/>
                <w:color w:val="000000"/>
                <w:sz w:val="18"/>
                <w:szCs w:val="18"/>
              </w:rPr>
            </w:pPr>
            <w:r>
              <w:rPr>
                <w:rFonts w:ascii="Cambria" w:hAnsi="Cambria"/>
                <w:color w:val="000000"/>
                <w:sz w:val="18"/>
              </w:rPr>
              <w:lastRenderedPageBreak/>
              <w:t xml:space="preserve">Prêt de la </w:t>
            </w:r>
            <w:proofErr w:type="spellStart"/>
            <w:r>
              <w:rPr>
                <w:rFonts w:ascii="Cambria" w:hAnsi="Cambria"/>
                <w:color w:val="000000"/>
                <w:sz w:val="18"/>
              </w:rPr>
              <w:t>Sanpaolo</w:t>
            </w:r>
            <w:proofErr w:type="spellEnd"/>
            <w:r>
              <w:rPr>
                <w:rFonts w:ascii="Cambria" w:hAnsi="Cambria"/>
                <w:color w:val="000000"/>
                <w:sz w:val="18"/>
              </w:rPr>
              <w:t xml:space="preserve"> 2 </w:t>
            </w:r>
          </w:p>
        </w:tc>
        <w:tc>
          <w:tcPr>
            <w:tcW w:w="659" w:type="pct"/>
            <w:tcBorders>
              <w:top w:val="nil"/>
              <w:left w:val="nil"/>
              <w:bottom w:val="nil"/>
              <w:right w:val="nil"/>
            </w:tcBorders>
            <w:shd w:val="clear" w:color="auto" w:fill="auto"/>
            <w:noWrap/>
            <w:vAlign w:val="bottom"/>
            <w:hideMark/>
          </w:tcPr>
          <w:p w14:paraId="23042D2D" w14:textId="77777777" w:rsidR="00A61CFE" w:rsidRDefault="00A61CFE">
            <w:pPr>
              <w:jc w:val="right"/>
              <w:rPr>
                <w:rFonts w:ascii="Cambria" w:hAnsi="Cambria" w:cs="Arial"/>
                <w:color w:val="000000"/>
                <w:sz w:val="18"/>
                <w:szCs w:val="18"/>
              </w:rPr>
            </w:pPr>
            <w:r>
              <w:rPr>
                <w:rFonts w:ascii="Cambria" w:hAnsi="Cambria"/>
                <w:color w:val="000000"/>
                <w:sz w:val="18"/>
              </w:rPr>
              <w:t>1 000 000</w:t>
            </w:r>
          </w:p>
        </w:tc>
        <w:tc>
          <w:tcPr>
            <w:tcW w:w="562" w:type="pct"/>
            <w:tcBorders>
              <w:top w:val="nil"/>
              <w:left w:val="nil"/>
              <w:bottom w:val="nil"/>
              <w:right w:val="nil"/>
            </w:tcBorders>
            <w:shd w:val="clear" w:color="auto" w:fill="auto"/>
            <w:noWrap/>
            <w:vAlign w:val="bottom"/>
            <w:hideMark/>
          </w:tcPr>
          <w:p w14:paraId="7245E6EB" w14:textId="77777777" w:rsidR="00A61CFE" w:rsidRDefault="00A61CFE">
            <w:pPr>
              <w:jc w:val="right"/>
              <w:rPr>
                <w:rFonts w:ascii="Cambria" w:hAnsi="Cambria" w:cs="Arial"/>
                <w:color w:val="000000"/>
                <w:sz w:val="18"/>
                <w:szCs w:val="18"/>
              </w:rPr>
            </w:pPr>
          </w:p>
        </w:tc>
        <w:tc>
          <w:tcPr>
            <w:tcW w:w="747" w:type="pct"/>
            <w:tcBorders>
              <w:top w:val="nil"/>
              <w:left w:val="nil"/>
              <w:bottom w:val="nil"/>
              <w:right w:val="nil"/>
            </w:tcBorders>
            <w:shd w:val="clear" w:color="auto" w:fill="auto"/>
            <w:noWrap/>
            <w:vAlign w:val="bottom"/>
            <w:hideMark/>
          </w:tcPr>
          <w:p w14:paraId="7EB8C1D3" w14:textId="77777777" w:rsidR="00A61CFE" w:rsidRDefault="00A61CFE">
            <w:pPr>
              <w:jc w:val="right"/>
              <w:rPr>
                <w:rFonts w:ascii="Cambria" w:hAnsi="Cambria" w:cs="Arial"/>
                <w:color w:val="000000"/>
                <w:sz w:val="18"/>
                <w:szCs w:val="18"/>
              </w:rPr>
            </w:pPr>
            <w:r>
              <w:rPr>
                <w:rFonts w:ascii="Cambria" w:hAnsi="Cambria"/>
                <w:color w:val="000000"/>
                <w:sz w:val="18"/>
              </w:rPr>
              <w:t>(41 334)</w:t>
            </w:r>
          </w:p>
        </w:tc>
        <w:tc>
          <w:tcPr>
            <w:tcW w:w="513" w:type="pct"/>
            <w:tcBorders>
              <w:top w:val="nil"/>
              <w:left w:val="nil"/>
              <w:bottom w:val="nil"/>
              <w:right w:val="nil"/>
            </w:tcBorders>
            <w:shd w:val="clear" w:color="auto" w:fill="auto"/>
            <w:noWrap/>
            <w:vAlign w:val="bottom"/>
            <w:hideMark/>
          </w:tcPr>
          <w:p w14:paraId="10F0B09E" w14:textId="77777777" w:rsidR="00A61CFE" w:rsidRDefault="00A61CFE">
            <w:pPr>
              <w:jc w:val="right"/>
              <w:rPr>
                <w:rFonts w:ascii="Cambria" w:hAnsi="Cambria" w:cs="Arial"/>
                <w:color w:val="000000"/>
                <w:sz w:val="18"/>
                <w:szCs w:val="18"/>
              </w:rPr>
            </w:pPr>
            <w:r>
              <w:rPr>
                <w:rFonts w:ascii="Cambria" w:hAnsi="Cambria"/>
                <w:color w:val="000000"/>
                <w:sz w:val="18"/>
              </w:rPr>
              <w:t>958 666</w:t>
            </w:r>
          </w:p>
        </w:tc>
      </w:tr>
      <w:tr w:rsidR="0014442B" w14:paraId="080D9910" w14:textId="77777777" w:rsidTr="0061181E">
        <w:trPr>
          <w:trHeight w:val="240"/>
        </w:trPr>
        <w:tc>
          <w:tcPr>
            <w:tcW w:w="2519" w:type="pct"/>
            <w:tcBorders>
              <w:top w:val="nil"/>
              <w:left w:val="nil"/>
              <w:bottom w:val="nil"/>
              <w:right w:val="nil"/>
            </w:tcBorders>
            <w:shd w:val="clear" w:color="auto" w:fill="auto"/>
            <w:noWrap/>
            <w:vAlign w:val="bottom"/>
            <w:hideMark/>
          </w:tcPr>
          <w:p w14:paraId="2FAE8F18" w14:textId="77777777" w:rsidR="00A61CFE" w:rsidRDefault="00A61CFE">
            <w:pPr>
              <w:rPr>
                <w:rFonts w:ascii="Cambria" w:hAnsi="Cambria" w:cs="Arial"/>
                <w:color w:val="000000"/>
                <w:sz w:val="18"/>
                <w:szCs w:val="18"/>
              </w:rPr>
            </w:pPr>
            <w:r>
              <w:rPr>
                <w:rFonts w:ascii="Cambria" w:hAnsi="Cambria"/>
                <w:color w:val="000000"/>
                <w:sz w:val="18"/>
              </w:rPr>
              <w:t>Prêt de la BPM</w:t>
            </w:r>
          </w:p>
        </w:tc>
        <w:tc>
          <w:tcPr>
            <w:tcW w:w="659" w:type="pct"/>
            <w:tcBorders>
              <w:top w:val="nil"/>
              <w:left w:val="nil"/>
              <w:bottom w:val="nil"/>
              <w:right w:val="nil"/>
            </w:tcBorders>
            <w:shd w:val="clear" w:color="auto" w:fill="auto"/>
            <w:noWrap/>
            <w:vAlign w:val="bottom"/>
            <w:hideMark/>
          </w:tcPr>
          <w:p w14:paraId="56B46A5A" w14:textId="77777777" w:rsidR="00A61CFE" w:rsidRDefault="00A61CFE">
            <w:pPr>
              <w:jc w:val="right"/>
              <w:rPr>
                <w:rFonts w:ascii="Cambria" w:hAnsi="Cambria" w:cs="Arial"/>
                <w:color w:val="000000"/>
                <w:sz w:val="18"/>
                <w:szCs w:val="18"/>
              </w:rPr>
            </w:pPr>
            <w:r>
              <w:rPr>
                <w:rFonts w:ascii="Cambria" w:hAnsi="Cambria"/>
                <w:color w:val="000000"/>
                <w:sz w:val="18"/>
              </w:rPr>
              <w:t>850 000</w:t>
            </w:r>
          </w:p>
        </w:tc>
        <w:tc>
          <w:tcPr>
            <w:tcW w:w="562" w:type="pct"/>
            <w:tcBorders>
              <w:top w:val="nil"/>
              <w:left w:val="nil"/>
              <w:bottom w:val="nil"/>
              <w:right w:val="nil"/>
            </w:tcBorders>
            <w:shd w:val="clear" w:color="auto" w:fill="auto"/>
            <w:noWrap/>
            <w:vAlign w:val="bottom"/>
            <w:hideMark/>
          </w:tcPr>
          <w:p w14:paraId="6260E858" w14:textId="77777777" w:rsidR="00A61CFE" w:rsidRDefault="00A61CFE">
            <w:pPr>
              <w:jc w:val="right"/>
              <w:rPr>
                <w:rFonts w:ascii="Cambria" w:hAnsi="Cambria" w:cs="Arial"/>
                <w:color w:val="000000"/>
                <w:sz w:val="18"/>
                <w:szCs w:val="18"/>
              </w:rPr>
            </w:pPr>
          </w:p>
        </w:tc>
        <w:tc>
          <w:tcPr>
            <w:tcW w:w="747" w:type="pct"/>
            <w:tcBorders>
              <w:top w:val="nil"/>
              <w:left w:val="nil"/>
              <w:bottom w:val="nil"/>
              <w:right w:val="nil"/>
            </w:tcBorders>
            <w:shd w:val="clear" w:color="auto" w:fill="auto"/>
            <w:noWrap/>
            <w:vAlign w:val="bottom"/>
            <w:hideMark/>
          </w:tcPr>
          <w:p w14:paraId="3ABE5627" w14:textId="77777777" w:rsidR="00A61CFE" w:rsidRDefault="00A61CFE">
            <w:pPr>
              <w:rPr>
                <w:sz w:val="20"/>
                <w:szCs w:val="20"/>
              </w:rPr>
            </w:pPr>
          </w:p>
        </w:tc>
        <w:tc>
          <w:tcPr>
            <w:tcW w:w="513" w:type="pct"/>
            <w:tcBorders>
              <w:top w:val="nil"/>
              <w:left w:val="nil"/>
              <w:bottom w:val="nil"/>
              <w:right w:val="nil"/>
            </w:tcBorders>
            <w:shd w:val="clear" w:color="auto" w:fill="auto"/>
            <w:noWrap/>
            <w:vAlign w:val="bottom"/>
            <w:hideMark/>
          </w:tcPr>
          <w:p w14:paraId="32FBFC5F" w14:textId="77777777" w:rsidR="00A61CFE" w:rsidRDefault="00A61CFE">
            <w:pPr>
              <w:jc w:val="right"/>
              <w:rPr>
                <w:rFonts w:ascii="Cambria" w:hAnsi="Cambria" w:cs="Arial"/>
                <w:color w:val="000000"/>
                <w:sz w:val="18"/>
                <w:szCs w:val="18"/>
              </w:rPr>
            </w:pPr>
            <w:r>
              <w:rPr>
                <w:rFonts w:ascii="Cambria" w:hAnsi="Cambria"/>
                <w:color w:val="000000"/>
                <w:sz w:val="18"/>
              </w:rPr>
              <w:t>850 000</w:t>
            </w:r>
          </w:p>
        </w:tc>
      </w:tr>
      <w:tr w:rsidR="0014442B" w14:paraId="7BC5EFE1" w14:textId="77777777" w:rsidTr="0061181E">
        <w:trPr>
          <w:trHeight w:val="240"/>
        </w:trPr>
        <w:tc>
          <w:tcPr>
            <w:tcW w:w="2519" w:type="pct"/>
            <w:tcBorders>
              <w:top w:val="nil"/>
              <w:left w:val="nil"/>
              <w:bottom w:val="nil"/>
              <w:right w:val="nil"/>
            </w:tcBorders>
            <w:shd w:val="clear" w:color="auto" w:fill="auto"/>
            <w:noWrap/>
            <w:vAlign w:val="bottom"/>
            <w:hideMark/>
          </w:tcPr>
          <w:p w14:paraId="0CB5B868" w14:textId="77777777" w:rsidR="00A61CFE" w:rsidRDefault="00A61CFE">
            <w:pPr>
              <w:rPr>
                <w:rFonts w:ascii="Cambria" w:hAnsi="Cambria" w:cs="Arial"/>
                <w:color w:val="000000"/>
                <w:sz w:val="18"/>
                <w:szCs w:val="18"/>
              </w:rPr>
            </w:pPr>
            <w:r>
              <w:rPr>
                <w:rFonts w:ascii="Cambria" w:hAnsi="Cambria"/>
                <w:color w:val="000000"/>
                <w:sz w:val="18"/>
              </w:rPr>
              <w:t>Prêt de la BPB 2</w:t>
            </w:r>
          </w:p>
        </w:tc>
        <w:tc>
          <w:tcPr>
            <w:tcW w:w="659" w:type="pct"/>
            <w:tcBorders>
              <w:top w:val="nil"/>
              <w:left w:val="nil"/>
              <w:bottom w:val="nil"/>
              <w:right w:val="nil"/>
            </w:tcBorders>
            <w:shd w:val="clear" w:color="auto" w:fill="auto"/>
            <w:noWrap/>
            <w:vAlign w:val="bottom"/>
            <w:hideMark/>
          </w:tcPr>
          <w:p w14:paraId="32702D19" w14:textId="77777777" w:rsidR="00A61CFE" w:rsidRDefault="00A61CFE">
            <w:pPr>
              <w:jc w:val="right"/>
              <w:rPr>
                <w:rFonts w:ascii="Cambria" w:hAnsi="Cambria" w:cs="Arial"/>
                <w:color w:val="000000"/>
                <w:sz w:val="18"/>
                <w:szCs w:val="18"/>
              </w:rPr>
            </w:pPr>
            <w:r>
              <w:rPr>
                <w:rFonts w:ascii="Cambria" w:hAnsi="Cambria"/>
                <w:color w:val="000000"/>
                <w:sz w:val="18"/>
              </w:rPr>
              <w:t>800 000</w:t>
            </w:r>
          </w:p>
        </w:tc>
        <w:tc>
          <w:tcPr>
            <w:tcW w:w="562" w:type="pct"/>
            <w:tcBorders>
              <w:top w:val="nil"/>
              <w:left w:val="nil"/>
              <w:bottom w:val="nil"/>
              <w:right w:val="nil"/>
            </w:tcBorders>
            <w:shd w:val="clear" w:color="auto" w:fill="auto"/>
            <w:noWrap/>
            <w:vAlign w:val="bottom"/>
            <w:hideMark/>
          </w:tcPr>
          <w:p w14:paraId="147EDE38" w14:textId="77777777" w:rsidR="00A61CFE" w:rsidRDefault="00A61CFE">
            <w:pPr>
              <w:jc w:val="right"/>
              <w:rPr>
                <w:rFonts w:ascii="Cambria" w:hAnsi="Cambria" w:cs="Arial"/>
                <w:color w:val="000000"/>
                <w:sz w:val="18"/>
                <w:szCs w:val="18"/>
              </w:rPr>
            </w:pPr>
          </w:p>
        </w:tc>
        <w:tc>
          <w:tcPr>
            <w:tcW w:w="747" w:type="pct"/>
            <w:tcBorders>
              <w:top w:val="nil"/>
              <w:left w:val="nil"/>
              <w:bottom w:val="nil"/>
              <w:right w:val="nil"/>
            </w:tcBorders>
            <w:shd w:val="clear" w:color="auto" w:fill="auto"/>
            <w:noWrap/>
            <w:vAlign w:val="bottom"/>
            <w:hideMark/>
          </w:tcPr>
          <w:p w14:paraId="621FBE6B" w14:textId="77777777" w:rsidR="00A61CFE" w:rsidRDefault="00A61CFE">
            <w:pPr>
              <w:rPr>
                <w:sz w:val="20"/>
                <w:szCs w:val="20"/>
              </w:rPr>
            </w:pPr>
          </w:p>
        </w:tc>
        <w:tc>
          <w:tcPr>
            <w:tcW w:w="513" w:type="pct"/>
            <w:tcBorders>
              <w:top w:val="nil"/>
              <w:left w:val="nil"/>
              <w:bottom w:val="nil"/>
              <w:right w:val="nil"/>
            </w:tcBorders>
            <w:shd w:val="clear" w:color="auto" w:fill="auto"/>
            <w:noWrap/>
            <w:vAlign w:val="bottom"/>
            <w:hideMark/>
          </w:tcPr>
          <w:p w14:paraId="76D8F1EC" w14:textId="77777777" w:rsidR="00A61CFE" w:rsidRDefault="00A61CFE">
            <w:pPr>
              <w:jc w:val="right"/>
              <w:rPr>
                <w:rFonts w:ascii="Cambria" w:hAnsi="Cambria" w:cs="Arial"/>
                <w:color w:val="000000"/>
                <w:sz w:val="18"/>
                <w:szCs w:val="18"/>
              </w:rPr>
            </w:pPr>
            <w:r>
              <w:rPr>
                <w:rFonts w:ascii="Cambria" w:hAnsi="Cambria"/>
                <w:color w:val="000000"/>
                <w:sz w:val="18"/>
              </w:rPr>
              <w:t>800 000</w:t>
            </w:r>
          </w:p>
        </w:tc>
      </w:tr>
      <w:tr w:rsidR="0014442B" w14:paraId="6D66EE5A" w14:textId="77777777" w:rsidTr="0061181E">
        <w:trPr>
          <w:trHeight w:val="240"/>
        </w:trPr>
        <w:tc>
          <w:tcPr>
            <w:tcW w:w="2519" w:type="pct"/>
            <w:tcBorders>
              <w:top w:val="nil"/>
              <w:left w:val="nil"/>
              <w:bottom w:val="nil"/>
              <w:right w:val="nil"/>
            </w:tcBorders>
            <w:shd w:val="clear" w:color="auto" w:fill="auto"/>
            <w:noWrap/>
            <w:vAlign w:val="bottom"/>
            <w:hideMark/>
          </w:tcPr>
          <w:p w14:paraId="73908265" w14:textId="77777777" w:rsidR="00A61CFE" w:rsidRDefault="00A61CFE">
            <w:pPr>
              <w:rPr>
                <w:rFonts w:ascii="Cambria" w:hAnsi="Cambria" w:cs="Arial"/>
                <w:color w:val="000000"/>
                <w:sz w:val="18"/>
                <w:szCs w:val="18"/>
              </w:rPr>
            </w:pPr>
            <w:r>
              <w:rPr>
                <w:rFonts w:ascii="Cambria" w:hAnsi="Cambria"/>
                <w:color w:val="000000"/>
                <w:sz w:val="18"/>
              </w:rPr>
              <w:t xml:space="preserve">Prêt de la BDF </w:t>
            </w:r>
          </w:p>
        </w:tc>
        <w:tc>
          <w:tcPr>
            <w:tcW w:w="659" w:type="pct"/>
            <w:tcBorders>
              <w:top w:val="nil"/>
              <w:left w:val="nil"/>
              <w:bottom w:val="nil"/>
              <w:right w:val="nil"/>
            </w:tcBorders>
            <w:shd w:val="clear" w:color="auto" w:fill="auto"/>
            <w:noWrap/>
            <w:vAlign w:val="bottom"/>
            <w:hideMark/>
          </w:tcPr>
          <w:p w14:paraId="09E7600B" w14:textId="77777777" w:rsidR="00A61CFE" w:rsidRDefault="00A61CFE">
            <w:pPr>
              <w:jc w:val="right"/>
              <w:rPr>
                <w:rFonts w:ascii="Cambria" w:hAnsi="Cambria" w:cs="Arial"/>
                <w:color w:val="000000"/>
                <w:sz w:val="18"/>
                <w:szCs w:val="18"/>
              </w:rPr>
            </w:pPr>
            <w:r>
              <w:rPr>
                <w:rFonts w:ascii="Cambria" w:hAnsi="Cambria"/>
                <w:color w:val="000000"/>
                <w:sz w:val="18"/>
              </w:rPr>
              <w:t>974 505</w:t>
            </w:r>
          </w:p>
        </w:tc>
        <w:tc>
          <w:tcPr>
            <w:tcW w:w="562" w:type="pct"/>
            <w:tcBorders>
              <w:top w:val="nil"/>
              <w:left w:val="nil"/>
              <w:bottom w:val="nil"/>
              <w:right w:val="nil"/>
            </w:tcBorders>
            <w:shd w:val="clear" w:color="auto" w:fill="auto"/>
            <w:noWrap/>
            <w:vAlign w:val="bottom"/>
            <w:hideMark/>
          </w:tcPr>
          <w:p w14:paraId="0C5C4983" w14:textId="77777777" w:rsidR="00A61CFE" w:rsidRDefault="00A61CFE">
            <w:pPr>
              <w:jc w:val="right"/>
              <w:rPr>
                <w:rFonts w:ascii="Cambria" w:hAnsi="Cambria" w:cs="Arial"/>
                <w:color w:val="000000"/>
                <w:sz w:val="18"/>
                <w:szCs w:val="18"/>
              </w:rPr>
            </w:pPr>
          </w:p>
        </w:tc>
        <w:tc>
          <w:tcPr>
            <w:tcW w:w="747" w:type="pct"/>
            <w:tcBorders>
              <w:top w:val="nil"/>
              <w:left w:val="nil"/>
              <w:bottom w:val="nil"/>
              <w:right w:val="nil"/>
            </w:tcBorders>
            <w:shd w:val="clear" w:color="auto" w:fill="auto"/>
            <w:noWrap/>
            <w:vAlign w:val="bottom"/>
            <w:hideMark/>
          </w:tcPr>
          <w:p w14:paraId="4B7CCCF4" w14:textId="77777777" w:rsidR="00A61CFE" w:rsidRDefault="00A61CFE">
            <w:pPr>
              <w:jc w:val="right"/>
              <w:rPr>
                <w:rFonts w:ascii="Cambria" w:hAnsi="Cambria" w:cs="Arial"/>
                <w:color w:val="000000"/>
                <w:sz w:val="18"/>
                <w:szCs w:val="18"/>
              </w:rPr>
            </w:pPr>
            <w:r>
              <w:rPr>
                <w:rFonts w:ascii="Cambria" w:hAnsi="Cambria"/>
                <w:color w:val="000000"/>
                <w:sz w:val="18"/>
              </w:rPr>
              <w:t>(77 229)</w:t>
            </w:r>
          </w:p>
        </w:tc>
        <w:tc>
          <w:tcPr>
            <w:tcW w:w="513" w:type="pct"/>
            <w:tcBorders>
              <w:top w:val="nil"/>
              <w:left w:val="nil"/>
              <w:bottom w:val="nil"/>
              <w:right w:val="nil"/>
            </w:tcBorders>
            <w:shd w:val="clear" w:color="auto" w:fill="auto"/>
            <w:noWrap/>
            <w:vAlign w:val="bottom"/>
            <w:hideMark/>
          </w:tcPr>
          <w:p w14:paraId="0DCF867C" w14:textId="77777777" w:rsidR="00A61CFE" w:rsidRDefault="00A61CFE">
            <w:pPr>
              <w:jc w:val="right"/>
              <w:rPr>
                <w:rFonts w:ascii="Cambria" w:hAnsi="Cambria" w:cs="Arial"/>
                <w:color w:val="000000"/>
                <w:sz w:val="18"/>
                <w:szCs w:val="18"/>
              </w:rPr>
            </w:pPr>
            <w:r>
              <w:rPr>
                <w:rFonts w:ascii="Cambria" w:hAnsi="Cambria"/>
                <w:color w:val="000000"/>
                <w:sz w:val="18"/>
              </w:rPr>
              <w:t>897 276</w:t>
            </w:r>
          </w:p>
        </w:tc>
      </w:tr>
      <w:tr w:rsidR="0014442B" w14:paraId="7D99E1BB" w14:textId="77777777" w:rsidTr="0061181E">
        <w:trPr>
          <w:trHeight w:val="240"/>
        </w:trPr>
        <w:tc>
          <w:tcPr>
            <w:tcW w:w="2519" w:type="pct"/>
            <w:tcBorders>
              <w:top w:val="nil"/>
              <w:left w:val="nil"/>
              <w:bottom w:val="nil"/>
              <w:right w:val="nil"/>
            </w:tcBorders>
            <w:shd w:val="clear" w:color="auto" w:fill="auto"/>
            <w:noWrap/>
            <w:vAlign w:val="bottom"/>
            <w:hideMark/>
          </w:tcPr>
          <w:p w14:paraId="20D2F273" w14:textId="77777777" w:rsidR="00A61CFE" w:rsidRDefault="00A61CFE">
            <w:pPr>
              <w:rPr>
                <w:rFonts w:ascii="Cambria" w:hAnsi="Cambria" w:cs="Arial"/>
                <w:color w:val="000000"/>
                <w:sz w:val="18"/>
                <w:szCs w:val="18"/>
              </w:rPr>
            </w:pPr>
            <w:r>
              <w:rPr>
                <w:rFonts w:ascii="Cambria" w:hAnsi="Cambria"/>
                <w:color w:val="000000"/>
                <w:sz w:val="18"/>
              </w:rPr>
              <w:t xml:space="preserve">Prêt de la SANPAOLO 3 </w:t>
            </w:r>
          </w:p>
        </w:tc>
        <w:tc>
          <w:tcPr>
            <w:tcW w:w="659" w:type="pct"/>
            <w:tcBorders>
              <w:top w:val="nil"/>
              <w:left w:val="nil"/>
              <w:bottom w:val="nil"/>
              <w:right w:val="nil"/>
            </w:tcBorders>
            <w:shd w:val="clear" w:color="auto" w:fill="auto"/>
            <w:noWrap/>
            <w:vAlign w:val="bottom"/>
            <w:hideMark/>
          </w:tcPr>
          <w:p w14:paraId="57ABF414" w14:textId="77777777" w:rsidR="00A61CFE" w:rsidRDefault="00A61CFE">
            <w:pPr>
              <w:jc w:val="right"/>
              <w:rPr>
                <w:rFonts w:ascii="Cambria" w:hAnsi="Cambria" w:cs="Arial"/>
                <w:color w:val="000000"/>
                <w:sz w:val="18"/>
                <w:szCs w:val="18"/>
              </w:rPr>
            </w:pPr>
            <w:r>
              <w:rPr>
                <w:rFonts w:ascii="Cambria" w:hAnsi="Cambria"/>
                <w:color w:val="000000"/>
                <w:sz w:val="18"/>
              </w:rPr>
              <w:t>0</w:t>
            </w:r>
          </w:p>
        </w:tc>
        <w:tc>
          <w:tcPr>
            <w:tcW w:w="562" w:type="pct"/>
            <w:tcBorders>
              <w:top w:val="nil"/>
              <w:left w:val="nil"/>
              <w:bottom w:val="nil"/>
              <w:right w:val="nil"/>
            </w:tcBorders>
            <w:shd w:val="clear" w:color="auto" w:fill="auto"/>
            <w:noWrap/>
            <w:vAlign w:val="bottom"/>
            <w:hideMark/>
          </w:tcPr>
          <w:p w14:paraId="7ABF75FC" w14:textId="77777777" w:rsidR="00A61CFE" w:rsidRDefault="00A61CFE">
            <w:pPr>
              <w:jc w:val="right"/>
              <w:rPr>
                <w:rFonts w:ascii="Cambria" w:hAnsi="Cambria" w:cs="Arial"/>
                <w:color w:val="000000"/>
                <w:sz w:val="18"/>
                <w:szCs w:val="18"/>
              </w:rPr>
            </w:pPr>
            <w:r>
              <w:rPr>
                <w:rFonts w:ascii="Cambria" w:hAnsi="Cambria"/>
                <w:color w:val="000000"/>
                <w:sz w:val="18"/>
              </w:rPr>
              <w:t>750 000</w:t>
            </w:r>
          </w:p>
        </w:tc>
        <w:tc>
          <w:tcPr>
            <w:tcW w:w="747" w:type="pct"/>
            <w:tcBorders>
              <w:top w:val="nil"/>
              <w:left w:val="nil"/>
              <w:bottom w:val="nil"/>
              <w:right w:val="nil"/>
            </w:tcBorders>
            <w:shd w:val="clear" w:color="auto" w:fill="auto"/>
            <w:noWrap/>
            <w:vAlign w:val="bottom"/>
            <w:hideMark/>
          </w:tcPr>
          <w:p w14:paraId="1E1E32C5" w14:textId="77777777" w:rsidR="00A61CFE" w:rsidRDefault="00A61CFE">
            <w:pPr>
              <w:jc w:val="right"/>
              <w:rPr>
                <w:rFonts w:ascii="Cambria" w:hAnsi="Cambria" w:cs="Arial"/>
                <w:color w:val="000000"/>
                <w:sz w:val="18"/>
                <w:szCs w:val="18"/>
              </w:rPr>
            </w:pPr>
          </w:p>
        </w:tc>
        <w:tc>
          <w:tcPr>
            <w:tcW w:w="513" w:type="pct"/>
            <w:tcBorders>
              <w:top w:val="nil"/>
              <w:left w:val="nil"/>
              <w:bottom w:val="nil"/>
              <w:right w:val="nil"/>
            </w:tcBorders>
            <w:shd w:val="clear" w:color="auto" w:fill="auto"/>
            <w:noWrap/>
            <w:vAlign w:val="bottom"/>
            <w:hideMark/>
          </w:tcPr>
          <w:p w14:paraId="078E6A8A" w14:textId="77777777" w:rsidR="00A61CFE" w:rsidRDefault="00A61CFE">
            <w:pPr>
              <w:jc w:val="right"/>
              <w:rPr>
                <w:rFonts w:ascii="Cambria" w:hAnsi="Cambria" w:cs="Arial"/>
                <w:color w:val="000000"/>
                <w:sz w:val="18"/>
                <w:szCs w:val="18"/>
              </w:rPr>
            </w:pPr>
            <w:r>
              <w:rPr>
                <w:rFonts w:ascii="Cambria" w:hAnsi="Cambria"/>
                <w:color w:val="000000"/>
                <w:sz w:val="18"/>
              </w:rPr>
              <w:t>750 000</w:t>
            </w:r>
          </w:p>
        </w:tc>
      </w:tr>
      <w:tr w:rsidR="0014442B" w14:paraId="0A6F15FE" w14:textId="77777777" w:rsidTr="0061181E">
        <w:trPr>
          <w:trHeight w:val="255"/>
        </w:trPr>
        <w:tc>
          <w:tcPr>
            <w:tcW w:w="2519" w:type="pct"/>
            <w:tcBorders>
              <w:top w:val="nil"/>
              <w:left w:val="nil"/>
              <w:bottom w:val="nil"/>
              <w:right w:val="nil"/>
            </w:tcBorders>
            <w:shd w:val="clear" w:color="auto" w:fill="auto"/>
            <w:noWrap/>
            <w:vAlign w:val="bottom"/>
            <w:hideMark/>
          </w:tcPr>
          <w:p w14:paraId="1375CC94" w14:textId="168F83A1" w:rsidR="00A61CFE" w:rsidRDefault="00A61CFE">
            <w:pPr>
              <w:rPr>
                <w:rFonts w:ascii="Cambria" w:hAnsi="Cambria" w:cs="Arial"/>
                <w:b/>
                <w:bCs/>
                <w:color w:val="000000"/>
                <w:sz w:val="18"/>
                <w:szCs w:val="18"/>
              </w:rPr>
            </w:pPr>
            <w:r>
              <w:rPr>
                <w:rFonts w:ascii="Cambria" w:hAnsi="Cambria"/>
                <w:b/>
                <w:color w:val="000000"/>
                <w:sz w:val="18"/>
              </w:rPr>
              <w:t>Total Dettes pour emprunts</w:t>
            </w:r>
          </w:p>
        </w:tc>
        <w:tc>
          <w:tcPr>
            <w:tcW w:w="659" w:type="pct"/>
            <w:tcBorders>
              <w:top w:val="single" w:sz="4" w:space="0" w:color="auto"/>
              <w:left w:val="nil"/>
              <w:bottom w:val="single" w:sz="8" w:space="0" w:color="auto"/>
              <w:right w:val="nil"/>
            </w:tcBorders>
            <w:shd w:val="clear" w:color="auto" w:fill="auto"/>
            <w:noWrap/>
            <w:vAlign w:val="bottom"/>
            <w:hideMark/>
          </w:tcPr>
          <w:p w14:paraId="2936172B" w14:textId="77777777" w:rsidR="00A61CFE" w:rsidRDefault="00A61CFE">
            <w:pPr>
              <w:jc w:val="right"/>
              <w:rPr>
                <w:rFonts w:ascii="Cambria" w:hAnsi="Cambria" w:cs="Arial"/>
                <w:b/>
                <w:bCs/>
                <w:color w:val="000000"/>
                <w:sz w:val="18"/>
                <w:szCs w:val="18"/>
              </w:rPr>
            </w:pPr>
            <w:r>
              <w:rPr>
                <w:rFonts w:ascii="Cambria" w:hAnsi="Cambria"/>
                <w:b/>
                <w:color w:val="000000"/>
                <w:sz w:val="18"/>
              </w:rPr>
              <w:t>5 240 748</w:t>
            </w:r>
          </w:p>
        </w:tc>
        <w:tc>
          <w:tcPr>
            <w:tcW w:w="562" w:type="pct"/>
            <w:tcBorders>
              <w:top w:val="single" w:sz="4" w:space="0" w:color="auto"/>
              <w:left w:val="nil"/>
              <w:bottom w:val="single" w:sz="8" w:space="0" w:color="auto"/>
              <w:right w:val="nil"/>
            </w:tcBorders>
            <w:shd w:val="clear" w:color="auto" w:fill="auto"/>
            <w:noWrap/>
            <w:vAlign w:val="bottom"/>
            <w:hideMark/>
          </w:tcPr>
          <w:p w14:paraId="1B239873" w14:textId="77777777" w:rsidR="00A61CFE" w:rsidRDefault="00A61CFE">
            <w:pPr>
              <w:jc w:val="right"/>
              <w:rPr>
                <w:rFonts w:ascii="Cambria" w:hAnsi="Cambria" w:cs="Arial"/>
                <w:b/>
                <w:bCs/>
                <w:color w:val="000000"/>
                <w:sz w:val="18"/>
                <w:szCs w:val="18"/>
              </w:rPr>
            </w:pPr>
            <w:r>
              <w:rPr>
                <w:rFonts w:ascii="Cambria" w:hAnsi="Cambria"/>
                <w:b/>
                <w:color w:val="000000"/>
                <w:sz w:val="18"/>
              </w:rPr>
              <w:t>750 000</w:t>
            </w:r>
          </w:p>
        </w:tc>
        <w:tc>
          <w:tcPr>
            <w:tcW w:w="747" w:type="pct"/>
            <w:tcBorders>
              <w:top w:val="single" w:sz="4" w:space="0" w:color="auto"/>
              <w:left w:val="nil"/>
              <w:bottom w:val="single" w:sz="8" w:space="0" w:color="auto"/>
              <w:right w:val="nil"/>
            </w:tcBorders>
            <w:shd w:val="clear" w:color="auto" w:fill="auto"/>
            <w:noWrap/>
            <w:vAlign w:val="bottom"/>
            <w:hideMark/>
          </w:tcPr>
          <w:p w14:paraId="3F9C46B9" w14:textId="77777777" w:rsidR="00A61CFE" w:rsidRDefault="00A61CFE">
            <w:pPr>
              <w:jc w:val="right"/>
              <w:rPr>
                <w:rFonts w:ascii="Cambria" w:hAnsi="Cambria" w:cs="Arial"/>
                <w:b/>
                <w:bCs/>
                <w:color w:val="000000"/>
                <w:sz w:val="18"/>
                <w:szCs w:val="18"/>
              </w:rPr>
            </w:pPr>
            <w:r>
              <w:rPr>
                <w:rFonts w:ascii="Cambria" w:hAnsi="Cambria"/>
                <w:b/>
                <w:color w:val="000000"/>
                <w:sz w:val="18"/>
              </w:rPr>
              <w:t>(489 825)</w:t>
            </w:r>
          </w:p>
        </w:tc>
        <w:tc>
          <w:tcPr>
            <w:tcW w:w="513" w:type="pct"/>
            <w:tcBorders>
              <w:top w:val="single" w:sz="4" w:space="0" w:color="auto"/>
              <w:left w:val="nil"/>
              <w:bottom w:val="single" w:sz="8" w:space="0" w:color="auto"/>
              <w:right w:val="nil"/>
            </w:tcBorders>
            <w:shd w:val="clear" w:color="auto" w:fill="auto"/>
            <w:noWrap/>
            <w:vAlign w:val="bottom"/>
            <w:hideMark/>
          </w:tcPr>
          <w:p w14:paraId="695203F7" w14:textId="77777777" w:rsidR="00A61CFE" w:rsidRDefault="00A61CFE">
            <w:pPr>
              <w:jc w:val="right"/>
              <w:rPr>
                <w:rFonts w:ascii="Cambria" w:hAnsi="Cambria" w:cs="Arial"/>
                <w:b/>
                <w:bCs/>
                <w:color w:val="000000"/>
                <w:sz w:val="18"/>
                <w:szCs w:val="18"/>
              </w:rPr>
            </w:pPr>
            <w:r>
              <w:rPr>
                <w:rFonts w:ascii="Cambria" w:hAnsi="Cambria"/>
                <w:b/>
                <w:color w:val="000000"/>
                <w:sz w:val="18"/>
              </w:rPr>
              <w:t>5 500 924</w:t>
            </w:r>
          </w:p>
        </w:tc>
      </w:tr>
      <w:tr w:rsidR="0014442B" w14:paraId="2D604F65" w14:textId="77777777" w:rsidTr="0061181E">
        <w:trPr>
          <w:trHeight w:val="240"/>
        </w:trPr>
        <w:tc>
          <w:tcPr>
            <w:tcW w:w="2519" w:type="pct"/>
            <w:tcBorders>
              <w:top w:val="nil"/>
              <w:left w:val="nil"/>
              <w:bottom w:val="nil"/>
              <w:right w:val="nil"/>
            </w:tcBorders>
            <w:shd w:val="clear" w:color="auto" w:fill="auto"/>
            <w:noWrap/>
            <w:vAlign w:val="bottom"/>
            <w:hideMark/>
          </w:tcPr>
          <w:p w14:paraId="62AB5D08" w14:textId="77777777" w:rsidR="00A61CFE" w:rsidRDefault="00A61CFE">
            <w:pPr>
              <w:jc w:val="right"/>
              <w:rPr>
                <w:rFonts w:ascii="Cambria" w:hAnsi="Cambria" w:cs="Arial"/>
                <w:b/>
                <w:bCs/>
                <w:color w:val="000000"/>
                <w:sz w:val="18"/>
                <w:szCs w:val="18"/>
              </w:rPr>
            </w:pPr>
          </w:p>
        </w:tc>
        <w:tc>
          <w:tcPr>
            <w:tcW w:w="659" w:type="pct"/>
            <w:tcBorders>
              <w:top w:val="nil"/>
              <w:left w:val="nil"/>
              <w:bottom w:val="nil"/>
              <w:right w:val="nil"/>
            </w:tcBorders>
            <w:shd w:val="clear" w:color="auto" w:fill="auto"/>
            <w:noWrap/>
            <w:vAlign w:val="bottom"/>
            <w:hideMark/>
          </w:tcPr>
          <w:p w14:paraId="631CD8BE" w14:textId="77777777" w:rsidR="00A61CFE" w:rsidRDefault="00A61CFE">
            <w:pPr>
              <w:rPr>
                <w:sz w:val="20"/>
                <w:szCs w:val="20"/>
              </w:rPr>
            </w:pPr>
          </w:p>
        </w:tc>
        <w:tc>
          <w:tcPr>
            <w:tcW w:w="562" w:type="pct"/>
            <w:tcBorders>
              <w:top w:val="nil"/>
              <w:left w:val="nil"/>
              <w:bottom w:val="nil"/>
              <w:right w:val="nil"/>
            </w:tcBorders>
            <w:shd w:val="clear" w:color="auto" w:fill="auto"/>
            <w:noWrap/>
            <w:vAlign w:val="bottom"/>
            <w:hideMark/>
          </w:tcPr>
          <w:p w14:paraId="64B3CCE2" w14:textId="77777777" w:rsidR="00A61CFE" w:rsidRDefault="00A61CFE">
            <w:pPr>
              <w:rPr>
                <w:sz w:val="20"/>
                <w:szCs w:val="20"/>
              </w:rPr>
            </w:pPr>
          </w:p>
        </w:tc>
        <w:tc>
          <w:tcPr>
            <w:tcW w:w="747" w:type="pct"/>
            <w:tcBorders>
              <w:top w:val="nil"/>
              <w:left w:val="nil"/>
              <w:bottom w:val="nil"/>
              <w:right w:val="nil"/>
            </w:tcBorders>
            <w:shd w:val="clear" w:color="auto" w:fill="auto"/>
            <w:noWrap/>
            <w:vAlign w:val="bottom"/>
            <w:hideMark/>
          </w:tcPr>
          <w:p w14:paraId="60C7EE77" w14:textId="77777777" w:rsidR="00A61CFE" w:rsidRDefault="00A61CFE">
            <w:pPr>
              <w:rPr>
                <w:sz w:val="20"/>
                <w:szCs w:val="20"/>
              </w:rPr>
            </w:pPr>
          </w:p>
        </w:tc>
        <w:tc>
          <w:tcPr>
            <w:tcW w:w="513" w:type="pct"/>
            <w:tcBorders>
              <w:top w:val="nil"/>
              <w:left w:val="nil"/>
              <w:bottom w:val="nil"/>
              <w:right w:val="nil"/>
            </w:tcBorders>
            <w:shd w:val="clear" w:color="auto" w:fill="auto"/>
            <w:noWrap/>
            <w:vAlign w:val="bottom"/>
            <w:hideMark/>
          </w:tcPr>
          <w:p w14:paraId="71142870" w14:textId="77777777" w:rsidR="00A61CFE" w:rsidRDefault="00A61CFE">
            <w:pPr>
              <w:rPr>
                <w:sz w:val="20"/>
                <w:szCs w:val="20"/>
              </w:rPr>
            </w:pPr>
          </w:p>
        </w:tc>
      </w:tr>
      <w:tr w:rsidR="0014442B" w14:paraId="3D2F79CB" w14:textId="77777777" w:rsidTr="0061181E">
        <w:trPr>
          <w:trHeight w:val="240"/>
        </w:trPr>
        <w:tc>
          <w:tcPr>
            <w:tcW w:w="2519" w:type="pct"/>
            <w:tcBorders>
              <w:top w:val="nil"/>
              <w:left w:val="nil"/>
              <w:bottom w:val="nil"/>
              <w:right w:val="nil"/>
            </w:tcBorders>
            <w:shd w:val="clear" w:color="auto" w:fill="auto"/>
            <w:noWrap/>
            <w:vAlign w:val="bottom"/>
            <w:hideMark/>
          </w:tcPr>
          <w:p w14:paraId="62D28F29" w14:textId="77777777" w:rsidR="00A61CFE" w:rsidRPr="00DC792B" w:rsidRDefault="00A61CFE">
            <w:pPr>
              <w:rPr>
                <w:rFonts w:ascii="Cambria" w:hAnsi="Cambria" w:cs="Arial"/>
                <w:color w:val="000000"/>
                <w:sz w:val="18"/>
                <w:szCs w:val="18"/>
                <w:lang w:val="it-IT"/>
              </w:rPr>
            </w:pPr>
            <w:r w:rsidRPr="00DC792B">
              <w:rPr>
                <w:rFonts w:ascii="Cambria" w:hAnsi="Cambria"/>
                <w:color w:val="000000"/>
                <w:sz w:val="18"/>
                <w:lang w:val="it-IT"/>
              </w:rPr>
              <w:t xml:space="preserve">Intesa Sanpaolo Spa import </w:t>
            </w:r>
            <w:proofErr w:type="spellStart"/>
            <w:r w:rsidRPr="00DC792B">
              <w:rPr>
                <w:rFonts w:ascii="Cambria" w:hAnsi="Cambria"/>
                <w:color w:val="000000"/>
                <w:sz w:val="18"/>
                <w:lang w:val="it-IT"/>
              </w:rPr>
              <w:t>finan</w:t>
            </w:r>
            <w:proofErr w:type="spellEnd"/>
            <w:r w:rsidRPr="00DC792B">
              <w:rPr>
                <w:rFonts w:ascii="Cambria" w:hAnsi="Cambria"/>
                <w:color w:val="000000"/>
                <w:sz w:val="18"/>
                <w:lang w:val="it-IT"/>
              </w:rPr>
              <w:t>.</w:t>
            </w:r>
          </w:p>
        </w:tc>
        <w:tc>
          <w:tcPr>
            <w:tcW w:w="659" w:type="pct"/>
            <w:tcBorders>
              <w:top w:val="nil"/>
              <w:left w:val="nil"/>
              <w:bottom w:val="nil"/>
              <w:right w:val="nil"/>
            </w:tcBorders>
            <w:shd w:val="clear" w:color="auto" w:fill="auto"/>
            <w:noWrap/>
            <w:vAlign w:val="bottom"/>
            <w:hideMark/>
          </w:tcPr>
          <w:p w14:paraId="42CAFDF2" w14:textId="77777777" w:rsidR="00A61CFE" w:rsidRDefault="00A61CFE">
            <w:pPr>
              <w:jc w:val="right"/>
              <w:rPr>
                <w:rFonts w:ascii="Cambria" w:hAnsi="Cambria" w:cs="Arial"/>
                <w:color w:val="000000"/>
                <w:sz w:val="18"/>
                <w:szCs w:val="18"/>
              </w:rPr>
            </w:pPr>
            <w:r>
              <w:rPr>
                <w:rFonts w:ascii="Cambria" w:hAnsi="Cambria"/>
                <w:color w:val="000000"/>
                <w:sz w:val="18"/>
              </w:rPr>
              <w:t>83 483</w:t>
            </w:r>
          </w:p>
        </w:tc>
        <w:tc>
          <w:tcPr>
            <w:tcW w:w="562" w:type="pct"/>
            <w:tcBorders>
              <w:top w:val="nil"/>
              <w:left w:val="nil"/>
              <w:bottom w:val="nil"/>
              <w:right w:val="nil"/>
            </w:tcBorders>
            <w:shd w:val="clear" w:color="auto" w:fill="auto"/>
            <w:noWrap/>
            <w:vAlign w:val="bottom"/>
            <w:hideMark/>
          </w:tcPr>
          <w:p w14:paraId="007D15E5" w14:textId="77777777" w:rsidR="00A61CFE" w:rsidRDefault="00A61CFE">
            <w:pPr>
              <w:jc w:val="right"/>
              <w:rPr>
                <w:rFonts w:ascii="Cambria" w:hAnsi="Cambria" w:cs="Arial"/>
                <w:color w:val="000000"/>
                <w:sz w:val="18"/>
                <w:szCs w:val="18"/>
              </w:rPr>
            </w:pPr>
            <w:r>
              <w:rPr>
                <w:rFonts w:ascii="Cambria" w:hAnsi="Cambria"/>
                <w:color w:val="000000"/>
                <w:sz w:val="18"/>
              </w:rPr>
              <w:t>422 863</w:t>
            </w:r>
          </w:p>
        </w:tc>
        <w:tc>
          <w:tcPr>
            <w:tcW w:w="747" w:type="pct"/>
            <w:tcBorders>
              <w:top w:val="nil"/>
              <w:left w:val="nil"/>
              <w:bottom w:val="nil"/>
              <w:right w:val="nil"/>
            </w:tcBorders>
            <w:shd w:val="clear" w:color="auto" w:fill="auto"/>
            <w:noWrap/>
            <w:vAlign w:val="bottom"/>
            <w:hideMark/>
          </w:tcPr>
          <w:p w14:paraId="59BD91A9" w14:textId="77777777" w:rsidR="00A61CFE" w:rsidRDefault="00A61CFE">
            <w:pPr>
              <w:rPr>
                <w:rFonts w:ascii="Cambria" w:hAnsi="Cambria" w:cs="Arial"/>
                <w:color w:val="000000"/>
                <w:sz w:val="18"/>
                <w:szCs w:val="18"/>
              </w:rPr>
            </w:pPr>
            <w:r>
              <w:rPr>
                <w:rFonts w:ascii="Cambria" w:hAnsi="Cambria"/>
                <w:color w:val="000000"/>
                <w:sz w:val="18"/>
              </w:rPr>
              <w:t xml:space="preserve">                               -   </w:t>
            </w:r>
          </w:p>
        </w:tc>
        <w:tc>
          <w:tcPr>
            <w:tcW w:w="513" w:type="pct"/>
            <w:tcBorders>
              <w:top w:val="nil"/>
              <w:left w:val="nil"/>
              <w:bottom w:val="nil"/>
              <w:right w:val="nil"/>
            </w:tcBorders>
            <w:shd w:val="clear" w:color="auto" w:fill="auto"/>
            <w:noWrap/>
            <w:vAlign w:val="bottom"/>
            <w:hideMark/>
          </w:tcPr>
          <w:p w14:paraId="5889E553" w14:textId="77777777" w:rsidR="00A61CFE" w:rsidRDefault="00A61CFE">
            <w:pPr>
              <w:jc w:val="right"/>
              <w:rPr>
                <w:rFonts w:ascii="Cambria" w:hAnsi="Cambria" w:cs="Arial"/>
                <w:color w:val="000000"/>
                <w:sz w:val="18"/>
                <w:szCs w:val="18"/>
              </w:rPr>
            </w:pPr>
            <w:r>
              <w:rPr>
                <w:rFonts w:ascii="Cambria" w:hAnsi="Cambria"/>
                <w:color w:val="000000"/>
                <w:sz w:val="18"/>
              </w:rPr>
              <w:t>506 346</w:t>
            </w:r>
          </w:p>
        </w:tc>
      </w:tr>
      <w:tr w:rsidR="0014442B" w14:paraId="560E68BA" w14:textId="77777777" w:rsidTr="0061181E">
        <w:trPr>
          <w:trHeight w:val="240"/>
        </w:trPr>
        <w:tc>
          <w:tcPr>
            <w:tcW w:w="2519" w:type="pct"/>
            <w:tcBorders>
              <w:top w:val="nil"/>
              <w:left w:val="nil"/>
              <w:bottom w:val="nil"/>
              <w:right w:val="nil"/>
            </w:tcBorders>
            <w:shd w:val="clear" w:color="auto" w:fill="auto"/>
            <w:noWrap/>
            <w:vAlign w:val="bottom"/>
            <w:hideMark/>
          </w:tcPr>
          <w:p w14:paraId="61603603" w14:textId="77777777" w:rsidR="00A61CFE" w:rsidRDefault="00A61CFE">
            <w:pPr>
              <w:rPr>
                <w:rFonts w:ascii="Cambria" w:hAnsi="Cambria" w:cs="Arial"/>
                <w:color w:val="000000"/>
                <w:sz w:val="18"/>
                <w:szCs w:val="18"/>
              </w:rPr>
            </w:pPr>
            <w:proofErr w:type="spellStart"/>
            <w:r>
              <w:rPr>
                <w:rFonts w:ascii="Cambria" w:hAnsi="Cambria"/>
                <w:color w:val="000000"/>
                <w:sz w:val="18"/>
              </w:rPr>
              <w:t>Intesa</w:t>
            </w:r>
            <w:proofErr w:type="spellEnd"/>
            <w:r>
              <w:rPr>
                <w:rFonts w:ascii="Cambria" w:hAnsi="Cambria"/>
                <w:color w:val="000000"/>
                <w:sz w:val="18"/>
              </w:rPr>
              <w:t xml:space="preserve"> </w:t>
            </w:r>
            <w:proofErr w:type="spellStart"/>
            <w:r>
              <w:rPr>
                <w:rFonts w:ascii="Cambria" w:hAnsi="Cambria"/>
                <w:color w:val="000000"/>
                <w:sz w:val="18"/>
              </w:rPr>
              <w:t>Sanpaolo</w:t>
            </w:r>
            <w:proofErr w:type="spellEnd"/>
            <w:r>
              <w:rPr>
                <w:rFonts w:ascii="Cambria" w:hAnsi="Cambria"/>
                <w:color w:val="000000"/>
                <w:sz w:val="18"/>
              </w:rPr>
              <w:t xml:space="preserve"> spa </w:t>
            </w:r>
            <w:proofErr w:type="spellStart"/>
            <w:r>
              <w:rPr>
                <w:rFonts w:ascii="Cambria" w:hAnsi="Cambria"/>
                <w:color w:val="000000"/>
                <w:sz w:val="18"/>
              </w:rPr>
              <w:t>confirming</w:t>
            </w:r>
            <w:proofErr w:type="spellEnd"/>
          </w:p>
        </w:tc>
        <w:tc>
          <w:tcPr>
            <w:tcW w:w="659" w:type="pct"/>
            <w:tcBorders>
              <w:top w:val="nil"/>
              <w:left w:val="nil"/>
              <w:bottom w:val="nil"/>
              <w:right w:val="nil"/>
            </w:tcBorders>
            <w:shd w:val="clear" w:color="auto" w:fill="auto"/>
            <w:noWrap/>
            <w:vAlign w:val="bottom"/>
            <w:hideMark/>
          </w:tcPr>
          <w:p w14:paraId="4305060E" w14:textId="77777777" w:rsidR="00A61CFE" w:rsidRDefault="00A61CFE">
            <w:pPr>
              <w:jc w:val="right"/>
              <w:rPr>
                <w:rFonts w:ascii="Cambria" w:hAnsi="Cambria" w:cs="Arial"/>
                <w:color w:val="000000"/>
                <w:sz w:val="18"/>
                <w:szCs w:val="18"/>
              </w:rPr>
            </w:pPr>
            <w:r>
              <w:rPr>
                <w:rFonts w:ascii="Cambria" w:hAnsi="Cambria"/>
                <w:color w:val="000000"/>
                <w:sz w:val="18"/>
              </w:rPr>
              <w:t>268 687</w:t>
            </w:r>
          </w:p>
        </w:tc>
        <w:tc>
          <w:tcPr>
            <w:tcW w:w="562" w:type="pct"/>
            <w:tcBorders>
              <w:top w:val="nil"/>
              <w:left w:val="nil"/>
              <w:bottom w:val="nil"/>
              <w:right w:val="nil"/>
            </w:tcBorders>
            <w:shd w:val="clear" w:color="auto" w:fill="auto"/>
            <w:noWrap/>
            <w:vAlign w:val="bottom"/>
            <w:hideMark/>
          </w:tcPr>
          <w:p w14:paraId="32C60F51" w14:textId="77777777" w:rsidR="00A61CFE" w:rsidRDefault="00A61CFE">
            <w:pPr>
              <w:jc w:val="right"/>
              <w:rPr>
                <w:rFonts w:ascii="Cambria" w:hAnsi="Cambria" w:cs="Arial"/>
                <w:color w:val="000000"/>
                <w:sz w:val="18"/>
                <w:szCs w:val="18"/>
              </w:rPr>
            </w:pPr>
            <w:r>
              <w:rPr>
                <w:rFonts w:ascii="Cambria" w:hAnsi="Cambria"/>
                <w:color w:val="000000"/>
                <w:sz w:val="18"/>
              </w:rPr>
              <w:t>382 784</w:t>
            </w:r>
          </w:p>
        </w:tc>
        <w:tc>
          <w:tcPr>
            <w:tcW w:w="747" w:type="pct"/>
            <w:tcBorders>
              <w:top w:val="nil"/>
              <w:left w:val="nil"/>
              <w:bottom w:val="nil"/>
              <w:right w:val="nil"/>
            </w:tcBorders>
            <w:shd w:val="clear" w:color="auto" w:fill="auto"/>
            <w:noWrap/>
            <w:vAlign w:val="bottom"/>
            <w:hideMark/>
          </w:tcPr>
          <w:p w14:paraId="73467429" w14:textId="77777777" w:rsidR="00A61CFE" w:rsidRDefault="00A61CFE">
            <w:pPr>
              <w:rPr>
                <w:rFonts w:ascii="Cambria" w:hAnsi="Cambria" w:cs="Arial"/>
                <w:color w:val="000000"/>
                <w:sz w:val="18"/>
                <w:szCs w:val="18"/>
              </w:rPr>
            </w:pPr>
            <w:r>
              <w:rPr>
                <w:rFonts w:ascii="Cambria" w:hAnsi="Cambria"/>
                <w:color w:val="000000"/>
                <w:sz w:val="18"/>
              </w:rPr>
              <w:t xml:space="preserve">                               -    </w:t>
            </w:r>
          </w:p>
        </w:tc>
        <w:tc>
          <w:tcPr>
            <w:tcW w:w="513" w:type="pct"/>
            <w:tcBorders>
              <w:top w:val="nil"/>
              <w:left w:val="nil"/>
              <w:bottom w:val="nil"/>
              <w:right w:val="nil"/>
            </w:tcBorders>
            <w:shd w:val="clear" w:color="auto" w:fill="auto"/>
            <w:noWrap/>
            <w:vAlign w:val="bottom"/>
            <w:hideMark/>
          </w:tcPr>
          <w:p w14:paraId="70E32BA6" w14:textId="77777777" w:rsidR="00A61CFE" w:rsidRDefault="00A61CFE">
            <w:pPr>
              <w:jc w:val="right"/>
              <w:rPr>
                <w:rFonts w:ascii="Cambria" w:hAnsi="Cambria" w:cs="Arial"/>
                <w:color w:val="000000"/>
                <w:sz w:val="18"/>
                <w:szCs w:val="18"/>
              </w:rPr>
            </w:pPr>
            <w:r>
              <w:rPr>
                <w:rFonts w:ascii="Cambria" w:hAnsi="Cambria"/>
                <w:color w:val="000000"/>
                <w:sz w:val="18"/>
              </w:rPr>
              <w:t>651 470</w:t>
            </w:r>
          </w:p>
        </w:tc>
      </w:tr>
      <w:tr w:rsidR="0014442B" w14:paraId="0F942C54" w14:textId="77777777" w:rsidTr="0061181E">
        <w:trPr>
          <w:trHeight w:val="255"/>
        </w:trPr>
        <w:tc>
          <w:tcPr>
            <w:tcW w:w="2519" w:type="pct"/>
            <w:tcBorders>
              <w:top w:val="nil"/>
              <w:left w:val="nil"/>
              <w:bottom w:val="nil"/>
              <w:right w:val="nil"/>
            </w:tcBorders>
            <w:shd w:val="clear" w:color="auto" w:fill="auto"/>
            <w:noWrap/>
            <w:vAlign w:val="bottom"/>
            <w:hideMark/>
          </w:tcPr>
          <w:p w14:paraId="01D4974B" w14:textId="77777777" w:rsidR="00A61CFE" w:rsidRDefault="00A61CFE">
            <w:pPr>
              <w:rPr>
                <w:rFonts w:ascii="Cambria" w:hAnsi="Cambria" w:cs="Arial"/>
                <w:b/>
                <w:bCs/>
                <w:color w:val="000000"/>
                <w:sz w:val="18"/>
                <w:szCs w:val="18"/>
              </w:rPr>
            </w:pPr>
            <w:r>
              <w:rPr>
                <w:rFonts w:ascii="Cambria" w:hAnsi="Cambria"/>
                <w:b/>
                <w:color w:val="000000"/>
                <w:sz w:val="18"/>
              </w:rPr>
              <w:t>Total Dettes bancaires</w:t>
            </w:r>
          </w:p>
        </w:tc>
        <w:tc>
          <w:tcPr>
            <w:tcW w:w="659" w:type="pct"/>
            <w:tcBorders>
              <w:top w:val="single" w:sz="4" w:space="0" w:color="auto"/>
              <w:left w:val="nil"/>
              <w:bottom w:val="single" w:sz="8" w:space="0" w:color="auto"/>
              <w:right w:val="nil"/>
            </w:tcBorders>
            <w:shd w:val="clear" w:color="auto" w:fill="auto"/>
            <w:noWrap/>
            <w:vAlign w:val="bottom"/>
            <w:hideMark/>
          </w:tcPr>
          <w:p w14:paraId="53BCC50D" w14:textId="77777777" w:rsidR="00A61CFE" w:rsidRDefault="00A61CFE">
            <w:pPr>
              <w:jc w:val="right"/>
              <w:rPr>
                <w:rFonts w:ascii="Cambria" w:hAnsi="Cambria" w:cs="Arial"/>
                <w:b/>
                <w:bCs/>
                <w:color w:val="000000"/>
                <w:sz w:val="18"/>
                <w:szCs w:val="18"/>
              </w:rPr>
            </w:pPr>
            <w:r>
              <w:rPr>
                <w:rFonts w:ascii="Cambria" w:hAnsi="Cambria"/>
                <w:b/>
                <w:color w:val="000000"/>
                <w:sz w:val="18"/>
              </w:rPr>
              <w:t>5 592 919</w:t>
            </w:r>
          </w:p>
        </w:tc>
        <w:tc>
          <w:tcPr>
            <w:tcW w:w="562" w:type="pct"/>
            <w:tcBorders>
              <w:top w:val="single" w:sz="4" w:space="0" w:color="auto"/>
              <w:left w:val="nil"/>
              <w:bottom w:val="single" w:sz="8" w:space="0" w:color="auto"/>
              <w:right w:val="nil"/>
            </w:tcBorders>
            <w:shd w:val="clear" w:color="auto" w:fill="auto"/>
            <w:noWrap/>
            <w:vAlign w:val="bottom"/>
            <w:hideMark/>
          </w:tcPr>
          <w:p w14:paraId="0BE07565" w14:textId="77777777" w:rsidR="00A61CFE" w:rsidRDefault="00A61CFE">
            <w:pPr>
              <w:jc w:val="right"/>
              <w:rPr>
                <w:rFonts w:ascii="Cambria" w:hAnsi="Cambria" w:cs="Arial"/>
                <w:b/>
                <w:bCs/>
                <w:color w:val="000000"/>
                <w:sz w:val="18"/>
                <w:szCs w:val="18"/>
              </w:rPr>
            </w:pPr>
            <w:r>
              <w:rPr>
                <w:rFonts w:ascii="Cambria" w:hAnsi="Cambria"/>
                <w:b/>
                <w:color w:val="000000"/>
                <w:sz w:val="18"/>
              </w:rPr>
              <w:t>1 555 647</w:t>
            </w:r>
          </w:p>
        </w:tc>
        <w:tc>
          <w:tcPr>
            <w:tcW w:w="747" w:type="pct"/>
            <w:tcBorders>
              <w:top w:val="single" w:sz="4" w:space="0" w:color="auto"/>
              <w:left w:val="nil"/>
              <w:bottom w:val="single" w:sz="8" w:space="0" w:color="auto"/>
              <w:right w:val="nil"/>
            </w:tcBorders>
            <w:shd w:val="clear" w:color="auto" w:fill="auto"/>
            <w:noWrap/>
            <w:vAlign w:val="bottom"/>
            <w:hideMark/>
          </w:tcPr>
          <w:p w14:paraId="3D045CDD" w14:textId="77777777" w:rsidR="00A61CFE" w:rsidRDefault="00A61CFE">
            <w:pPr>
              <w:jc w:val="right"/>
              <w:rPr>
                <w:rFonts w:ascii="Cambria" w:hAnsi="Cambria" w:cs="Arial"/>
                <w:b/>
                <w:bCs/>
                <w:color w:val="000000"/>
                <w:sz w:val="18"/>
                <w:szCs w:val="18"/>
              </w:rPr>
            </w:pPr>
            <w:r>
              <w:rPr>
                <w:rFonts w:ascii="Cambria" w:hAnsi="Cambria"/>
                <w:b/>
                <w:color w:val="000000"/>
                <w:sz w:val="18"/>
              </w:rPr>
              <w:t>(489 825)</w:t>
            </w:r>
          </w:p>
        </w:tc>
        <w:tc>
          <w:tcPr>
            <w:tcW w:w="513" w:type="pct"/>
            <w:tcBorders>
              <w:top w:val="single" w:sz="4" w:space="0" w:color="auto"/>
              <w:left w:val="nil"/>
              <w:bottom w:val="single" w:sz="8" w:space="0" w:color="auto"/>
              <w:right w:val="nil"/>
            </w:tcBorders>
            <w:shd w:val="clear" w:color="auto" w:fill="auto"/>
            <w:noWrap/>
            <w:vAlign w:val="bottom"/>
            <w:hideMark/>
          </w:tcPr>
          <w:p w14:paraId="6B6B5476" w14:textId="77777777" w:rsidR="00A61CFE" w:rsidRDefault="00A61CFE">
            <w:pPr>
              <w:jc w:val="right"/>
              <w:rPr>
                <w:rFonts w:ascii="Cambria" w:hAnsi="Cambria" w:cs="Arial"/>
                <w:b/>
                <w:bCs/>
                <w:color w:val="000000"/>
                <w:sz w:val="18"/>
                <w:szCs w:val="18"/>
              </w:rPr>
            </w:pPr>
            <w:r>
              <w:rPr>
                <w:rFonts w:ascii="Cambria" w:hAnsi="Cambria"/>
                <w:b/>
                <w:color w:val="000000"/>
                <w:sz w:val="18"/>
              </w:rPr>
              <w:t>6 658 741</w:t>
            </w:r>
          </w:p>
        </w:tc>
      </w:tr>
      <w:tr w:rsidR="0014442B" w14:paraId="7E3F5A01" w14:textId="77777777" w:rsidTr="0061181E">
        <w:trPr>
          <w:trHeight w:val="240"/>
        </w:trPr>
        <w:tc>
          <w:tcPr>
            <w:tcW w:w="2519" w:type="pct"/>
            <w:tcBorders>
              <w:top w:val="nil"/>
              <w:left w:val="nil"/>
              <w:bottom w:val="nil"/>
              <w:right w:val="nil"/>
            </w:tcBorders>
            <w:shd w:val="clear" w:color="auto" w:fill="auto"/>
            <w:noWrap/>
            <w:vAlign w:val="bottom"/>
            <w:hideMark/>
          </w:tcPr>
          <w:p w14:paraId="427556ED" w14:textId="77777777" w:rsidR="00A61CFE" w:rsidRDefault="00A61CFE">
            <w:pPr>
              <w:rPr>
                <w:rFonts w:ascii="Cambria" w:hAnsi="Cambria" w:cs="Arial"/>
                <w:i/>
                <w:iCs/>
                <w:color w:val="000000"/>
                <w:sz w:val="18"/>
                <w:szCs w:val="18"/>
              </w:rPr>
            </w:pPr>
            <w:proofErr w:type="gramStart"/>
            <w:r>
              <w:rPr>
                <w:rFonts w:ascii="Cambria" w:hAnsi="Cambria"/>
                <w:i/>
                <w:color w:val="000000"/>
                <w:sz w:val="18"/>
              </w:rPr>
              <w:t>avec</w:t>
            </w:r>
            <w:proofErr w:type="gramEnd"/>
            <w:r>
              <w:rPr>
                <w:rFonts w:ascii="Cambria" w:hAnsi="Cambria"/>
                <w:i/>
                <w:color w:val="000000"/>
                <w:sz w:val="18"/>
              </w:rPr>
              <w:t xml:space="preserve"> échéance au cours du prochain exercice</w:t>
            </w:r>
          </w:p>
        </w:tc>
        <w:tc>
          <w:tcPr>
            <w:tcW w:w="659" w:type="pct"/>
            <w:tcBorders>
              <w:top w:val="nil"/>
              <w:left w:val="nil"/>
              <w:bottom w:val="nil"/>
              <w:right w:val="nil"/>
            </w:tcBorders>
            <w:shd w:val="clear" w:color="auto" w:fill="auto"/>
            <w:noWrap/>
            <w:vAlign w:val="bottom"/>
            <w:hideMark/>
          </w:tcPr>
          <w:p w14:paraId="2A9495B8" w14:textId="77777777" w:rsidR="00A61CFE" w:rsidRDefault="00A61CFE">
            <w:pPr>
              <w:jc w:val="right"/>
              <w:rPr>
                <w:rFonts w:ascii="Cambria" w:hAnsi="Cambria" w:cs="Arial"/>
                <w:i/>
                <w:iCs/>
                <w:color w:val="000000"/>
                <w:sz w:val="18"/>
                <w:szCs w:val="18"/>
              </w:rPr>
            </w:pPr>
            <w:r>
              <w:rPr>
                <w:rFonts w:ascii="Cambria" w:hAnsi="Cambria"/>
                <w:i/>
                <w:color w:val="000000"/>
                <w:sz w:val="18"/>
              </w:rPr>
              <w:t>1 477 061</w:t>
            </w:r>
          </w:p>
        </w:tc>
        <w:tc>
          <w:tcPr>
            <w:tcW w:w="562" w:type="pct"/>
            <w:tcBorders>
              <w:top w:val="nil"/>
              <w:left w:val="nil"/>
              <w:bottom w:val="nil"/>
              <w:right w:val="nil"/>
            </w:tcBorders>
            <w:shd w:val="clear" w:color="auto" w:fill="auto"/>
            <w:noWrap/>
            <w:vAlign w:val="bottom"/>
            <w:hideMark/>
          </w:tcPr>
          <w:p w14:paraId="21408298" w14:textId="77777777" w:rsidR="00A61CFE" w:rsidRDefault="00A61CFE">
            <w:pPr>
              <w:jc w:val="right"/>
              <w:rPr>
                <w:rFonts w:ascii="Cambria" w:hAnsi="Cambria" w:cs="Arial"/>
                <w:i/>
                <w:iCs/>
                <w:color w:val="000000"/>
                <w:sz w:val="18"/>
                <w:szCs w:val="18"/>
              </w:rPr>
            </w:pPr>
          </w:p>
        </w:tc>
        <w:tc>
          <w:tcPr>
            <w:tcW w:w="747" w:type="pct"/>
            <w:tcBorders>
              <w:top w:val="nil"/>
              <w:left w:val="nil"/>
              <w:bottom w:val="nil"/>
              <w:right w:val="nil"/>
            </w:tcBorders>
            <w:shd w:val="clear" w:color="auto" w:fill="auto"/>
            <w:noWrap/>
            <w:vAlign w:val="bottom"/>
            <w:hideMark/>
          </w:tcPr>
          <w:p w14:paraId="42DED763" w14:textId="77777777" w:rsidR="00A61CFE" w:rsidRDefault="00A61CFE">
            <w:pPr>
              <w:rPr>
                <w:sz w:val="20"/>
                <w:szCs w:val="20"/>
              </w:rPr>
            </w:pPr>
          </w:p>
        </w:tc>
        <w:tc>
          <w:tcPr>
            <w:tcW w:w="513" w:type="pct"/>
            <w:tcBorders>
              <w:top w:val="nil"/>
              <w:left w:val="nil"/>
              <w:bottom w:val="nil"/>
              <w:right w:val="nil"/>
            </w:tcBorders>
            <w:shd w:val="clear" w:color="auto" w:fill="auto"/>
            <w:noWrap/>
            <w:vAlign w:val="bottom"/>
            <w:hideMark/>
          </w:tcPr>
          <w:p w14:paraId="79F9C674" w14:textId="77777777" w:rsidR="00A61CFE" w:rsidRDefault="00A61CFE">
            <w:pPr>
              <w:jc w:val="right"/>
              <w:rPr>
                <w:rFonts w:ascii="Cambria" w:hAnsi="Cambria" w:cs="Arial"/>
                <w:i/>
                <w:iCs/>
                <w:color w:val="000000"/>
                <w:sz w:val="18"/>
                <w:szCs w:val="18"/>
              </w:rPr>
            </w:pPr>
            <w:r>
              <w:rPr>
                <w:rFonts w:ascii="Cambria" w:hAnsi="Cambria"/>
                <w:i/>
                <w:color w:val="000000"/>
                <w:sz w:val="18"/>
              </w:rPr>
              <w:t>2 461 030</w:t>
            </w:r>
          </w:p>
        </w:tc>
      </w:tr>
      <w:tr w:rsidR="0014442B" w14:paraId="37A3DFEA" w14:textId="77777777" w:rsidTr="0061181E">
        <w:trPr>
          <w:trHeight w:val="240"/>
        </w:trPr>
        <w:tc>
          <w:tcPr>
            <w:tcW w:w="2519" w:type="pct"/>
            <w:tcBorders>
              <w:top w:val="nil"/>
              <w:left w:val="nil"/>
              <w:bottom w:val="nil"/>
              <w:right w:val="nil"/>
            </w:tcBorders>
            <w:shd w:val="clear" w:color="auto" w:fill="auto"/>
            <w:noWrap/>
            <w:vAlign w:val="bottom"/>
            <w:hideMark/>
          </w:tcPr>
          <w:p w14:paraId="5F6CE0F5" w14:textId="77777777" w:rsidR="00A61CFE" w:rsidRDefault="00A61CFE">
            <w:pPr>
              <w:rPr>
                <w:rFonts w:ascii="Cambria" w:hAnsi="Cambria" w:cs="Arial"/>
                <w:i/>
                <w:iCs/>
                <w:color w:val="000000"/>
                <w:sz w:val="18"/>
                <w:szCs w:val="18"/>
              </w:rPr>
            </w:pPr>
            <w:proofErr w:type="gramStart"/>
            <w:r>
              <w:rPr>
                <w:rFonts w:ascii="Cambria" w:hAnsi="Cambria"/>
                <w:i/>
                <w:color w:val="000000"/>
                <w:sz w:val="18"/>
              </w:rPr>
              <w:t>avec</w:t>
            </w:r>
            <w:proofErr w:type="gramEnd"/>
            <w:r>
              <w:rPr>
                <w:rFonts w:ascii="Cambria" w:hAnsi="Cambria"/>
                <w:i/>
                <w:color w:val="000000"/>
                <w:sz w:val="18"/>
              </w:rPr>
              <w:t xml:space="preserve"> échéance au-delà du prochain exercice</w:t>
            </w:r>
          </w:p>
        </w:tc>
        <w:tc>
          <w:tcPr>
            <w:tcW w:w="659" w:type="pct"/>
            <w:tcBorders>
              <w:top w:val="nil"/>
              <w:left w:val="nil"/>
              <w:bottom w:val="nil"/>
              <w:right w:val="nil"/>
            </w:tcBorders>
            <w:shd w:val="clear" w:color="auto" w:fill="auto"/>
            <w:noWrap/>
            <w:vAlign w:val="bottom"/>
            <w:hideMark/>
          </w:tcPr>
          <w:p w14:paraId="6EFEF5EF" w14:textId="77777777" w:rsidR="00A61CFE" w:rsidRDefault="00A61CFE">
            <w:pPr>
              <w:jc w:val="right"/>
              <w:rPr>
                <w:rFonts w:ascii="Cambria" w:hAnsi="Cambria" w:cs="Arial"/>
                <w:i/>
                <w:iCs/>
                <w:color w:val="000000"/>
                <w:sz w:val="18"/>
                <w:szCs w:val="18"/>
              </w:rPr>
            </w:pPr>
            <w:r>
              <w:rPr>
                <w:rFonts w:ascii="Cambria" w:hAnsi="Cambria"/>
                <w:i/>
                <w:color w:val="000000"/>
                <w:sz w:val="18"/>
              </w:rPr>
              <w:t>4 115 858</w:t>
            </w:r>
          </w:p>
        </w:tc>
        <w:tc>
          <w:tcPr>
            <w:tcW w:w="562" w:type="pct"/>
            <w:tcBorders>
              <w:top w:val="nil"/>
              <w:left w:val="nil"/>
              <w:bottom w:val="nil"/>
              <w:right w:val="nil"/>
            </w:tcBorders>
            <w:shd w:val="clear" w:color="auto" w:fill="auto"/>
            <w:noWrap/>
            <w:vAlign w:val="bottom"/>
            <w:hideMark/>
          </w:tcPr>
          <w:p w14:paraId="462DD759" w14:textId="77777777" w:rsidR="00A61CFE" w:rsidRDefault="00A61CFE">
            <w:pPr>
              <w:jc w:val="right"/>
              <w:rPr>
                <w:rFonts w:ascii="Cambria" w:hAnsi="Cambria" w:cs="Arial"/>
                <w:i/>
                <w:iCs/>
                <w:color w:val="000000"/>
                <w:sz w:val="18"/>
                <w:szCs w:val="18"/>
              </w:rPr>
            </w:pPr>
          </w:p>
        </w:tc>
        <w:tc>
          <w:tcPr>
            <w:tcW w:w="747" w:type="pct"/>
            <w:tcBorders>
              <w:top w:val="nil"/>
              <w:left w:val="nil"/>
              <w:bottom w:val="nil"/>
              <w:right w:val="nil"/>
            </w:tcBorders>
            <w:shd w:val="clear" w:color="auto" w:fill="auto"/>
            <w:noWrap/>
            <w:vAlign w:val="bottom"/>
            <w:hideMark/>
          </w:tcPr>
          <w:p w14:paraId="67AB3F2E" w14:textId="77777777" w:rsidR="00A61CFE" w:rsidRDefault="00A61CFE">
            <w:pPr>
              <w:rPr>
                <w:sz w:val="20"/>
                <w:szCs w:val="20"/>
              </w:rPr>
            </w:pPr>
          </w:p>
        </w:tc>
        <w:tc>
          <w:tcPr>
            <w:tcW w:w="513" w:type="pct"/>
            <w:tcBorders>
              <w:top w:val="nil"/>
              <w:left w:val="nil"/>
              <w:bottom w:val="nil"/>
              <w:right w:val="nil"/>
            </w:tcBorders>
            <w:shd w:val="clear" w:color="auto" w:fill="auto"/>
            <w:noWrap/>
            <w:vAlign w:val="bottom"/>
            <w:hideMark/>
          </w:tcPr>
          <w:p w14:paraId="2FA3BD5A" w14:textId="77777777" w:rsidR="00A61CFE" w:rsidRDefault="00A61CFE">
            <w:pPr>
              <w:jc w:val="right"/>
              <w:rPr>
                <w:rFonts w:ascii="Cambria" w:hAnsi="Cambria" w:cs="Arial"/>
                <w:i/>
                <w:iCs/>
                <w:color w:val="000000"/>
                <w:sz w:val="18"/>
                <w:szCs w:val="18"/>
              </w:rPr>
            </w:pPr>
            <w:r>
              <w:rPr>
                <w:rFonts w:ascii="Cambria" w:hAnsi="Cambria"/>
                <w:i/>
                <w:color w:val="000000"/>
                <w:sz w:val="18"/>
              </w:rPr>
              <w:t>4 197 711</w:t>
            </w:r>
          </w:p>
        </w:tc>
      </w:tr>
    </w:tbl>
    <w:p w14:paraId="45015620" w14:textId="7E31E436" w:rsidR="0009301E" w:rsidRDefault="0009301E" w:rsidP="00E16D12">
      <w:pPr>
        <w:spacing w:after="200" w:line="276" w:lineRule="auto"/>
        <w:jc w:val="both"/>
        <w:rPr>
          <w:rFonts w:ascii="Cambria" w:hAnsi="Cambria"/>
          <w:sz w:val="22"/>
          <w:szCs w:val="22"/>
        </w:rPr>
      </w:pPr>
    </w:p>
    <w:p w14:paraId="02229054" w14:textId="77DD2D59" w:rsidR="00B00E1F" w:rsidRPr="00C17031" w:rsidRDefault="00E16D12" w:rsidP="00E16D12">
      <w:pPr>
        <w:spacing w:after="200" w:line="276" w:lineRule="auto"/>
        <w:jc w:val="both"/>
        <w:rPr>
          <w:rFonts w:ascii="Cambria" w:hAnsi="Cambria"/>
          <w:sz w:val="22"/>
          <w:szCs w:val="22"/>
        </w:rPr>
      </w:pPr>
      <w:r>
        <w:rPr>
          <w:rFonts w:ascii="Cambria" w:hAnsi="Cambria"/>
          <w:sz w:val="22"/>
        </w:rPr>
        <w:t xml:space="preserve">En particulier, en ce qui concerne les prêts accordés au cours des années précédentes, stipulés par Take Off </w:t>
      </w:r>
      <w:proofErr w:type="spellStart"/>
      <w:r>
        <w:rPr>
          <w:rFonts w:ascii="Cambria" w:hAnsi="Cambria"/>
          <w:sz w:val="22"/>
        </w:rPr>
        <w:t>S.p.a</w:t>
      </w:r>
      <w:proofErr w:type="spellEnd"/>
      <w:r>
        <w:rPr>
          <w:rFonts w:ascii="Cambria" w:hAnsi="Cambria"/>
          <w:sz w:val="22"/>
        </w:rPr>
        <w:t>., les éléments suivants sont représentés :</w:t>
      </w:r>
    </w:p>
    <w:p w14:paraId="019F64EF" w14:textId="77777777" w:rsidR="00377582" w:rsidRPr="00C17031" w:rsidRDefault="00377582" w:rsidP="00F35AA7">
      <w:pPr>
        <w:pStyle w:val="Paragrafoelenco"/>
        <w:numPr>
          <w:ilvl w:val="0"/>
          <w:numId w:val="9"/>
        </w:numPr>
        <w:spacing w:after="200" w:line="276" w:lineRule="auto"/>
        <w:jc w:val="both"/>
        <w:rPr>
          <w:rFonts w:ascii="Cambria" w:hAnsi="Cambria"/>
          <w:sz w:val="22"/>
          <w:szCs w:val="22"/>
        </w:rPr>
      </w:pPr>
      <w:r>
        <w:rPr>
          <w:rFonts w:ascii="Cambria" w:hAnsi="Cambria"/>
          <w:sz w:val="22"/>
        </w:rPr>
        <w:t xml:space="preserve">Prêt non garanti accordé par BCC </w:t>
      </w:r>
      <w:proofErr w:type="spellStart"/>
      <w:r>
        <w:rPr>
          <w:rFonts w:ascii="Cambria" w:hAnsi="Cambria"/>
          <w:sz w:val="22"/>
        </w:rPr>
        <w:t>Alberobello</w:t>
      </w:r>
      <w:proofErr w:type="spellEnd"/>
      <w:r>
        <w:rPr>
          <w:rFonts w:ascii="Cambria" w:hAnsi="Cambria"/>
          <w:sz w:val="22"/>
        </w:rPr>
        <w:t xml:space="preserve"> pour une valeur nominale de 500 000 euros, avec une durée de 5 ans, échéance 31/08/2022, avec des versements mensuels, taux d'intérêt Euribor 3 mois + spread ;</w:t>
      </w:r>
    </w:p>
    <w:p w14:paraId="5AEFC75D" w14:textId="3D5CA976" w:rsidR="00377582" w:rsidRDefault="00377582" w:rsidP="00377582">
      <w:pPr>
        <w:pStyle w:val="Paragrafoelenco"/>
        <w:numPr>
          <w:ilvl w:val="0"/>
          <w:numId w:val="9"/>
        </w:numPr>
        <w:spacing w:after="200" w:line="276" w:lineRule="auto"/>
        <w:jc w:val="both"/>
        <w:rPr>
          <w:rFonts w:ascii="Cambria" w:hAnsi="Cambria"/>
          <w:sz w:val="22"/>
          <w:szCs w:val="22"/>
        </w:rPr>
      </w:pPr>
      <w:r>
        <w:rPr>
          <w:rFonts w:ascii="Cambria" w:hAnsi="Cambria"/>
          <w:sz w:val="22"/>
        </w:rPr>
        <w:t xml:space="preserve">Prêt accordé par la </w:t>
      </w:r>
      <w:proofErr w:type="spellStart"/>
      <w:r>
        <w:rPr>
          <w:rFonts w:ascii="Cambria" w:hAnsi="Cambria"/>
          <w:sz w:val="22"/>
        </w:rPr>
        <w:t>Banca</w:t>
      </w:r>
      <w:proofErr w:type="spellEnd"/>
      <w:r>
        <w:rPr>
          <w:rFonts w:ascii="Cambria" w:hAnsi="Cambria"/>
          <w:sz w:val="22"/>
        </w:rPr>
        <w:t xml:space="preserve"> </w:t>
      </w:r>
      <w:proofErr w:type="spellStart"/>
      <w:r>
        <w:rPr>
          <w:rFonts w:ascii="Cambria" w:hAnsi="Cambria"/>
          <w:sz w:val="22"/>
        </w:rPr>
        <w:t>Popolare</w:t>
      </w:r>
      <w:proofErr w:type="spellEnd"/>
      <w:r>
        <w:rPr>
          <w:rFonts w:ascii="Cambria" w:hAnsi="Cambria"/>
          <w:sz w:val="22"/>
        </w:rPr>
        <w:t xml:space="preserve"> di Bari pour un montant nominal de 1 300 000 euros, avec une durée de 5 ans, échéance 31/03/2023, avec des versements mensuels, taux d'intérêt Euribor 6 mois + spread, garanti par le Fonds de garantie pour les PME conformément à la loi n° 662/96 ;</w:t>
      </w:r>
    </w:p>
    <w:p w14:paraId="1F7B51E4" w14:textId="0C39383E" w:rsidR="00A61CFE" w:rsidRPr="00C17031" w:rsidRDefault="00A61CFE" w:rsidP="00A61CFE">
      <w:pPr>
        <w:pStyle w:val="Paragrafoelenco"/>
        <w:numPr>
          <w:ilvl w:val="0"/>
          <w:numId w:val="9"/>
        </w:numPr>
        <w:spacing w:after="200" w:line="276" w:lineRule="auto"/>
        <w:jc w:val="both"/>
        <w:rPr>
          <w:rFonts w:ascii="Cambria" w:hAnsi="Cambria"/>
          <w:sz w:val="22"/>
          <w:szCs w:val="22"/>
        </w:rPr>
      </w:pPr>
      <w:r>
        <w:rPr>
          <w:rFonts w:ascii="Cambria" w:hAnsi="Cambria"/>
          <w:sz w:val="22"/>
        </w:rPr>
        <w:t xml:space="preserve">Prêt non garanti accordé par </w:t>
      </w:r>
      <w:proofErr w:type="spellStart"/>
      <w:r>
        <w:rPr>
          <w:rFonts w:ascii="Cambria" w:hAnsi="Cambria"/>
          <w:sz w:val="22"/>
        </w:rPr>
        <w:t>Intesa</w:t>
      </w:r>
      <w:proofErr w:type="spellEnd"/>
      <w:r>
        <w:rPr>
          <w:rFonts w:ascii="Cambria" w:hAnsi="Cambria"/>
          <w:sz w:val="22"/>
        </w:rPr>
        <w:t xml:space="preserve"> San Paolo pour un montant nominal de 500 000 euros, avec une durée de 1,5 ans, échéance 06/03/2021, avec des versements mensuels, taux d'intérêt fixe et réglé en 2021 ;</w:t>
      </w:r>
    </w:p>
    <w:p w14:paraId="5901647B" w14:textId="77777777" w:rsidR="00A61CFE" w:rsidRPr="00C17031" w:rsidRDefault="00A61CFE" w:rsidP="00A61CFE">
      <w:pPr>
        <w:pStyle w:val="Paragrafoelenco"/>
        <w:numPr>
          <w:ilvl w:val="0"/>
          <w:numId w:val="9"/>
        </w:numPr>
        <w:spacing w:after="200" w:line="276" w:lineRule="auto"/>
        <w:jc w:val="both"/>
        <w:rPr>
          <w:rFonts w:ascii="Cambria" w:hAnsi="Cambria"/>
          <w:sz w:val="22"/>
          <w:szCs w:val="22"/>
        </w:rPr>
      </w:pPr>
      <w:r>
        <w:rPr>
          <w:rFonts w:ascii="Cambria" w:hAnsi="Cambria"/>
          <w:sz w:val="22"/>
        </w:rPr>
        <w:t xml:space="preserve">Prêt accordé par la BCC </w:t>
      </w:r>
      <w:proofErr w:type="spellStart"/>
      <w:r>
        <w:rPr>
          <w:rFonts w:ascii="Cambria" w:hAnsi="Cambria"/>
          <w:sz w:val="22"/>
        </w:rPr>
        <w:t>Alberobello</w:t>
      </w:r>
      <w:proofErr w:type="spellEnd"/>
      <w:r>
        <w:rPr>
          <w:rFonts w:ascii="Cambria" w:hAnsi="Cambria"/>
          <w:sz w:val="22"/>
        </w:rPr>
        <w:t xml:space="preserve"> et </w:t>
      </w:r>
      <w:proofErr w:type="spellStart"/>
      <w:r>
        <w:rPr>
          <w:rFonts w:ascii="Cambria" w:hAnsi="Cambria"/>
          <w:sz w:val="22"/>
        </w:rPr>
        <w:t>Sammichele</w:t>
      </w:r>
      <w:proofErr w:type="spellEnd"/>
      <w:r>
        <w:rPr>
          <w:rFonts w:ascii="Cambria" w:hAnsi="Cambria"/>
          <w:sz w:val="22"/>
        </w:rPr>
        <w:t xml:space="preserve"> di Bari pour un montant nominal de 800 000 euros, avec une durée de 6 ans, échéance 30/04/2026 avec des versements mensuels, taux d'intérêt Euribor 3 mois + spread, garanti par le Fonds de garantie pour les PME conformément à la loi n° 662/96 ;</w:t>
      </w:r>
    </w:p>
    <w:p w14:paraId="2578958E" w14:textId="77777777" w:rsidR="00A61CFE" w:rsidRPr="00C17031" w:rsidRDefault="00A61CFE" w:rsidP="00A61CFE">
      <w:pPr>
        <w:pStyle w:val="Paragrafoelenco"/>
        <w:numPr>
          <w:ilvl w:val="0"/>
          <w:numId w:val="9"/>
        </w:numPr>
        <w:spacing w:after="200" w:line="276" w:lineRule="auto"/>
        <w:jc w:val="both"/>
        <w:rPr>
          <w:rFonts w:ascii="Cambria" w:hAnsi="Cambria"/>
          <w:sz w:val="22"/>
          <w:szCs w:val="22"/>
        </w:rPr>
      </w:pPr>
      <w:r>
        <w:rPr>
          <w:rFonts w:ascii="Cambria" w:hAnsi="Cambria"/>
          <w:sz w:val="22"/>
        </w:rPr>
        <w:t xml:space="preserve">Prêt accordé par </w:t>
      </w:r>
      <w:proofErr w:type="spellStart"/>
      <w:r>
        <w:rPr>
          <w:rFonts w:ascii="Cambria" w:hAnsi="Cambria"/>
          <w:sz w:val="22"/>
        </w:rPr>
        <w:t>Intesa</w:t>
      </w:r>
      <w:proofErr w:type="spellEnd"/>
      <w:r>
        <w:rPr>
          <w:rFonts w:ascii="Cambria" w:hAnsi="Cambria"/>
          <w:sz w:val="22"/>
        </w:rPr>
        <w:t xml:space="preserve"> San Paolo pour un montant nominal de 1 000 000 d'euros, avec une durée de 3 ans avec pré-amortissement, échéance 26/05/2023 avec des versements mensuels, taux d'intérêt fixe, garanti par le Fonds de garantie pour les PME conformément au décret-loi n° 23 du 8.04.2020 ;</w:t>
      </w:r>
    </w:p>
    <w:p w14:paraId="1E0E3E62" w14:textId="77777777" w:rsidR="00A61CFE" w:rsidRPr="00C17031" w:rsidRDefault="00A61CFE" w:rsidP="00A61CFE">
      <w:pPr>
        <w:pStyle w:val="Paragrafoelenco"/>
        <w:numPr>
          <w:ilvl w:val="0"/>
          <w:numId w:val="9"/>
        </w:numPr>
        <w:spacing w:after="200" w:line="276" w:lineRule="auto"/>
        <w:jc w:val="both"/>
        <w:rPr>
          <w:rFonts w:ascii="Cambria" w:hAnsi="Cambria"/>
          <w:sz w:val="22"/>
          <w:szCs w:val="22"/>
        </w:rPr>
      </w:pPr>
      <w:r>
        <w:rPr>
          <w:rFonts w:ascii="Cambria" w:hAnsi="Cambria"/>
          <w:sz w:val="22"/>
        </w:rPr>
        <w:t xml:space="preserve">Prêt accordé par la </w:t>
      </w:r>
      <w:proofErr w:type="spellStart"/>
      <w:r>
        <w:rPr>
          <w:rFonts w:ascii="Cambria" w:hAnsi="Cambria"/>
          <w:sz w:val="22"/>
        </w:rPr>
        <w:t>Banca</w:t>
      </w:r>
      <w:proofErr w:type="spellEnd"/>
      <w:r>
        <w:rPr>
          <w:rFonts w:ascii="Cambria" w:hAnsi="Cambria"/>
          <w:sz w:val="22"/>
        </w:rPr>
        <w:t xml:space="preserve"> </w:t>
      </w:r>
      <w:proofErr w:type="spellStart"/>
      <w:r>
        <w:rPr>
          <w:rFonts w:ascii="Cambria" w:hAnsi="Cambria"/>
          <w:sz w:val="22"/>
        </w:rPr>
        <w:t>Popolare</w:t>
      </w:r>
      <w:proofErr w:type="spellEnd"/>
      <w:r>
        <w:rPr>
          <w:rFonts w:ascii="Cambria" w:hAnsi="Cambria"/>
          <w:sz w:val="22"/>
        </w:rPr>
        <w:t xml:space="preserve"> di Milano pour une valeur nominale de 850 000 euros, avec une durée de 6 ans, échéance 06/03/2023, avec des versements trimestriels, taux d'intérêt fixe, garanti par le Fonds de garantie pour les PME conformément au décret-loi n° 23 du 8.04.2020 ;</w:t>
      </w:r>
    </w:p>
    <w:p w14:paraId="237BE841" w14:textId="77777777" w:rsidR="00A61CFE" w:rsidRPr="00C17031" w:rsidRDefault="00A61CFE" w:rsidP="00A61CFE">
      <w:pPr>
        <w:pStyle w:val="Paragrafoelenco"/>
        <w:numPr>
          <w:ilvl w:val="0"/>
          <w:numId w:val="9"/>
        </w:numPr>
        <w:spacing w:after="200" w:line="276" w:lineRule="auto"/>
        <w:jc w:val="both"/>
        <w:rPr>
          <w:rFonts w:ascii="Cambria" w:hAnsi="Cambria"/>
          <w:sz w:val="22"/>
          <w:szCs w:val="22"/>
        </w:rPr>
      </w:pPr>
      <w:r>
        <w:rPr>
          <w:rFonts w:ascii="Cambria" w:hAnsi="Cambria"/>
          <w:sz w:val="22"/>
        </w:rPr>
        <w:t xml:space="preserve">Prêt non garanti accordé par la </w:t>
      </w:r>
      <w:proofErr w:type="spellStart"/>
      <w:r>
        <w:rPr>
          <w:rFonts w:ascii="Cambria" w:hAnsi="Cambria"/>
          <w:sz w:val="22"/>
        </w:rPr>
        <w:t>Banca</w:t>
      </w:r>
      <w:proofErr w:type="spellEnd"/>
      <w:r>
        <w:rPr>
          <w:rFonts w:ascii="Cambria" w:hAnsi="Cambria"/>
          <w:sz w:val="22"/>
        </w:rPr>
        <w:t xml:space="preserve"> </w:t>
      </w:r>
      <w:proofErr w:type="spellStart"/>
      <w:r>
        <w:rPr>
          <w:rFonts w:ascii="Cambria" w:hAnsi="Cambria"/>
          <w:sz w:val="22"/>
        </w:rPr>
        <w:t>Popolare</w:t>
      </w:r>
      <w:proofErr w:type="spellEnd"/>
      <w:r>
        <w:rPr>
          <w:rFonts w:ascii="Cambria" w:hAnsi="Cambria"/>
          <w:sz w:val="22"/>
        </w:rPr>
        <w:t xml:space="preserve"> di Bari pour un montant nominal de 800 000 euros, d'une durée de 5 ans avec un an de </w:t>
      </w:r>
      <w:proofErr w:type="spellStart"/>
      <w:r>
        <w:rPr>
          <w:rFonts w:ascii="Cambria" w:hAnsi="Cambria"/>
          <w:sz w:val="22"/>
        </w:rPr>
        <w:t>préamortissement</w:t>
      </w:r>
      <w:proofErr w:type="spellEnd"/>
      <w:r>
        <w:rPr>
          <w:rFonts w:ascii="Cambria" w:hAnsi="Cambria"/>
          <w:sz w:val="22"/>
        </w:rPr>
        <w:t>, échéance 31/10/2026, avec des versements mensuels, taux d'intérêt fixe, garanti par le Fonds de garantie pour les PME conformément à la loi n° 662/96 ;</w:t>
      </w:r>
    </w:p>
    <w:p w14:paraId="26DDF0B5" w14:textId="4B3DB109" w:rsidR="00A61CFE" w:rsidRDefault="00A61CFE" w:rsidP="00A61CFE">
      <w:pPr>
        <w:pStyle w:val="Paragrafoelenco"/>
        <w:numPr>
          <w:ilvl w:val="0"/>
          <w:numId w:val="9"/>
        </w:numPr>
        <w:spacing w:after="200" w:line="276" w:lineRule="auto"/>
        <w:jc w:val="both"/>
        <w:rPr>
          <w:rFonts w:ascii="Cambria" w:hAnsi="Cambria"/>
          <w:sz w:val="22"/>
          <w:szCs w:val="22"/>
        </w:rPr>
      </w:pPr>
      <w:r>
        <w:rPr>
          <w:rFonts w:ascii="Cambria" w:hAnsi="Cambria"/>
          <w:sz w:val="22"/>
        </w:rPr>
        <w:t xml:space="preserve">Prêt non garanti accordé par </w:t>
      </w:r>
      <w:proofErr w:type="spellStart"/>
      <w:r>
        <w:rPr>
          <w:rFonts w:ascii="Cambria" w:hAnsi="Cambria"/>
          <w:sz w:val="22"/>
        </w:rPr>
        <w:t>Banca</w:t>
      </w:r>
      <w:proofErr w:type="spellEnd"/>
      <w:r>
        <w:rPr>
          <w:rFonts w:ascii="Cambria" w:hAnsi="Cambria"/>
          <w:sz w:val="22"/>
        </w:rPr>
        <w:t xml:space="preserve"> </w:t>
      </w:r>
      <w:proofErr w:type="spellStart"/>
      <w:r>
        <w:rPr>
          <w:rFonts w:ascii="Cambria" w:hAnsi="Cambria"/>
          <w:sz w:val="22"/>
        </w:rPr>
        <w:t>del</w:t>
      </w:r>
      <w:proofErr w:type="spellEnd"/>
      <w:r>
        <w:rPr>
          <w:rFonts w:ascii="Cambria" w:hAnsi="Cambria"/>
          <w:sz w:val="22"/>
        </w:rPr>
        <w:t xml:space="preserve"> </w:t>
      </w:r>
      <w:proofErr w:type="spellStart"/>
      <w:r>
        <w:rPr>
          <w:rFonts w:ascii="Cambria" w:hAnsi="Cambria"/>
          <w:sz w:val="22"/>
        </w:rPr>
        <w:t>Fucino</w:t>
      </w:r>
      <w:proofErr w:type="spellEnd"/>
      <w:r>
        <w:rPr>
          <w:rFonts w:ascii="Cambria" w:hAnsi="Cambria"/>
          <w:sz w:val="22"/>
        </w:rPr>
        <w:t xml:space="preserve"> pour un montant nominal de 1 000 000 euros, avec une durée de 6 ans, échéance 28/10/2026, avec des versements mensuels, taux d'intérêt fixe, garanti par le Fonds de garantie pour les PME conformément à la loi n° 662/96 ;</w:t>
      </w:r>
    </w:p>
    <w:p w14:paraId="1F7CEF39" w14:textId="7BCE4F52" w:rsidR="00B00E1F" w:rsidRDefault="00B00E1F" w:rsidP="00B00E1F">
      <w:pPr>
        <w:spacing w:after="200" w:line="276" w:lineRule="auto"/>
        <w:jc w:val="both"/>
        <w:rPr>
          <w:rFonts w:ascii="Cambria" w:hAnsi="Cambria"/>
          <w:sz w:val="22"/>
          <w:szCs w:val="22"/>
        </w:rPr>
      </w:pPr>
      <w:r>
        <w:rPr>
          <w:rFonts w:ascii="Cambria" w:hAnsi="Cambria"/>
          <w:sz w:val="22"/>
        </w:rPr>
        <w:t>En référence aux prêts accordés à Take Off S.p.A. au cours de l'exercice :</w:t>
      </w:r>
    </w:p>
    <w:p w14:paraId="1CD9FEC5" w14:textId="77777777" w:rsidR="00082C98" w:rsidRPr="00082C98" w:rsidRDefault="003B10DD" w:rsidP="00AB3209">
      <w:pPr>
        <w:pStyle w:val="Paragrafoelenco"/>
        <w:numPr>
          <w:ilvl w:val="0"/>
          <w:numId w:val="9"/>
        </w:numPr>
        <w:spacing w:after="200" w:line="276" w:lineRule="auto"/>
        <w:jc w:val="both"/>
        <w:rPr>
          <w:rFonts w:ascii="Cambria" w:hAnsi="Cambria"/>
          <w:sz w:val="22"/>
          <w:szCs w:val="22"/>
        </w:rPr>
      </w:pPr>
      <w:r>
        <w:rPr>
          <w:rFonts w:ascii="Cambria" w:hAnsi="Cambria"/>
          <w:sz w:val="22"/>
        </w:rPr>
        <w:t xml:space="preserve">Prêt non garanti accordé par </w:t>
      </w:r>
      <w:proofErr w:type="spellStart"/>
      <w:r>
        <w:rPr>
          <w:rFonts w:ascii="Cambria" w:hAnsi="Cambria"/>
          <w:sz w:val="22"/>
        </w:rPr>
        <w:t>Banca</w:t>
      </w:r>
      <w:proofErr w:type="spellEnd"/>
      <w:r>
        <w:rPr>
          <w:rFonts w:ascii="Cambria" w:hAnsi="Cambria"/>
          <w:sz w:val="22"/>
        </w:rPr>
        <w:t xml:space="preserve"> </w:t>
      </w:r>
      <w:proofErr w:type="spellStart"/>
      <w:r>
        <w:rPr>
          <w:rFonts w:ascii="Cambria" w:hAnsi="Cambria"/>
          <w:sz w:val="22"/>
        </w:rPr>
        <w:t>del</w:t>
      </w:r>
      <w:proofErr w:type="spellEnd"/>
      <w:r>
        <w:rPr>
          <w:rFonts w:ascii="Cambria" w:hAnsi="Cambria"/>
          <w:sz w:val="22"/>
        </w:rPr>
        <w:t xml:space="preserve"> </w:t>
      </w:r>
      <w:proofErr w:type="spellStart"/>
      <w:r>
        <w:rPr>
          <w:rFonts w:ascii="Cambria" w:hAnsi="Cambria"/>
          <w:sz w:val="22"/>
        </w:rPr>
        <w:t>Fucino</w:t>
      </w:r>
      <w:proofErr w:type="spellEnd"/>
      <w:r>
        <w:rPr>
          <w:rFonts w:ascii="Cambria" w:hAnsi="Cambria"/>
          <w:sz w:val="22"/>
        </w:rPr>
        <w:t xml:space="preserve"> pour une valeur nominale de 750 000 euros, avec une durée de 4 ans, échéance 26/04/2024, avec des versements mensuels, taux d'intérêt fixe.</w:t>
      </w:r>
    </w:p>
    <w:p w14:paraId="2CB0D692" w14:textId="1AB98857" w:rsidR="0074355D" w:rsidRPr="00082C98" w:rsidRDefault="00B374FA" w:rsidP="00082C98">
      <w:pPr>
        <w:spacing w:after="200" w:line="276" w:lineRule="auto"/>
        <w:jc w:val="both"/>
        <w:rPr>
          <w:rFonts w:ascii="Cambria" w:hAnsi="Cambria"/>
          <w:sz w:val="22"/>
          <w:szCs w:val="22"/>
        </w:rPr>
      </w:pPr>
      <w:r>
        <w:rPr>
          <w:rFonts w:ascii="Cambria" w:hAnsi="Cambria"/>
          <w:sz w:val="22"/>
        </w:rPr>
        <w:lastRenderedPageBreak/>
        <w:t>Il convient de noter qu'aucun de ces prêts n'est assorti de clauses restrictives. Pour la variation de ces passifs financiers provenant d'actifs financiers, voir la note 39 « Instruments financiers - juste valeur et gestion des risques ».</w:t>
      </w:r>
    </w:p>
    <w:p w14:paraId="3DE812AF" w14:textId="77777777" w:rsidR="003F16A4" w:rsidRPr="00F31608" w:rsidRDefault="003F16A4" w:rsidP="00F31608">
      <w:pPr>
        <w:spacing w:after="200" w:line="276" w:lineRule="auto"/>
        <w:jc w:val="both"/>
        <w:rPr>
          <w:rFonts w:ascii="Cambria" w:hAnsi="Cambria"/>
          <w:sz w:val="22"/>
          <w:szCs w:val="22"/>
        </w:rPr>
      </w:pPr>
    </w:p>
    <w:p w14:paraId="17245EA8" w14:textId="77777777" w:rsidR="00E16D12" w:rsidRPr="000C5572" w:rsidRDefault="00E16D12" w:rsidP="00E16D12">
      <w:pPr>
        <w:pStyle w:val="Titolo2"/>
        <w:numPr>
          <w:ilvl w:val="0"/>
          <w:numId w:val="6"/>
        </w:numPr>
        <w:spacing w:line="240" w:lineRule="auto"/>
        <w:ind w:left="357" w:right="0" w:hanging="357"/>
        <w:jc w:val="left"/>
        <w:rPr>
          <w:i w:val="0"/>
        </w:rPr>
      </w:pPr>
      <w:bookmarkStart w:id="144" w:name="_Toc112768676"/>
      <w:r>
        <w:rPr>
          <w:i w:val="0"/>
        </w:rPr>
        <w:t>Autres passifs financiers à long terme</w:t>
      </w:r>
      <w:bookmarkEnd w:id="144"/>
    </w:p>
    <w:p w14:paraId="69500EAC" w14:textId="77777777" w:rsidR="00E16D12" w:rsidRPr="00C17031" w:rsidRDefault="00E16D12" w:rsidP="00E16D12">
      <w:pPr>
        <w:rPr>
          <w:rFonts w:ascii="Cambria" w:hAnsi="Cambria"/>
        </w:rPr>
      </w:pPr>
    </w:p>
    <w:p w14:paraId="3F4FCCCD" w14:textId="4B151763" w:rsidR="00E16D12" w:rsidRDefault="00E16D12" w:rsidP="00E16D12">
      <w:pPr>
        <w:spacing w:after="200" w:line="276" w:lineRule="auto"/>
        <w:jc w:val="both"/>
        <w:rPr>
          <w:rFonts w:ascii="Cambria" w:hAnsi="Cambria"/>
          <w:sz w:val="22"/>
          <w:szCs w:val="22"/>
        </w:rPr>
      </w:pPr>
      <w:r>
        <w:rPr>
          <w:rFonts w:ascii="Cambria" w:hAnsi="Cambria"/>
          <w:sz w:val="22"/>
        </w:rPr>
        <w:t>La composition du poste « Autres passifs financiers à long terme » au 30 juin 2021, par rapport aux mêmes valeurs au 31 décembre 2020, est présentée ci-dessous :</w:t>
      </w:r>
    </w:p>
    <w:tbl>
      <w:tblPr>
        <w:tblW w:w="5000" w:type="pct"/>
        <w:tblCellMar>
          <w:left w:w="70" w:type="dxa"/>
          <w:right w:w="70" w:type="dxa"/>
        </w:tblCellMar>
        <w:tblLook w:val="04A0" w:firstRow="1" w:lastRow="0" w:firstColumn="1" w:lastColumn="0" w:noHBand="0" w:noVBand="1"/>
      </w:tblPr>
      <w:tblGrid>
        <w:gridCol w:w="4388"/>
        <w:gridCol w:w="1750"/>
        <w:gridCol w:w="1750"/>
        <w:gridCol w:w="1750"/>
      </w:tblGrid>
      <w:tr w:rsidR="00760C10" w14:paraId="09BD37BE" w14:textId="77777777" w:rsidTr="00760C10">
        <w:trPr>
          <w:trHeight w:val="495"/>
        </w:trPr>
        <w:tc>
          <w:tcPr>
            <w:tcW w:w="2276" w:type="pct"/>
            <w:tcBorders>
              <w:top w:val="single" w:sz="4" w:space="0" w:color="0070C0"/>
              <w:left w:val="nil"/>
              <w:bottom w:val="single" w:sz="8" w:space="0" w:color="0070C0"/>
              <w:right w:val="nil"/>
            </w:tcBorders>
            <w:shd w:val="clear" w:color="auto" w:fill="auto"/>
            <w:noWrap/>
            <w:vAlign w:val="bottom"/>
            <w:hideMark/>
          </w:tcPr>
          <w:p w14:paraId="60C04FF1" w14:textId="77777777" w:rsidR="00760C10" w:rsidRDefault="00760C10">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908" w:type="pct"/>
            <w:tcBorders>
              <w:top w:val="single" w:sz="4" w:space="0" w:color="0070C0"/>
              <w:left w:val="nil"/>
              <w:bottom w:val="single" w:sz="8" w:space="0" w:color="0070C0"/>
              <w:right w:val="nil"/>
            </w:tcBorders>
            <w:shd w:val="clear" w:color="auto" w:fill="auto"/>
            <w:vAlign w:val="bottom"/>
            <w:hideMark/>
          </w:tcPr>
          <w:p w14:paraId="4CC7C510" w14:textId="77777777" w:rsidR="00760C10" w:rsidRDefault="00760C10">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908" w:type="pct"/>
            <w:tcBorders>
              <w:top w:val="single" w:sz="4" w:space="0" w:color="0070C0"/>
              <w:left w:val="nil"/>
              <w:bottom w:val="single" w:sz="8" w:space="0" w:color="0070C0"/>
              <w:right w:val="nil"/>
            </w:tcBorders>
            <w:shd w:val="clear" w:color="auto" w:fill="auto"/>
            <w:vAlign w:val="bottom"/>
            <w:hideMark/>
          </w:tcPr>
          <w:p w14:paraId="26DFE1F6" w14:textId="77777777" w:rsidR="00760C10" w:rsidRDefault="00760C10">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c>
          <w:tcPr>
            <w:tcW w:w="908" w:type="pct"/>
            <w:tcBorders>
              <w:top w:val="single" w:sz="4" w:space="0" w:color="0070C0"/>
              <w:left w:val="nil"/>
              <w:bottom w:val="single" w:sz="8" w:space="0" w:color="0070C0"/>
              <w:right w:val="nil"/>
            </w:tcBorders>
            <w:shd w:val="clear" w:color="auto" w:fill="auto"/>
            <w:vAlign w:val="bottom"/>
            <w:hideMark/>
          </w:tcPr>
          <w:p w14:paraId="75EC6A76" w14:textId="77777777" w:rsidR="00760C10" w:rsidRDefault="00760C10">
            <w:pPr>
              <w:jc w:val="center"/>
              <w:rPr>
                <w:rFonts w:ascii="Cambria" w:hAnsi="Cambria" w:cs="Arial"/>
                <w:b/>
                <w:bCs/>
                <w:color w:val="000000"/>
                <w:sz w:val="18"/>
                <w:szCs w:val="18"/>
              </w:rPr>
            </w:pPr>
            <w:r>
              <w:rPr>
                <w:rFonts w:ascii="Cambria" w:hAnsi="Cambria"/>
                <w:b/>
                <w:color w:val="000000"/>
                <w:sz w:val="18"/>
              </w:rPr>
              <w:t>Variation</w:t>
            </w:r>
          </w:p>
        </w:tc>
      </w:tr>
      <w:tr w:rsidR="009D2D3B" w14:paraId="6957BD36" w14:textId="77777777" w:rsidTr="00760C10">
        <w:trPr>
          <w:trHeight w:val="240"/>
        </w:trPr>
        <w:tc>
          <w:tcPr>
            <w:tcW w:w="2276" w:type="pct"/>
            <w:tcBorders>
              <w:top w:val="nil"/>
              <w:left w:val="nil"/>
              <w:bottom w:val="nil"/>
              <w:right w:val="nil"/>
            </w:tcBorders>
            <w:shd w:val="clear" w:color="auto" w:fill="auto"/>
            <w:noWrap/>
            <w:vAlign w:val="bottom"/>
            <w:hideMark/>
          </w:tcPr>
          <w:p w14:paraId="3B1025B4" w14:textId="77777777" w:rsidR="009D2D3B" w:rsidRDefault="009D2D3B" w:rsidP="009D2D3B">
            <w:pPr>
              <w:rPr>
                <w:rFonts w:ascii="Cambria" w:hAnsi="Cambria" w:cs="Arial"/>
                <w:color w:val="000000"/>
                <w:sz w:val="18"/>
                <w:szCs w:val="18"/>
              </w:rPr>
            </w:pPr>
            <w:r>
              <w:rPr>
                <w:rFonts w:ascii="Cambria" w:hAnsi="Cambria"/>
                <w:color w:val="000000"/>
                <w:sz w:val="18"/>
              </w:rPr>
              <w:t>Dettes pour Leasing - portion à long terme</w:t>
            </w:r>
          </w:p>
        </w:tc>
        <w:tc>
          <w:tcPr>
            <w:tcW w:w="908" w:type="pct"/>
            <w:tcBorders>
              <w:top w:val="nil"/>
              <w:left w:val="nil"/>
              <w:bottom w:val="nil"/>
              <w:right w:val="nil"/>
            </w:tcBorders>
            <w:shd w:val="clear" w:color="auto" w:fill="auto"/>
            <w:noWrap/>
            <w:vAlign w:val="bottom"/>
            <w:hideMark/>
          </w:tcPr>
          <w:p w14:paraId="75832E46" w14:textId="4851F1E3" w:rsidR="009D2D3B" w:rsidRDefault="009D2D3B" w:rsidP="009D2D3B">
            <w:pPr>
              <w:jc w:val="right"/>
              <w:rPr>
                <w:rFonts w:ascii="Cambria" w:hAnsi="Cambria" w:cs="Arial"/>
                <w:color w:val="000000"/>
                <w:sz w:val="18"/>
                <w:szCs w:val="18"/>
              </w:rPr>
            </w:pPr>
            <w:r>
              <w:rPr>
                <w:rFonts w:ascii="Cambria" w:hAnsi="Cambria"/>
                <w:color w:val="000000"/>
                <w:sz w:val="18"/>
              </w:rPr>
              <w:t>4 576 623</w:t>
            </w:r>
          </w:p>
        </w:tc>
        <w:tc>
          <w:tcPr>
            <w:tcW w:w="908" w:type="pct"/>
            <w:tcBorders>
              <w:top w:val="nil"/>
              <w:left w:val="nil"/>
              <w:bottom w:val="nil"/>
              <w:right w:val="nil"/>
            </w:tcBorders>
            <w:shd w:val="clear" w:color="auto" w:fill="auto"/>
            <w:noWrap/>
            <w:vAlign w:val="bottom"/>
            <w:hideMark/>
          </w:tcPr>
          <w:p w14:paraId="449322FF" w14:textId="080B4D5B" w:rsidR="009D2D3B" w:rsidRDefault="009D2D3B" w:rsidP="009D2D3B">
            <w:pPr>
              <w:jc w:val="right"/>
              <w:rPr>
                <w:rFonts w:ascii="Cambria" w:hAnsi="Cambria" w:cs="Arial"/>
                <w:color w:val="000000"/>
                <w:sz w:val="18"/>
                <w:szCs w:val="18"/>
              </w:rPr>
            </w:pPr>
            <w:r>
              <w:rPr>
                <w:rFonts w:ascii="Cambria" w:hAnsi="Cambria"/>
                <w:color w:val="000000"/>
                <w:sz w:val="18"/>
              </w:rPr>
              <w:t>6 584 043</w:t>
            </w:r>
          </w:p>
        </w:tc>
        <w:tc>
          <w:tcPr>
            <w:tcW w:w="908" w:type="pct"/>
            <w:tcBorders>
              <w:top w:val="nil"/>
              <w:left w:val="nil"/>
              <w:bottom w:val="nil"/>
              <w:right w:val="nil"/>
            </w:tcBorders>
            <w:shd w:val="clear" w:color="auto" w:fill="auto"/>
            <w:noWrap/>
            <w:vAlign w:val="bottom"/>
            <w:hideMark/>
          </w:tcPr>
          <w:p w14:paraId="5BB27C4F" w14:textId="763AE2F1" w:rsidR="009D2D3B" w:rsidRDefault="009D2D3B" w:rsidP="009D2D3B">
            <w:pPr>
              <w:jc w:val="right"/>
              <w:rPr>
                <w:rFonts w:ascii="Cambria" w:hAnsi="Cambria" w:cs="Arial"/>
                <w:color w:val="000000"/>
                <w:sz w:val="18"/>
                <w:szCs w:val="18"/>
              </w:rPr>
            </w:pPr>
            <w:r>
              <w:rPr>
                <w:rFonts w:ascii="Cambria" w:hAnsi="Cambria"/>
                <w:color w:val="000000"/>
                <w:sz w:val="18"/>
              </w:rPr>
              <w:t>(2 007 420)</w:t>
            </w:r>
          </w:p>
        </w:tc>
      </w:tr>
      <w:tr w:rsidR="009D2D3B" w14:paraId="0D6F32ED" w14:textId="77777777" w:rsidTr="00760C10">
        <w:trPr>
          <w:trHeight w:val="255"/>
        </w:trPr>
        <w:tc>
          <w:tcPr>
            <w:tcW w:w="2276" w:type="pct"/>
            <w:tcBorders>
              <w:top w:val="nil"/>
              <w:left w:val="nil"/>
              <w:bottom w:val="nil"/>
              <w:right w:val="nil"/>
            </w:tcBorders>
            <w:shd w:val="clear" w:color="auto" w:fill="auto"/>
            <w:noWrap/>
            <w:vAlign w:val="bottom"/>
            <w:hideMark/>
          </w:tcPr>
          <w:p w14:paraId="6602AAA4" w14:textId="77777777" w:rsidR="009D2D3B" w:rsidRDefault="009D2D3B" w:rsidP="009D2D3B">
            <w:pPr>
              <w:rPr>
                <w:rFonts w:ascii="Cambria" w:hAnsi="Cambria" w:cs="Arial"/>
                <w:b/>
                <w:bCs/>
                <w:color w:val="000000"/>
                <w:sz w:val="18"/>
                <w:szCs w:val="18"/>
              </w:rPr>
            </w:pPr>
            <w:r>
              <w:rPr>
                <w:rFonts w:ascii="Cambria" w:hAnsi="Cambria"/>
                <w:b/>
                <w:color w:val="000000"/>
                <w:sz w:val="18"/>
              </w:rPr>
              <w:t>Total Autres passifs financiers à long terme</w:t>
            </w:r>
          </w:p>
        </w:tc>
        <w:tc>
          <w:tcPr>
            <w:tcW w:w="908" w:type="pct"/>
            <w:tcBorders>
              <w:top w:val="single" w:sz="4" w:space="0" w:color="auto"/>
              <w:left w:val="nil"/>
              <w:bottom w:val="single" w:sz="8" w:space="0" w:color="auto"/>
              <w:right w:val="nil"/>
            </w:tcBorders>
            <w:shd w:val="clear" w:color="auto" w:fill="auto"/>
            <w:noWrap/>
            <w:vAlign w:val="bottom"/>
            <w:hideMark/>
          </w:tcPr>
          <w:p w14:paraId="0F59303F" w14:textId="2F8D4E12" w:rsidR="009D2D3B" w:rsidRDefault="009D2D3B" w:rsidP="009D2D3B">
            <w:pPr>
              <w:jc w:val="right"/>
              <w:rPr>
                <w:rFonts w:ascii="Cambria" w:hAnsi="Cambria" w:cs="Arial"/>
                <w:b/>
                <w:bCs/>
                <w:color w:val="000000"/>
                <w:sz w:val="18"/>
                <w:szCs w:val="18"/>
              </w:rPr>
            </w:pPr>
            <w:r>
              <w:rPr>
                <w:rFonts w:ascii="Cambria" w:hAnsi="Cambria"/>
                <w:b/>
                <w:color w:val="000000"/>
                <w:sz w:val="18"/>
              </w:rPr>
              <w:t>4 576 623</w:t>
            </w:r>
          </w:p>
        </w:tc>
        <w:tc>
          <w:tcPr>
            <w:tcW w:w="908" w:type="pct"/>
            <w:tcBorders>
              <w:top w:val="single" w:sz="4" w:space="0" w:color="auto"/>
              <w:left w:val="nil"/>
              <w:bottom w:val="single" w:sz="8" w:space="0" w:color="auto"/>
              <w:right w:val="nil"/>
            </w:tcBorders>
            <w:shd w:val="clear" w:color="auto" w:fill="auto"/>
            <w:noWrap/>
            <w:vAlign w:val="bottom"/>
            <w:hideMark/>
          </w:tcPr>
          <w:p w14:paraId="6B9C8C1E" w14:textId="17D82302" w:rsidR="009D2D3B" w:rsidRDefault="009D2D3B" w:rsidP="009D2D3B">
            <w:pPr>
              <w:jc w:val="right"/>
              <w:rPr>
                <w:rFonts w:ascii="Cambria" w:hAnsi="Cambria" w:cs="Arial"/>
                <w:b/>
                <w:bCs/>
                <w:color w:val="000000"/>
                <w:sz w:val="18"/>
                <w:szCs w:val="18"/>
              </w:rPr>
            </w:pPr>
            <w:r>
              <w:rPr>
                <w:rFonts w:ascii="Cambria" w:hAnsi="Cambria"/>
                <w:b/>
                <w:color w:val="000000"/>
                <w:sz w:val="18"/>
              </w:rPr>
              <w:t>6 584 043</w:t>
            </w:r>
          </w:p>
        </w:tc>
        <w:tc>
          <w:tcPr>
            <w:tcW w:w="908" w:type="pct"/>
            <w:tcBorders>
              <w:top w:val="single" w:sz="4" w:space="0" w:color="auto"/>
              <w:left w:val="nil"/>
              <w:bottom w:val="single" w:sz="8" w:space="0" w:color="auto"/>
              <w:right w:val="nil"/>
            </w:tcBorders>
            <w:shd w:val="clear" w:color="auto" w:fill="auto"/>
            <w:noWrap/>
            <w:vAlign w:val="bottom"/>
            <w:hideMark/>
          </w:tcPr>
          <w:p w14:paraId="6FB853AE" w14:textId="485A4965" w:rsidR="009D2D3B" w:rsidRDefault="009D2D3B" w:rsidP="009D2D3B">
            <w:pPr>
              <w:jc w:val="right"/>
              <w:rPr>
                <w:rFonts w:ascii="Cambria" w:hAnsi="Cambria" w:cs="Arial"/>
                <w:b/>
                <w:bCs/>
                <w:color w:val="000000"/>
                <w:sz w:val="18"/>
                <w:szCs w:val="18"/>
              </w:rPr>
            </w:pPr>
            <w:r>
              <w:rPr>
                <w:rFonts w:ascii="Cambria" w:hAnsi="Cambria"/>
                <w:b/>
                <w:color w:val="000000"/>
                <w:sz w:val="18"/>
              </w:rPr>
              <w:t>(2 007 420)</w:t>
            </w:r>
          </w:p>
        </w:tc>
      </w:tr>
    </w:tbl>
    <w:p w14:paraId="107FCD16" w14:textId="3244AB0E" w:rsidR="0009301E" w:rsidRDefault="0009301E" w:rsidP="00E16D12">
      <w:pPr>
        <w:spacing w:after="200" w:line="276" w:lineRule="auto"/>
        <w:jc w:val="both"/>
        <w:rPr>
          <w:rFonts w:ascii="Cambria" w:hAnsi="Cambria"/>
          <w:sz w:val="22"/>
          <w:szCs w:val="22"/>
        </w:rPr>
      </w:pPr>
    </w:p>
    <w:p w14:paraId="42DD7063" w14:textId="74586AF0" w:rsidR="00E16D12" w:rsidRPr="00C17031" w:rsidRDefault="00E16D12" w:rsidP="00E16D12">
      <w:pPr>
        <w:spacing w:after="200" w:line="276" w:lineRule="auto"/>
        <w:jc w:val="both"/>
        <w:rPr>
          <w:rFonts w:ascii="Cambria" w:hAnsi="Cambria"/>
          <w:sz w:val="22"/>
          <w:szCs w:val="22"/>
        </w:rPr>
      </w:pPr>
      <w:r>
        <w:rPr>
          <w:rFonts w:ascii="Cambria" w:hAnsi="Cambria"/>
          <w:sz w:val="22"/>
        </w:rPr>
        <w:t>Le poste se réfère aux dettes résiduelles à long terme dérivant des contrats de location existants, relatifs aux locaux commerciaux des points de vente et du siège Over.</w:t>
      </w:r>
    </w:p>
    <w:p w14:paraId="442D5ADC" w14:textId="0205C379" w:rsidR="00901A4D" w:rsidRDefault="00901A4D" w:rsidP="00E16D12">
      <w:pPr>
        <w:spacing w:after="200" w:line="276" w:lineRule="auto"/>
        <w:jc w:val="both"/>
        <w:rPr>
          <w:rFonts w:ascii="Cambria" w:hAnsi="Cambria"/>
          <w:sz w:val="22"/>
          <w:szCs w:val="22"/>
        </w:rPr>
      </w:pPr>
      <w:r>
        <w:rPr>
          <w:rFonts w:ascii="Cambria" w:hAnsi="Cambria"/>
          <w:sz w:val="22"/>
        </w:rPr>
        <w:t>Les mouvements des passifs financiers du 1er janvier 2021 au 30 juin 2021 sont présentés ci-dessous :</w:t>
      </w:r>
    </w:p>
    <w:tbl>
      <w:tblPr>
        <w:tblW w:w="5820" w:type="dxa"/>
        <w:tblCellMar>
          <w:left w:w="70" w:type="dxa"/>
          <w:right w:w="70" w:type="dxa"/>
        </w:tblCellMar>
        <w:tblLook w:val="04A0" w:firstRow="1" w:lastRow="0" w:firstColumn="1" w:lastColumn="0" w:noHBand="0" w:noVBand="1"/>
      </w:tblPr>
      <w:tblGrid>
        <w:gridCol w:w="4160"/>
        <w:gridCol w:w="1660"/>
      </w:tblGrid>
      <w:tr w:rsidR="009D2D3B" w14:paraId="1C8FA5A9" w14:textId="77777777" w:rsidTr="009D2D3B">
        <w:trPr>
          <w:trHeight w:val="255"/>
        </w:trPr>
        <w:tc>
          <w:tcPr>
            <w:tcW w:w="4160" w:type="dxa"/>
            <w:tcBorders>
              <w:top w:val="nil"/>
              <w:left w:val="nil"/>
              <w:bottom w:val="nil"/>
              <w:right w:val="nil"/>
            </w:tcBorders>
            <w:shd w:val="clear" w:color="auto" w:fill="auto"/>
            <w:noWrap/>
            <w:vAlign w:val="bottom"/>
            <w:hideMark/>
          </w:tcPr>
          <w:p w14:paraId="2CDC9DB4" w14:textId="77777777" w:rsidR="009D2D3B" w:rsidRDefault="009D2D3B">
            <w:pPr>
              <w:rPr>
                <w:rFonts w:ascii="Cambria" w:hAnsi="Cambria" w:cs="Arial"/>
                <w:b/>
                <w:bCs/>
                <w:color w:val="000000"/>
                <w:sz w:val="18"/>
                <w:szCs w:val="18"/>
              </w:rPr>
            </w:pPr>
            <w:r>
              <w:rPr>
                <w:rFonts w:ascii="Cambria" w:hAnsi="Cambria"/>
                <w:b/>
                <w:color w:val="000000"/>
                <w:sz w:val="18"/>
              </w:rPr>
              <w:t>Bilan au 31 décembre 2020</w:t>
            </w:r>
          </w:p>
        </w:tc>
        <w:tc>
          <w:tcPr>
            <w:tcW w:w="1660" w:type="dxa"/>
            <w:tcBorders>
              <w:top w:val="single" w:sz="4" w:space="0" w:color="auto"/>
              <w:left w:val="nil"/>
              <w:bottom w:val="single" w:sz="8" w:space="0" w:color="auto"/>
              <w:right w:val="nil"/>
            </w:tcBorders>
            <w:shd w:val="clear" w:color="auto" w:fill="auto"/>
            <w:noWrap/>
            <w:vAlign w:val="bottom"/>
            <w:hideMark/>
          </w:tcPr>
          <w:p w14:paraId="269AD2A4" w14:textId="77777777" w:rsidR="009D2D3B" w:rsidRDefault="009D2D3B">
            <w:pPr>
              <w:jc w:val="right"/>
              <w:rPr>
                <w:rFonts w:ascii="Cambria" w:hAnsi="Cambria" w:cs="Arial"/>
                <w:b/>
                <w:bCs/>
                <w:color w:val="000000"/>
                <w:sz w:val="18"/>
                <w:szCs w:val="18"/>
              </w:rPr>
            </w:pPr>
            <w:r>
              <w:rPr>
                <w:rFonts w:ascii="Cambria" w:hAnsi="Cambria"/>
                <w:b/>
                <w:color w:val="000000"/>
                <w:sz w:val="18"/>
              </w:rPr>
              <w:t>8 067 866</w:t>
            </w:r>
          </w:p>
        </w:tc>
      </w:tr>
      <w:tr w:rsidR="009D2D3B" w14:paraId="4FD228A2" w14:textId="77777777" w:rsidTr="009D2D3B">
        <w:trPr>
          <w:trHeight w:val="240"/>
        </w:trPr>
        <w:tc>
          <w:tcPr>
            <w:tcW w:w="4160" w:type="dxa"/>
            <w:tcBorders>
              <w:top w:val="nil"/>
              <w:left w:val="nil"/>
              <w:bottom w:val="nil"/>
              <w:right w:val="nil"/>
            </w:tcBorders>
            <w:shd w:val="clear" w:color="auto" w:fill="auto"/>
            <w:noWrap/>
            <w:vAlign w:val="bottom"/>
            <w:hideMark/>
          </w:tcPr>
          <w:p w14:paraId="4DD31431" w14:textId="77777777" w:rsidR="009D2D3B" w:rsidRDefault="009D2D3B">
            <w:pPr>
              <w:rPr>
                <w:rFonts w:ascii="Cambria" w:hAnsi="Cambria" w:cs="Arial"/>
                <w:color w:val="000000"/>
                <w:sz w:val="18"/>
                <w:szCs w:val="18"/>
              </w:rPr>
            </w:pPr>
            <w:r>
              <w:rPr>
                <w:rFonts w:ascii="Cambria" w:hAnsi="Cambria"/>
                <w:color w:val="000000"/>
                <w:sz w:val="18"/>
              </w:rPr>
              <w:t>Renégociations</w:t>
            </w:r>
          </w:p>
        </w:tc>
        <w:tc>
          <w:tcPr>
            <w:tcW w:w="1660" w:type="dxa"/>
            <w:tcBorders>
              <w:top w:val="nil"/>
              <w:left w:val="nil"/>
              <w:bottom w:val="nil"/>
              <w:right w:val="nil"/>
            </w:tcBorders>
            <w:shd w:val="clear" w:color="auto" w:fill="auto"/>
            <w:noWrap/>
            <w:vAlign w:val="bottom"/>
            <w:hideMark/>
          </w:tcPr>
          <w:p w14:paraId="35BA86CD" w14:textId="77777777" w:rsidR="009D2D3B" w:rsidRDefault="009D2D3B">
            <w:pPr>
              <w:jc w:val="right"/>
              <w:rPr>
                <w:rFonts w:ascii="Cambria" w:hAnsi="Cambria" w:cs="Arial"/>
                <w:color w:val="000000"/>
                <w:sz w:val="18"/>
                <w:szCs w:val="18"/>
              </w:rPr>
            </w:pPr>
            <w:r>
              <w:rPr>
                <w:rFonts w:ascii="Cambria" w:hAnsi="Cambria"/>
                <w:color w:val="000000"/>
                <w:sz w:val="18"/>
              </w:rPr>
              <w:t>(87 190)</w:t>
            </w:r>
          </w:p>
        </w:tc>
      </w:tr>
      <w:tr w:rsidR="009D2D3B" w14:paraId="5743FD16" w14:textId="77777777" w:rsidTr="009D2D3B">
        <w:trPr>
          <w:trHeight w:val="240"/>
        </w:trPr>
        <w:tc>
          <w:tcPr>
            <w:tcW w:w="4160" w:type="dxa"/>
            <w:tcBorders>
              <w:top w:val="nil"/>
              <w:left w:val="nil"/>
              <w:bottom w:val="nil"/>
              <w:right w:val="nil"/>
            </w:tcBorders>
            <w:shd w:val="clear" w:color="auto" w:fill="auto"/>
            <w:noWrap/>
            <w:vAlign w:val="bottom"/>
            <w:hideMark/>
          </w:tcPr>
          <w:p w14:paraId="4C6DB79A" w14:textId="77777777" w:rsidR="009D2D3B" w:rsidRDefault="009D2D3B">
            <w:pPr>
              <w:rPr>
                <w:rFonts w:ascii="Cambria" w:hAnsi="Cambria" w:cs="Arial"/>
                <w:color w:val="000000"/>
                <w:sz w:val="18"/>
                <w:szCs w:val="18"/>
              </w:rPr>
            </w:pPr>
            <w:r>
              <w:rPr>
                <w:rFonts w:ascii="Cambria" w:hAnsi="Cambria"/>
                <w:color w:val="000000"/>
                <w:sz w:val="18"/>
              </w:rPr>
              <w:t>Nouveaux contrats</w:t>
            </w:r>
          </w:p>
        </w:tc>
        <w:tc>
          <w:tcPr>
            <w:tcW w:w="1660" w:type="dxa"/>
            <w:tcBorders>
              <w:top w:val="nil"/>
              <w:left w:val="nil"/>
              <w:bottom w:val="nil"/>
              <w:right w:val="nil"/>
            </w:tcBorders>
            <w:shd w:val="clear" w:color="auto" w:fill="auto"/>
            <w:noWrap/>
            <w:vAlign w:val="bottom"/>
            <w:hideMark/>
          </w:tcPr>
          <w:p w14:paraId="2829663D" w14:textId="77777777" w:rsidR="009D2D3B" w:rsidRDefault="009D2D3B">
            <w:pPr>
              <w:jc w:val="right"/>
              <w:rPr>
                <w:rFonts w:ascii="Cambria" w:hAnsi="Cambria" w:cs="Arial"/>
                <w:color w:val="000000"/>
                <w:sz w:val="18"/>
                <w:szCs w:val="18"/>
              </w:rPr>
            </w:pPr>
            <w:r>
              <w:rPr>
                <w:rFonts w:ascii="Cambria" w:hAnsi="Cambria"/>
                <w:color w:val="000000"/>
                <w:sz w:val="18"/>
              </w:rPr>
              <w:t>191 424</w:t>
            </w:r>
          </w:p>
        </w:tc>
      </w:tr>
      <w:tr w:rsidR="009D2D3B" w14:paraId="078F1F41" w14:textId="77777777" w:rsidTr="009D2D3B">
        <w:trPr>
          <w:trHeight w:val="240"/>
        </w:trPr>
        <w:tc>
          <w:tcPr>
            <w:tcW w:w="4160" w:type="dxa"/>
            <w:tcBorders>
              <w:top w:val="nil"/>
              <w:left w:val="nil"/>
              <w:bottom w:val="nil"/>
              <w:right w:val="nil"/>
            </w:tcBorders>
            <w:shd w:val="clear" w:color="auto" w:fill="auto"/>
            <w:noWrap/>
            <w:vAlign w:val="bottom"/>
            <w:hideMark/>
          </w:tcPr>
          <w:p w14:paraId="66512768" w14:textId="77777777" w:rsidR="009D2D3B" w:rsidRDefault="009D2D3B">
            <w:pPr>
              <w:rPr>
                <w:rFonts w:ascii="Cambria" w:hAnsi="Cambria" w:cs="Arial"/>
                <w:color w:val="000000"/>
                <w:sz w:val="18"/>
                <w:szCs w:val="18"/>
              </w:rPr>
            </w:pPr>
            <w:r>
              <w:rPr>
                <w:rFonts w:ascii="Cambria" w:hAnsi="Cambria"/>
                <w:color w:val="000000"/>
                <w:sz w:val="18"/>
              </w:rPr>
              <w:t>Remboursements</w:t>
            </w:r>
          </w:p>
        </w:tc>
        <w:tc>
          <w:tcPr>
            <w:tcW w:w="1660" w:type="dxa"/>
            <w:tcBorders>
              <w:top w:val="nil"/>
              <w:left w:val="nil"/>
              <w:bottom w:val="nil"/>
              <w:right w:val="nil"/>
            </w:tcBorders>
            <w:shd w:val="clear" w:color="auto" w:fill="auto"/>
            <w:noWrap/>
            <w:vAlign w:val="bottom"/>
            <w:hideMark/>
          </w:tcPr>
          <w:p w14:paraId="5261A8A2" w14:textId="77777777" w:rsidR="009D2D3B" w:rsidRDefault="009D2D3B">
            <w:pPr>
              <w:jc w:val="right"/>
              <w:rPr>
                <w:rFonts w:ascii="Cambria" w:hAnsi="Cambria" w:cs="Arial"/>
                <w:color w:val="000000"/>
                <w:sz w:val="18"/>
                <w:szCs w:val="18"/>
              </w:rPr>
            </w:pPr>
            <w:r>
              <w:rPr>
                <w:rFonts w:ascii="Cambria" w:hAnsi="Cambria"/>
                <w:color w:val="000000"/>
                <w:sz w:val="18"/>
              </w:rPr>
              <w:t>(737 512)</w:t>
            </w:r>
          </w:p>
        </w:tc>
      </w:tr>
      <w:tr w:rsidR="009D2D3B" w14:paraId="0A16D583" w14:textId="77777777" w:rsidTr="009D2D3B">
        <w:trPr>
          <w:trHeight w:val="240"/>
        </w:trPr>
        <w:tc>
          <w:tcPr>
            <w:tcW w:w="4160" w:type="dxa"/>
            <w:tcBorders>
              <w:top w:val="nil"/>
              <w:left w:val="nil"/>
              <w:bottom w:val="nil"/>
              <w:right w:val="nil"/>
            </w:tcBorders>
            <w:shd w:val="clear" w:color="auto" w:fill="auto"/>
            <w:noWrap/>
            <w:vAlign w:val="bottom"/>
            <w:hideMark/>
          </w:tcPr>
          <w:p w14:paraId="18AEB045" w14:textId="77777777" w:rsidR="009D2D3B" w:rsidRDefault="009D2D3B">
            <w:pPr>
              <w:rPr>
                <w:rFonts w:ascii="Cambria" w:hAnsi="Cambria" w:cs="Arial"/>
                <w:color w:val="000000"/>
                <w:sz w:val="18"/>
                <w:szCs w:val="18"/>
              </w:rPr>
            </w:pPr>
            <w:r>
              <w:rPr>
                <w:rFonts w:ascii="Cambria" w:hAnsi="Cambria"/>
                <w:color w:val="000000"/>
                <w:sz w:val="18"/>
              </w:rPr>
              <w:t>Résiliations</w:t>
            </w:r>
          </w:p>
        </w:tc>
        <w:tc>
          <w:tcPr>
            <w:tcW w:w="1660" w:type="dxa"/>
            <w:tcBorders>
              <w:top w:val="nil"/>
              <w:left w:val="nil"/>
              <w:bottom w:val="nil"/>
              <w:right w:val="nil"/>
            </w:tcBorders>
            <w:shd w:val="clear" w:color="auto" w:fill="auto"/>
            <w:noWrap/>
            <w:vAlign w:val="bottom"/>
            <w:hideMark/>
          </w:tcPr>
          <w:p w14:paraId="00AD0EA1" w14:textId="77777777" w:rsidR="009D2D3B" w:rsidRDefault="009D2D3B">
            <w:pPr>
              <w:rPr>
                <w:rFonts w:ascii="Cambria" w:hAnsi="Cambria" w:cs="Arial"/>
                <w:color w:val="000000"/>
                <w:sz w:val="18"/>
                <w:szCs w:val="18"/>
              </w:rPr>
            </w:pPr>
          </w:p>
        </w:tc>
      </w:tr>
      <w:tr w:rsidR="009D2D3B" w14:paraId="57557A37" w14:textId="77777777" w:rsidTr="009D2D3B">
        <w:trPr>
          <w:trHeight w:val="255"/>
        </w:trPr>
        <w:tc>
          <w:tcPr>
            <w:tcW w:w="4160" w:type="dxa"/>
            <w:tcBorders>
              <w:top w:val="nil"/>
              <w:left w:val="nil"/>
              <w:bottom w:val="nil"/>
              <w:right w:val="nil"/>
            </w:tcBorders>
            <w:shd w:val="clear" w:color="auto" w:fill="auto"/>
            <w:noWrap/>
            <w:vAlign w:val="bottom"/>
            <w:hideMark/>
          </w:tcPr>
          <w:p w14:paraId="2909BDB6" w14:textId="77777777" w:rsidR="009D2D3B" w:rsidRDefault="009D2D3B">
            <w:pPr>
              <w:rPr>
                <w:rFonts w:ascii="Cambria" w:hAnsi="Cambria" w:cs="Arial"/>
                <w:b/>
                <w:bCs/>
                <w:color w:val="000000"/>
                <w:sz w:val="18"/>
                <w:szCs w:val="18"/>
              </w:rPr>
            </w:pPr>
            <w:r>
              <w:rPr>
                <w:rFonts w:ascii="Cambria" w:hAnsi="Cambria"/>
                <w:b/>
                <w:color w:val="000000"/>
                <w:sz w:val="18"/>
              </w:rPr>
              <w:t>Bilan au 30 juin 2021</w:t>
            </w:r>
          </w:p>
        </w:tc>
        <w:tc>
          <w:tcPr>
            <w:tcW w:w="1660" w:type="dxa"/>
            <w:tcBorders>
              <w:top w:val="single" w:sz="4" w:space="0" w:color="auto"/>
              <w:left w:val="nil"/>
              <w:bottom w:val="single" w:sz="8" w:space="0" w:color="auto"/>
              <w:right w:val="nil"/>
            </w:tcBorders>
            <w:shd w:val="clear" w:color="auto" w:fill="auto"/>
            <w:noWrap/>
            <w:vAlign w:val="bottom"/>
            <w:hideMark/>
          </w:tcPr>
          <w:p w14:paraId="75BFBA28" w14:textId="77777777" w:rsidR="009D2D3B" w:rsidRDefault="009D2D3B">
            <w:pPr>
              <w:jc w:val="right"/>
              <w:rPr>
                <w:rFonts w:ascii="Cambria" w:hAnsi="Cambria" w:cs="Arial"/>
                <w:b/>
                <w:bCs/>
                <w:color w:val="000000"/>
                <w:sz w:val="18"/>
                <w:szCs w:val="18"/>
              </w:rPr>
            </w:pPr>
            <w:r>
              <w:rPr>
                <w:rFonts w:ascii="Cambria" w:hAnsi="Cambria"/>
                <w:b/>
                <w:color w:val="000000"/>
                <w:sz w:val="18"/>
              </w:rPr>
              <w:t>7 434 588</w:t>
            </w:r>
          </w:p>
        </w:tc>
      </w:tr>
      <w:tr w:rsidR="009D2D3B" w14:paraId="0535692E" w14:textId="77777777" w:rsidTr="009D2D3B">
        <w:trPr>
          <w:trHeight w:val="240"/>
        </w:trPr>
        <w:tc>
          <w:tcPr>
            <w:tcW w:w="4160" w:type="dxa"/>
            <w:tcBorders>
              <w:top w:val="nil"/>
              <w:left w:val="nil"/>
              <w:bottom w:val="nil"/>
              <w:right w:val="nil"/>
            </w:tcBorders>
            <w:shd w:val="clear" w:color="auto" w:fill="auto"/>
            <w:noWrap/>
            <w:vAlign w:val="bottom"/>
            <w:hideMark/>
          </w:tcPr>
          <w:p w14:paraId="053E84F3" w14:textId="77777777" w:rsidR="009D2D3B" w:rsidRDefault="009D2D3B">
            <w:pPr>
              <w:rPr>
                <w:rFonts w:ascii="Cambria" w:hAnsi="Cambria" w:cs="Arial"/>
                <w:b/>
                <w:bCs/>
                <w:i/>
                <w:iCs/>
                <w:color w:val="000000"/>
                <w:sz w:val="18"/>
                <w:szCs w:val="18"/>
              </w:rPr>
            </w:pPr>
            <w:r>
              <w:rPr>
                <w:rFonts w:ascii="Cambria" w:hAnsi="Cambria"/>
                <w:b/>
                <w:i/>
                <w:color w:val="000000"/>
                <w:sz w:val="18"/>
              </w:rPr>
              <w:t>Dont à court terme</w:t>
            </w:r>
          </w:p>
        </w:tc>
        <w:tc>
          <w:tcPr>
            <w:tcW w:w="1660" w:type="dxa"/>
            <w:tcBorders>
              <w:top w:val="nil"/>
              <w:left w:val="nil"/>
              <w:bottom w:val="nil"/>
              <w:right w:val="nil"/>
            </w:tcBorders>
            <w:shd w:val="clear" w:color="auto" w:fill="auto"/>
            <w:noWrap/>
            <w:vAlign w:val="bottom"/>
            <w:hideMark/>
          </w:tcPr>
          <w:p w14:paraId="4A7F0025" w14:textId="77777777" w:rsidR="009D2D3B" w:rsidRDefault="009D2D3B">
            <w:pPr>
              <w:jc w:val="right"/>
              <w:rPr>
                <w:rFonts w:ascii="Cambria" w:hAnsi="Cambria" w:cs="Arial"/>
                <w:b/>
                <w:bCs/>
                <w:i/>
                <w:iCs/>
                <w:color w:val="000000"/>
                <w:sz w:val="18"/>
                <w:szCs w:val="18"/>
              </w:rPr>
            </w:pPr>
            <w:r>
              <w:rPr>
                <w:rFonts w:ascii="Cambria" w:hAnsi="Cambria"/>
                <w:b/>
                <w:i/>
                <w:color w:val="000000"/>
                <w:sz w:val="18"/>
              </w:rPr>
              <w:t>2 857 966</w:t>
            </w:r>
          </w:p>
        </w:tc>
      </w:tr>
      <w:tr w:rsidR="009D2D3B" w14:paraId="2D30C0A0" w14:textId="77777777" w:rsidTr="009D2D3B">
        <w:trPr>
          <w:trHeight w:val="240"/>
        </w:trPr>
        <w:tc>
          <w:tcPr>
            <w:tcW w:w="4160" w:type="dxa"/>
            <w:tcBorders>
              <w:top w:val="nil"/>
              <w:left w:val="nil"/>
              <w:bottom w:val="nil"/>
              <w:right w:val="nil"/>
            </w:tcBorders>
            <w:shd w:val="clear" w:color="auto" w:fill="auto"/>
            <w:noWrap/>
            <w:vAlign w:val="bottom"/>
            <w:hideMark/>
          </w:tcPr>
          <w:p w14:paraId="6D10C61A" w14:textId="77777777" w:rsidR="009D2D3B" w:rsidRDefault="009D2D3B">
            <w:pPr>
              <w:rPr>
                <w:rFonts w:ascii="Cambria" w:hAnsi="Cambria" w:cs="Arial"/>
                <w:b/>
                <w:bCs/>
                <w:i/>
                <w:iCs/>
                <w:color w:val="000000"/>
                <w:sz w:val="18"/>
                <w:szCs w:val="18"/>
              </w:rPr>
            </w:pPr>
            <w:r>
              <w:rPr>
                <w:rFonts w:ascii="Cambria" w:hAnsi="Cambria"/>
                <w:b/>
                <w:i/>
                <w:color w:val="000000"/>
                <w:sz w:val="18"/>
              </w:rPr>
              <w:t>Dont à long terme</w:t>
            </w:r>
          </w:p>
        </w:tc>
        <w:tc>
          <w:tcPr>
            <w:tcW w:w="1660" w:type="dxa"/>
            <w:tcBorders>
              <w:top w:val="nil"/>
              <w:left w:val="nil"/>
              <w:bottom w:val="nil"/>
              <w:right w:val="nil"/>
            </w:tcBorders>
            <w:shd w:val="clear" w:color="auto" w:fill="auto"/>
            <w:noWrap/>
            <w:vAlign w:val="bottom"/>
            <w:hideMark/>
          </w:tcPr>
          <w:p w14:paraId="378CBCB8" w14:textId="77777777" w:rsidR="009D2D3B" w:rsidRDefault="009D2D3B">
            <w:pPr>
              <w:jc w:val="right"/>
              <w:rPr>
                <w:rFonts w:ascii="Cambria" w:hAnsi="Cambria" w:cs="Arial"/>
                <w:b/>
                <w:bCs/>
                <w:i/>
                <w:iCs/>
                <w:color w:val="000000"/>
                <w:sz w:val="18"/>
                <w:szCs w:val="18"/>
              </w:rPr>
            </w:pPr>
            <w:r>
              <w:rPr>
                <w:rFonts w:ascii="Cambria" w:hAnsi="Cambria"/>
                <w:b/>
                <w:i/>
                <w:color w:val="000000"/>
                <w:sz w:val="18"/>
              </w:rPr>
              <w:t>4 576 623</w:t>
            </w:r>
          </w:p>
        </w:tc>
      </w:tr>
    </w:tbl>
    <w:p w14:paraId="178DCC9D" w14:textId="139D974E" w:rsidR="0009301E" w:rsidRDefault="0009301E" w:rsidP="00E16D12">
      <w:pPr>
        <w:spacing w:after="200" w:line="276" w:lineRule="auto"/>
        <w:jc w:val="both"/>
        <w:rPr>
          <w:rFonts w:ascii="Cambria" w:hAnsi="Cambria"/>
          <w:sz w:val="22"/>
          <w:szCs w:val="22"/>
        </w:rPr>
      </w:pPr>
    </w:p>
    <w:p w14:paraId="20E754CF" w14:textId="4C6F4998" w:rsidR="00BF4C37" w:rsidRDefault="00BF4C37" w:rsidP="00E16D12">
      <w:pPr>
        <w:spacing w:after="200" w:line="276" w:lineRule="auto"/>
        <w:jc w:val="both"/>
        <w:rPr>
          <w:rFonts w:ascii="Cambria" w:hAnsi="Cambria"/>
          <w:sz w:val="22"/>
          <w:szCs w:val="22"/>
        </w:rPr>
      </w:pPr>
      <w:r>
        <w:rPr>
          <w:rFonts w:ascii="Cambria" w:hAnsi="Cambria"/>
          <w:sz w:val="22"/>
        </w:rPr>
        <w:t>Les renégociations font référence aux réductions des loyers contractuels pour la plupart des points de vente, résultant de la pandémie de Covid-19.</w:t>
      </w:r>
    </w:p>
    <w:p w14:paraId="64671A5E" w14:textId="77777777" w:rsidR="00504150" w:rsidRDefault="00504150" w:rsidP="00E16D12">
      <w:pPr>
        <w:spacing w:after="200" w:line="276" w:lineRule="auto"/>
        <w:jc w:val="both"/>
        <w:rPr>
          <w:rFonts w:ascii="Cambria" w:hAnsi="Cambria"/>
          <w:sz w:val="22"/>
          <w:szCs w:val="22"/>
        </w:rPr>
      </w:pPr>
    </w:p>
    <w:p w14:paraId="4EBF65E5" w14:textId="77777777" w:rsidR="00E16D12" w:rsidRPr="00C129A5" w:rsidRDefault="00E16D12" w:rsidP="00E16D12">
      <w:pPr>
        <w:pStyle w:val="Titolo2"/>
        <w:numPr>
          <w:ilvl w:val="0"/>
          <w:numId w:val="6"/>
        </w:numPr>
        <w:spacing w:line="240" w:lineRule="auto"/>
        <w:ind w:left="357" w:right="0" w:hanging="357"/>
        <w:jc w:val="left"/>
        <w:rPr>
          <w:i w:val="0"/>
        </w:rPr>
      </w:pPr>
      <w:bookmarkStart w:id="145" w:name="_Toc112768677"/>
      <w:r>
        <w:rPr>
          <w:i w:val="0"/>
        </w:rPr>
        <w:t>Passifs liés à des avantages sociaux futurs</w:t>
      </w:r>
      <w:bookmarkEnd w:id="145"/>
    </w:p>
    <w:p w14:paraId="1FB4EA1F" w14:textId="77777777" w:rsidR="00E16D12" w:rsidRPr="00C17031" w:rsidRDefault="00E16D12" w:rsidP="00E16D12">
      <w:pPr>
        <w:jc w:val="both"/>
        <w:rPr>
          <w:rFonts w:ascii="Cambria" w:hAnsi="Cambria"/>
          <w:sz w:val="22"/>
          <w:szCs w:val="22"/>
        </w:rPr>
      </w:pPr>
    </w:p>
    <w:p w14:paraId="7A865843" w14:textId="76CDC011" w:rsidR="00E3450F" w:rsidRDefault="00E16D12" w:rsidP="00E16D12">
      <w:pPr>
        <w:spacing w:after="200" w:line="276" w:lineRule="auto"/>
        <w:jc w:val="both"/>
        <w:rPr>
          <w:rFonts w:ascii="Cambria" w:hAnsi="Cambria"/>
          <w:sz w:val="22"/>
          <w:szCs w:val="22"/>
        </w:rPr>
      </w:pPr>
      <w:r>
        <w:rPr>
          <w:rFonts w:ascii="Cambria" w:hAnsi="Cambria"/>
          <w:sz w:val="22"/>
        </w:rPr>
        <w:t>La ventilation du poste « Passifs liés à des avantages sociaux futurs » au 30 juin 2021, par rapport aux mêmes valeurs au 31 décembre 2020, est présentée ci-dessous :</w:t>
      </w:r>
    </w:p>
    <w:tbl>
      <w:tblPr>
        <w:tblW w:w="5000" w:type="pct"/>
        <w:tblCellMar>
          <w:left w:w="70" w:type="dxa"/>
          <w:right w:w="70" w:type="dxa"/>
        </w:tblCellMar>
        <w:tblLook w:val="04A0" w:firstRow="1" w:lastRow="0" w:firstColumn="1" w:lastColumn="0" w:noHBand="0" w:noVBand="1"/>
      </w:tblPr>
      <w:tblGrid>
        <w:gridCol w:w="5280"/>
        <w:gridCol w:w="1640"/>
        <w:gridCol w:w="1124"/>
        <w:gridCol w:w="1594"/>
      </w:tblGrid>
      <w:tr w:rsidR="003D5045" w14:paraId="41F53BEB" w14:textId="77777777" w:rsidTr="00717185">
        <w:trPr>
          <w:trHeight w:val="495"/>
        </w:trPr>
        <w:tc>
          <w:tcPr>
            <w:tcW w:w="2739" w:type="pct"/>
            <w:tcBorders>
              <w:top w:val="single" w:sz="4" w:space="0" w:color="0070C0"/>
              <w:left w:val="nil"/>
              <w:bottom w:val="single" w:sz="8" w:space="0" w:color="0070C0"/>
              <w:right w:val="nil"/>
            </w:tcBorders>
            <w:shd w:val="clear" w:color="auto" w:fill="auto"/>
            <w:noWrap/>
            <w:vAlign w:val="bottom"/>
            <w:hideMark/>
          </w:tcPr>
          <w:p w14:paraId="03167A10" w14:textId="77777777" w:rsidR="003D5045" w:rsidRDefault="003D5045">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851" w:type="pct"/>
            <w:tcBorders>
              <w:top w:val="single" w:sz="4" w:space="0" w:color="0070C0"/>
              <w:left w:val="nil"/>
              <w:bottom w:val="single" w:sz="8" w:space="0" w:color="0070C0"/>
              <w:right w:val="nil"/>
            </w:tcBorders>
            <w:shd w:val="clear" w:color="auto" w:fill="auto"/>
            <w:noWrap/>
            <w:vAlign w:val="bottom"/>
            <w:hideMark/>
          </w:tcPr>
          <w:p w14:paraId="10556539" w14:textId="77777777" w:rsidR="003D5045" w:rsidRDefault="003D5045">
            <w:pPr>
              <w:rPr>
                <w:rFonts w:ascii="Cambria" w:hAnsi="Cambria" w:cs="Arial"/>
                <w:color w:val="000000"/>
                <w:sz w:val="18"/>
                <w:szCs w:val="18"/>
              </w:rPr>
            </w:pPr>
            <w:r>
              <w:rPr>
                <w:rFonts w:ascii="Cambria" w:hAnsi="Cambria"/>
                <w:color w:val="000000"/>
                <w:sz w:val="18"/>
              </w:rPr>
              <w:t> </w:t>
            </w:r>
          </w:p>
        </w:tc>
        <w:tc>
          <w:tcPr>
            <w:tcW w:w="583" w:type="pct"/>
            <w:tcBorders>
              <w:top w:val="single" w:sz="4" w:space="0" w:color="0070C0"/>
              <w:left w:val="nil"/>
              <w:bottom w:val="single" w:sz="8" w:space="0" w:color="0070C0"/>
              <w:right w:val="nil"/>
            </w:tcBorders>
            <w:shd w:val="clear" w:color="auto" w:fill="auto"/>
            <w:noWrap/>
            <w:vAlign w:val="bottom"/>
            <w:hideMark/>
          </w:tcPr>
          <w:p w14:paraId="3718F209" w14:textId="77777777" w:rsidR="003D5045" w:rsidRDefault="003D5045">
            <w:pPr>
              <w:rPr>
                <w:rFonts w:ascii="Cambria" w:hAnsi="Cambria" w:cs="Arial"/>
                <w:color w:val="000000"/>
                <w:sz w:val="18"/>
                <w:szCs w:val="18"/>
              </w:rPr>
            </w:pPr>
            <w:r>
              <w:rPr>
                <w:rFonts w:ascii="Cambria" w:hAnsi="Cambria"/>
                <w:color w:val="000000"/>
                <w:sz w:val="18"/>
              </w:rPr>
              <w:t> </w:t>
            </w:r>
          </w:p>
        </w:tc>
        <w:tc>
          <w:tcPr>
            <w:tcW w:w="827" w:type="pct"/>
            <w:tcBorders>
              <w:top w:val="single" w:sz="4" w:space="0" w:color="0070C0"/>
              <w:left w:val="nil"/>
              <w:bottom w:val="single" w:sz="8" w:space="0" w:color="0070C0"/>
              <w:right w:val="nil"/>
            </w:tcBorders>
            <w:shd w:val="clear" w:color="auto" w:fill="auto"/>
            <w:vAlign w:val="bottom"/>
            <w:hideMark/>
          </w:tcPr>
          <w:p w14:paraId="530A01D5" w14:textId="77777777" w:rsidR="003D5045" w:rsidRDefault="003D5045">
            <w:pPr>
              <w:jc w:val="center"/>
              <w:rPr>
                <w:rFonts w:ascii="Cambria" w:hAnsi="Cambria" w:cs="Arial"/>
                <w:b/>
                <w:bCs/>
                <w:color w:val="000000"/>
                <w:sz w:val="18"/>
                <w:szCs w:val="18"/>
              </w:rPr>
            </w:pPr>
            <w:r>
              <w:rPr>
                <w:rFonts w:ascii="Cambria" w:hAnsi="Cambria"/>
                <w:b/>
                <w:color w:val="000000"/>
                <w:sz w:val="18"/>
              </w:rPr>
              <w:t>Indemnités de départ</w:t>
            </w:r>
          </w:p>
        </w:tc>
      </w:tr>
      <w:tr w:rsidR="003D5045" w14:paraId="6D8447A0" w14:textId="77777777" w:rsidTr="00717185">
        <w:trPr>
          <w:trHeight w:val="255"/>
        </w:trPr>
        <w:tc>
          <w:tcPr>
            <w:tcW w:w="2739" w:type="pct"/>
            <w:tcBorders>
              <w:top w:val="nil"/>
              <w:left w:val="nil"/>
              <w:bottom w:val="nil"/>
              <w:right w:val="nil"/>
            </w:tcBorders>
            <w:shd w:val="clear" w:color="auto" w:fill="auto"/>
            <w:noWrap/>
            <w:vAlign w:val="bottom"/>
            <w:hideMark/>
          </w:tcPr>
          <w:p w14:paraId="780883A7" w14:textId="77777777" w:rsidR="003D5045" w:rsidRDefault="003D5045">
            <w:pPr>
              <w:rPr>
                <w:rFonts w:ascii="Cambria" w:hAnsi="Cambria" w:cs="Arial"/>
                <w:b/>
                <w:bCs/>
                <w:color w:val="000000"/>
                <w:sz w:val="18"/>
                <w:szCs w:val="18"/>
              </w:rPr>
            </w:pPr>
            <w:r>
              <w:rPr>
                <w:rFonts w:ascii="Cambria" w:hAnsi="Cambria"/>
                <w:b/>
                <w:color w:val="000000"/>
                <w:sz w:val="18"/>
              </w:rPr>
              <w:t>Bilan au 31 décembre 2020</w:t>
            </w:r>
          </w:p>
        </w:tc>
        <w:tc>
          <w:tcPr>
            <w:tcW w:w="851" w:type="pct"/>
            <w:tcBorders>
              <w:top w:val="nil"/>
              <w:left w:val="nil"/>
              <w:bottom w:val="nil"/>
              <w:right w:val="nil"/>
            </w:tcBorders>
            <w:shd w:val="clear" w:color="auto" w:fill="auto"/>
            <w:noWrap/>
            <w:vAlign w:val="bottom"/>
            <w:hideMark/>
          </w:tcPr>
          <w:p w14:paraId="79AFA356" w14:textId="77777777" w:rsidR="003D5045" w:rsidRDefault="003D5045">
            <w:pPr>
              <w:rPr>
                <w:rFonts w:ascii="Cambria" w:hAnsi="Cambria" w:cs="Arial"/>
                <w:b/>
                <w:bCs/>
                <w:color w:val="000000"/>
                <w:sz w:val="18"/>
                <w:szCs w:val="18"/>
              </w:rPr>
            </w:pPr>
          </w:p>
        </w:tc>
        <w:tc>
          <w:tcPr>
            <w:tcW w:w="583" w:type="pct"/>
            <w:tcBorders>
              <w:top w:val="nil"/>
              <w:left w:val="nil"/>
              <w:bottom w:val="nil"/>
              <w:right w:val="nil"/>
            </w:tcBorders>
            <w:shd w:val="clear" w:color="auto" w:fill="auto"/>
            <w:noWrap/>
            <w:vAlign w:val="bottom"/>
            <w:hideMark/>
          </w:tcPr>
          <w:p w14:paraId="621A1C3E" w14:textId="77777777" w:rsidR="003D5045" w:rsidRDefault="003D5045">
            <w:pPr>
              <w:rPr>
                <w:sz w:val="20"/>
                <w:szCs w:val="20"/>
              </w:rPr>
            </w:pPr>
          </w:p>
        </w:tc>
        <w:tc>
          <w:tcPr>
            <w:tcW w:w="827" w:type="pct"/>
            <w:tcBorders>
              <w:top w:val="single" w:sz="4" w:space="0" w:color="auto"/>
              <w:left w:val="nil"/>
              <w:bottom w:val="single" w:sz="8" w:space="0" w:color="auto"/>
              <w:right w:val="nil"/>
            </w:tcBorders>
            <w:shd w:val="clear" w:color="auto" w:fill="auto"/>
            <w:noWrap/>
            <w:vAlign w:val="bottom"/>
            <w:hideMark/>
          </w:tcPr>
          <w:p w14:paraId="1EBA560F" w14:textId="77777777" w:rsidR="003D5045" w:rsidRDefault="003D5045">
            <w:pPr>
              <w:jc w:val="right"/>
              <w:rPr>
                <w:rFonts w:ascii="Cambria" w:hAnsi="Cambria" w:cs="Arial"/>
                <w:b/>
                <w:bCs/>
                <w:color w:val="000000"/>
                <w:sz w:val="18"/>
                <w:szCs w:val="18"/>
              </w:rPr>
            </w:pPr>
            <w:r>
              <w:rPr>
                <w:rFonts w:ascii="Cambria" w:hAnsi="Cambria"/>
                <w:b/>
                <w:color w:val="000000"/>
                <w:sz w:val="18"/>
              </w:rPr>
              <w:t>692 147</w:t>
            </w:r>
          </w:p>
        </w:tc>
      </w:tr>
      <w:tr w:rsidR="003D5045" w14:paraId="4BB4EDE2" w14:textId="77777777" w:rsidTr="00717185">
        <w:trPr>
          <w:trHeight w:val="240"/>
        </w:trPr>
        <w:tc>
          <w:tcPr>
            <w:tcW w:w="3590" w:type="pct"/>
            <w:gridSpan w:val="2"/>
            <w:tcBorders>
              <w:top w:val="nil"/>
              <w:left w:val="nil"/>
              <w:bottom w:val="nil"/>
              <w:right w:val="nil"/>
            </w:tcBorders>
            <w:shd w:val="clear" w:color="auto" w:fill="auto"/>
            <w:noWrap/>
            <w:vAlign w:val="bottom"/>
            <w:hideMark/>
          </w:tcPr>
          <w:p w14:paraId="06BCBE96" w14:textId="77777777" w:rsidR="003D5045" w:rsidRDefault="003D5045">
            <w:pPr>
              <w:rPr>
                <w:rFonts w:ascii="Cambria" w:hAnsi="Cambria" w:cs="Arial"/>
                <w:color w:val="000000"/>
                <w:sz w:val="18"/>
                <w:szCs w:val="18"/>
              </w:rPr>
            </w:pPr>
            <w:r>
              <w:rPr>
                <w:rFonts w:ascii="Cambria" w:hAnsi="Cambria"/>
                <w:color w:val="000000"/>
                <w:sz w:val="18"/>
              </w:rPr>
              <w:t>Coût de la sécurité sociale lié au service courant</w:t>
            </w:r>
          </w:p>
        </w:tc>
        <w:tc>
          <w:tcPr>
            <w:tcW w:w="583" w:type="pct"/>
            <w:tcBorders>
              <w:top w:val="nil"/>
              <w:left w:val="nil"/>
              <w:bottom w:val="nil"/>
              <w:right w:val="nil"/>
            </w:tcBorders>
            <w:shd w:val="clear" w:color="auto" w:fill="auto"/>
            <w:noWrap/>
            <w:vAlign w:val="bottom"/>
            <w:hideMark/>
          </w:tcPr>
          <w:p w14:paraId="11E844E8" w14:textId="77777777" w:rsidR="003D5045" w:rsidRDefault="003D5045">
            <w:pPr>
              <w:rPr>
                <w:rFonts w:ascii="Cambria" w:hAnsi="Cambria" w:cs="Arial"/>
                <w:color w:val="000000"/>
                <w:sz w:val="18"/>
                <w:szCs w:val="18"/>
              </w:rPr>
            </w:pPr>
          </w:p>
        </w:tc>
        <w:tc>
          <w:tcPr>
            <w:tcW w:w="827" w:type="pct"/>
            <w:tcBorders>
              <w:top w:val="nil"/>
              <w:left w:val="nil"/>
              <w:bottom w:val="nil"/>
              <w:right w:val="nil"/>
            </w:tcBorders>
            <w:shd w:val="clear" w:color="auto" w:fill="auto"/>
            <w:noWrap/>
            <w:vAlign w:val="bottom"/>
            <w:hideMark/>
          </w:tcPr>
          <w:p w14:paraId="16A8258A" w14:textId="5AB024B5" w:rsidR="003D5045" w:rsidRDefault="003D5045">
            <w:pPr>
              <w:jc w:val="right"/>
              <w:rPr>
                <w:rFonts w:ascii="Cambria" w:hAnsi="Cambria" w:cs="Arial"/>
                <w:color w:val="000000"/>
                <w:sz w:val="18"/>
                <w:szCs w:val="18"/>
              </w:rPr>
            </w:pPr>
            <w:r>
              <w:rPr>
                <w:rFonts w:ascii="Cambria" w:hAnsi="Cambria"/>
                <w:color w:val="000000"/>
                <w:sz w:val="18"/>
              </w:rPr>
              <w:t>124 128</w:t>
            </w:r>
          </w:p>
        </w:tc>
      </w:tr>
      <w:tr w:rsidR="003D5045" w14:paraId="60230B43" w14:textId="77777777" w:rsidTr="00717185">
        <w:trPr>
          <w:trHeight w:val="240"/>
        </w:trPr>
        <w:tc>
          <w:tcPr>
            <w:tcW w:w="2739" w:type="pct"/>
            <w:tcBorders>
              <w:top w:val="nil"/>
              <w:left w:val="nil"/>
              <w:bottom w:val="nil"/>
              <w:right w:val="nil"/>
            </w:tcBorders>
            <w:shd w:val="clear" w:color="auto" w:fill="auto"/>
            <w:noWrap/>
            <w:vAlign w:val="bottom"/>
            <w:hideMark/>
          </w:tcPr>
          <w:p w14:paraId="7716CD44" w14:textId="77777777" w:rsidR="003D5045" w:rsidRDefault="003D5045">
            <w:pPr>
              <w:rPr>
                <w:rFonts w:ascii="Cambria" w:hAnsi="Cambria" w:cs="Arial"/>
                <w:color w:val="000000"/>
                <w:sz w:val="18"/>
                <w:szCs w:val="18"/>
              </w:rPr>
            </w:pPr>
            <w:r>
              <w:rPr>
                <w:rFonts w:ascii="Cambria" w:hAnsi="Cambria"/>
                <w:color w:val="000000"/>
                <w:sz w:val="18"/>
              </w:rPr>
              <w:t>Charges d'intérêts</w:t>
            </w:r>
          </w:p>
        </w:tc>
        <w:tc>
          <w:tcPr>
            <w:tcW w:w="851" w:type="pct"/>
            <w:tcBorders>
              <w:top w:val="nil"/>
              <w:left w:val="nil"/>
              <w:bottom w:val="nil"/>
              <w:right w:val="nil"/>
            </w:tcBorders>
            <w:shd w:val="clear" w:color="auto" w:fill="auto"/>
            <w:noWrap/>
            <w:vAlign w:val="bottom"/>
            <w:hideMark/>
          </w:tcPr>
          <w:p w14:paraId="40CDA58F" w14:textId="77777777" w:rsidR="003D5045" w:rsidRDefault="003D5045">
            <w:pPr>
              <w:rPr>
                <w:rFonts w:ascii="Cambria" w:hAnsi="Cambria" w:cs="Arial"/>
                <w:color w:val="000000"/>
                <w:sz w:val="18"/>
                <w:szCs w:val="18"/>
              </w:rPr>
            </w:pPr>
          </w:p>
        </w:tc>
        <w:tc>
          <w:tcPr>
            <w:tcW w:w="583" w:type="pct"/>
            <w:tcBorders>
              <w:top w:val="nil"/>
              <w:left w:val="nil"/>
              <w:bottom w:val="nil"/>
              <w:right w:val="nil"/>
            </w:tcBorders>
            <w:shd w:val="clear" w:color="auto" w:fill="auto"/>
            <w:noWrap/>
            <w:vAlign w:val="bottom"/>
            <w:hideMark/>
          </w:tcPr>
          <w:p w14:paraId="2C554288" w14:textId="77777777" w:rsidR="003D5045" w:rsidRDefault="003D5045">
            <w:pPr>
              <w:rPr>
                <w:sz w:val="20"/>
                <w:szCs w:val="20"/>
              </w:rPr>
            </w:pPr>
          </w:p>
        </w:tc>
        <w:tc>
          <w:tcPr>
            <w:tcW w:w="827" w:type="pct"/>
            <w:tcBorders>
              <w:top w:val="nil"/>
              <w:left w:val="nil"/>
              <w:bottom w:val="nil"/>
              <w:right w:val="nil"/>
            </w:tcBorders>
            <w:shd w:val="clear" w:color="auto" w:fill="auto"/>
            <w:noWrap/>
            <w:vAlign w:val="bottom"/>
            <w:hideMark/>
          </w:tcPr>
          <w:p w14:paraId="5DE61E3E" w14:textId="327D08F3" w:rsidR="003D5045" w:rsidRDefault="0045174E">
            <w:pPr>
              <w:jc w:val="right"/>
              <w:rPr>
                <w:rFonts w:ascii="Cambria" w:hAnsi="Cambria" w:cs="Arial"/>
                <w:color w:val="000000"/>
                <w:sz w:val="18"/>
                <w:szCs w:val="18"/>
              </w:rPr>
            </w:pPr>
            <w:r>
              <w:rPr>
                <w:rFonts w:ascii="Cambria" w:hAnsi="Cambria"/>
                <w:color w:val="000000"/>
                <w:sz w:val="18"/>
              </w:rPr>
              <w:t>1146</w:t>
            </w:r>
          </w:p>
        </w:tc>
      </w:tr>
      <w:tr w:rsidR="003D5045" w14:paraId="2669FBFB" w14:textId="77777777" w:rsidTr="00717185">
        <w:trPr>
          <w:trHeight w:val="240"/>
        </w:trPr>
        <w:tc>
          <w:tcPr>
            <w:tcW w:w="2739" w:type="pct"/>
            <w:tcBorders>
              <w:top w:val="nil"/>
              <w:left w:val="nil"/>
              <w:bottom w:val="nil"/>
              <w:right w:val="nil"/>
            </w:tcBorders>
            <w:shd w:val="clear" w:color="auto" w:fill="auto"/>
            <w:noWrap/>
            <w:vAlign w:val="bottom"/>
            <w:hideMark/>
          </w:tcPr>
          <w:p w14:paraId="3B73E1E8" w14:textId="77777777" w:rsidR="003D5045" w:rsidRDefault="003D5045">
            <w:pPr>
              <w:rPr>
                <w:rFonts w:ascii="Cambria" w:hAnsi="Cambria" w:cs="Arial"/>
                <w:color w:val="000000"/>
                <w:sz w:val="18"/>
                <w:szCs w:val="18"/>
              </w:rPr>
            </w:pPr>
            <w:r>
              <w:rPr>
                <w:rFonts w:ascii="Cambria" w:hAnsi="Cambria"/>
                <w:color w:val="000000"/>
                <w:sz w:val="18"/>
              </w:rPr>
              <w:t>(Profits)/pertes d'actualisation</w:t>
            </w:r>
          </w:p>
        </w:tc>
        <w:tc>
          <w:tcPr>
            <w:tcW w:w="851" w:type="pct"/>
            <w:tcBorders>
              <w:top w:val="nil"/>
              <w:left w:val="nil"/>
              <w:bottom w:val="nil"/>
              <w:right w:val="nil"/>
            </w:tcBorders>
            <w:shd w:val="clear" w:color="auto" w:fill="auto"/>
            <w:noWrap/>
            <w:vAlign w:val="bottom"/>
            <w:hideMark/>
          </w:tcPr>
          <w:p w14:paraId="67AE4F94" w14:textId="77777777" w:rsidR="003D5045" w:rsidRDefault="003D5045">
            <w:pPr>
              <w:rPr>
                <w:rFonts w:ascii="Cambria" w:hAnsi="Cambria" w:cs="Arial"/>
                <w:color w:val="000000"/>
                <w:sz w:val="18"/>
                <w:szCs w:val="18"/>
              </w:rPr>
            </w:pPr>
          </w:p>
        </w:tc>
        <w:tc>
          <w:tcPr>
            <w:tcW w:w="583" w:type="pct"/>
            <w:tcBorders>
              <w:top w:val="nil"/>
              <w:left w:val="nil"/>
              <w:bottom w:val="nil"/>
              <w:right w:val="nil"/>
            </w:tcBorders>
            <w:shd w:val="clear" w:color="auto" w:fill="auto"/>
            <w:noWrap/>
            <w:vAlign w:val="bottom"/>
            <w:hideMark/>
          </w:tcPr>
          <w:p w14:paraId="252FD9DA" w14:textId="77777777" w:rsidR="003D5045" w:rsidRDefault="003D5045">
            <w:pPr>
              <w:rPr>
                <w:sz w:val="20"/>
                <w:szCs w:val="20"/>
              </w:rPr>
            </w:pPr>
          </w:p>
        </w:tc>
        <w:tc>
          <w:tcPr>
            <w:tcW w:w="827" w:type="pct"/>
            <w:tcBorders>
              <w:top w:val="nil"/>
              <w:left w:val="nil"/>
              <w:bottom w:val="nil"/>
              <w:right w:val="nil"/>
            </w:tcBorders>
            <w:shd w:val="clear" w:color="auto" w:fill="auto"/>
            <w:noWrap/>
            <w:vAlign w:val="bottom"/>
            <w:hideMark/>
          </w:tcPr>
          <w:p w14:paraId="37C5480D" w14:textId="77777777" w:rsidR="003D5045" w:rsidRDefault="003D5045">
            <w:pPr>
              <w:jc w:val="right"/>
              <w:rPr>
                <w:rFonts w:ascii="Cambria" w:hAnsi="Cambria" w:cs="Arial"/>
                <w:color w:val="000000"/>
                <w:sz w:val="18"/>
                <w:szCs w:val="18"/>
              </w:rPr>
            </w:pPr>
            <w:r>
              <w:rPr>
                <w:rFonts w:ascii="Cambria" w:hAnsi="Cambria"/>
                <w:color w:val="000000"/>
                <w:sz w:val="18"/>
              </w:rPr>
              <w:t>(4 051)</w:t>
            </w:r>
          </w:p>
        </w:tc>
      </w:tr>
      <w:tr w:rsidR="003D5045" w14:paraId="0678FE35" w14:textId="77777777" w:rsidTr="00717185">
        <w:trPr>
          <w:trHeight w:val="240"/>
        </w:trPr>
        <w:tc>
          <w:tcPr>
            <w:tcW w:w="2739" w:type="pct"/>
            <w:tcBorders>
              <w:top w:val="nil"/>
              <w:left w:val="nil"/>
              <w:bottom w:val="nil"/>
              <w:right w:val="nil"/>
            </w:tcBorders>
            <w:shd w:val="clear" w:color="auto" w:fill="auto"/>
            <w:noWrap/>
            <w:vAlign w:val="bottom"/>
            <w:hideMark/>
          </w:tcPr>
          <w:p w14:paraId="4AF49D2E" w14:textId="77777777" w:rsidR="003D5045" w:rsidRDefault="003D5045">
            <w:pPr>
              <w:rPr>
                <w:rFonts w:ascii="Cambria" w:hAnsi="Cambria" w:cs="Arial"/>
                <w:color w:val="000000"/>
                <w:sz w:val="18"/>
                <w:szCs w:val="18"/>
              </w:rPr>
            </w:pPr>
            <w:r>
              <w:rPr>
                <w:rFonts w:ascii="Cambria" w:hAnsi="Cambria"/>
                <w:color w:val="000000"/>
                <w:sz w:val="18"/>
              </w:rPr>
              <w:t>Utilisations</w:t>
            </w:r>
          </w:p>
        </w:tc>
        <w:tc>
          <w:tcPr>
            <w:tcW w:w="851" w:type="pct"/>
            <w:tcBorders>
              <w:top w:val="nil"/>
              <w:left w:val="nil"/>
              <w:bottom w:val="nil"/>
              <w:right w:val="nil"/>
            </w:tcBorders>
            <w:shd w:val="clear" w:color="auto" w:fill="auto"/>
            <w:noWrap/>
            <w:vAlign w:val="bottom"/>
            <w:hideMark/>
          </w:tcPr>
          <w:p w14:paraId="253ED51D" w14:textId="77777777" w:rsidR="003D5045" w:rsidRDefault="003D5045">
            <w:pPr>
              <w:rPr>
                <w:rFonts w:ascii="Cambria" w:hAnsi="Cambria" w:cs="Arial"/>
                <w:color w:val="000000"/>
                <w:sz w:val="18"/>
                <w:szCs w:val="18"/>
              </w:rPr>
            </w:pPr>
          </w:p>
        </w:tc>
        <w:tc>
          <w:tcPr>
            <w:tcW w:w="583" w:type="pct"/>
            <w:tcBorders>
              <w:top w:val="nil"/>
              <w:left w:val="nil"/>
              <w:bottom w:val="nil"/>
              <w:right w:val="nil"/>
            </w:tcBorders>
            <w:shd w:val="clear" w:color="auto" w:fill="auto"/>
            <w:noWrap/>
            <w:vAlign w:val="bottom"/>
            <w:hideMark/>
          </w:tcPr>
          <w:p w14:paraId="7682867C" w14:textId="77777777" w:rsidR="003D5045" w:rsidRDefault="003D5045">
            <w:pPr>
              <w:rPr>
                <w:sz w:val="20"/>
                <w:szCs w:val="20"/>
              </w:rPr>
            </w:pPr>
          </w:p>
        </w:tc>
        <w:tc>
          <w:tcPr>
            <w:tcW w:w="827" w:type="pct"/>
            <w:tcBorders>
              <w:top w:val="nil"/>
              <w:left w:val="nil"/>
              <w:bottom w:val="nil"/>
              <w:right w:val="nil"/>
            </w:tcBorders>
            <w:shd w:val="clear" w:color="auto" w:fill="auto"/>
            <w:noWrap/>
            <w:vAlign w:val="bottom"/>
            <w:hideMark/>
          </w:tcPr>
          <w:p w14:paraId="086E31CB" w14:textId="01CD19EA" w:rsidR="003D5045" w:rsidRDefault="003D5045">
            <w:pPr>
              <w:jc w:val="right"/>
              <w:rPr>
                <w:rFonts w:ascii="Cambria" w:hAnsi="Cambria" w:cs="Arial"/>
                <w:color w:val="000000"/>
                <w:sz w:val="18"/>
                <w:szCs w:val="18"/>
              </w:rPr>
            </w:pPr>
            <w:r>
              <w:rPr>
                <w:rFonts w:ascii="Cambria" w:hAnsi="Cambria"/>
                <w:color w:val="000000"/>
                <w:sz w:val="18"/>
              </w:rPr>
              <w:t>(36 194)</w:t>
            </w:r>
          </w:p>
        </w:tc>
      </w:tr>
      <w:tr w:rsidR="003D5045" w14:paraId="10653B53" w14:textId="77777777" w:rsidTr="00717185">
        <w:trPr>
          <w:trHeight w:val="255"/>
        </w:trPr>
        <w:tc>
          <w:tcPr>
            <w:tcW w:w="2739" w:type="pct"/>
            <w:tcBorders>
              <w:top w:val="nil"/>
              <w:left w:val="nil"/>
              <w:bottom w:val="nil"/>
              <w:right w:val="nil"/>
            </w:tcBorders>
            <w:shd w:val="clear" w:color="auto" w:fill="auto"/>
            <w:noWrap/>
            <w:vAlign w:val="bottom"/>
            <w:hideMark/>
          </w:tcPr>
          <w:p w14:paraId="6ABCF957" w14:textId="77777777" w:rsidR="003D5045" w:rsidRDefault="003D5045">
            <w:pPr>
              <w:rPr>
                <w:rFonts w:ascii="Cambria" w:hAnsi="Cambria" w:cs="Arial"/>
                <w:b/>
                <w:bCs/>
                <w:color w:val="000000"/>
                <w:sz w:val="18"/>
                <w:szCs w:val="18"/>
              </w:rPr>
            </w:pPr>
            <w:r>
              <w:rPr>
                <w:rFonts w:ascii="Cambria" w:hAnsi="Cambria"/>
                <w:b/>
                <w:color w:val="000000"/>
                <w:sz w:val="18"/>
              </w:rPr>
              <w:t>Bilan au 30 juin 2021</w:t>
            </w:r>
          </w:p>
        </w:tc>
        <w:tc>
          <w:tcPr>
            <w:tcW w:w="851" w:type="pct"/>
            <w:tcBorders>
              <w:top w:val="nil"/>
              <w:left w:val="nil"/>
              <w:bottom w:val="nil"/>
              <w:right w:val="nil"/>
            </w:tcBorders>
            <w:shd w:val="clear" w:color="auto" w:fill="auto"/>
            <w:noWrap/>
            <w:vAlign w:val="bottom"/>
            <w:hideMark/>
          </w:tcPr>
          <w:p w14:paraId="6EB66062" w14:textId="77777777" w:rsidR="003D5045" w:rsidRDefault="003D5045">
            <w:pPr>
              <w:rPr>
                <w:rFonts w:ascii="Cambria" w:hAnsi="Cambria" w:cs="Arial"/>
                <w:b/>
                <w:bCs/>
                <w:color w:val="000000"/>
                <w:sz w:val="18"/>
                <w:szCs w:val="18"/>
              </w:rPr>
            </w:pPr>
          </w:p>
        </w:tc>
        <w:tc>
          <w:tcPr>
            <w:tcW w:w="583" w:type="pct"/>
            <w:tcBorders>
              <w:top w:val="nil"/>
              <w:left w:val="nil"/>
              <w:bottom w:val="nil"/>
              <w:right w:val="nil"/>
            </w:tcBorders>
            <w:shd w:val="clear" w:color="auto" w:fill="auto"/>
            <w:noWrap/>
            <w:vAlign w:val="bottom"/>
            <w:hideMark/>
          </w:tcPr>
          <w:p w14:paraId="659C9160" w14:textId="77777777" w:rsidR="003D5045" w:rsidRDefault="003D5045">
            <w:pPr>
              <w:rPr>
                <w:sz w:val="20"/>
                <w:szCs w:val="20"/>
              </w:rPr>
            </w:pPr>
          </w:p>
        </w:tc>
        <w:tc>
          <w:tcPr>
            <w:tcW w:w="827" w:type="pct"/>
            <w:tcBorders>
              <w:top w:val="single" w:sz="4" w:space="0" w:color="auto"/>
              <w:left w:val="nil"/>
              <w:bottom w:val="single" w:sz="8" w:space="0" w:color="auto"/>
              <w:right w:val="nil"/>
            </w:tcBorders>
            <w:shd w:val="clear" w:color="auto" w:fill="auto"/>
            <w:noWrap/>
            <w:vAlign w:val="bottom"/>
            <w:hideMark/>
          </w:tcPr>
          <w:p w14:paraId="428200CB" w14:textId="77777777" w:rsidR="003D5045" w:rsidRDefault="003D5045">
            <w:pPr>
              <w:jc w:val="right"/>
              <w:rPr>
                <w:rFonts w:ascii="Cambria" w:hAnsi="Cambria" w:cs="Arial"/>
                <w:b/>
                <w:bCs/>
                <w:color w:val="000000"/>
                <w:sz w:val="18"/>
                <w:szCs w:val="18"/>
              </w:rPr>
            </w:pPr>
            <w:r>
              <w:rPr>
                <w:rFonts w:ascii="Cambria" w:hAnsi="Cambria"/>
                <w:b/>
                <w:color w:val="000000"/>
                <w:sz w:val="18"/>
              </w:rPr>
              <w:t>777 176</w:t>
            </w:r>
          </w:p>
        </w:tc>
      </w:tr>
    </w:tbl>
    <w:p w14:paraId="0A90A369" w14:textId="77777777" w:rsidR="003D5045" w:rsidRDefault="003D5045" w:rsidP="00E16D12">
      <w:pPr>
        <w:spacing w:after="200" w:line="276" w:lineRule="auto"/>
        <w:jc w:val="both"/>
        <w:rPr>
          <w:rFonts w:ascii="Cambria" w:hAnsi="Cambria"/>
          <w:sz w:val="22"/>
          <w:szCs w:val="22"/>
        </w:rPr>
      </w:pPr>
    </w:p>
    <w:p w14:paraId="46CE5707" w14:textId="27C34DE9" w:rsidR="00E16D12" w:rsidRPr="00C17031" w:rsidRDefault="00264086" w:rsidP="00454EE7">
      <w:pPr>
        <w:spacing w:line="276" w:lineRule="auto"/>
        <w:jc w:val="both"/>
        <w:rPr>
          <w:rFonts w:ascii="Cambria" w:hAnsi="Cambria"/>
          <w:sz w:val="22"/>
          <w:szCs w:val="22"/>
        </w:rPr>
      </w:pPr>
      <w:r>
        <w:rPr>
          <w:rFonts w:ascii="Cambria" w:hAnsi="Cambria"/>
          <w:sz w:val="22"/>
        </w:rPr>
        <w:lastRenderedPageBreak/>
        <w:t>Ce poste fait référence à l'indemnité de départ (« TFR ») accumulée par rapport aux employés.</w:t>
      </w:r>
    </w:p>
    <w:p w14:paraId="74ED7638" w14:textId="77777777" w:rsidR="00E16D12" w:rsidRPr="00C17031" w:rsidRDefault="00E16D12" w:rsidP="00454EE7">
      <w:pPr>
        <w:spacing w:line="276" w:lineRule="auto"/>
        <w:jc w:val="both"/>
        <w:rPr>
          <w:rFonts w:ascii="Cambria" w:hAnsi="Cambria"/>
          <w:sz w:val="22"/>
          <w:szCs w:val="22"/>
        </w:rPr>
      </w:pPr>
      <w:r>
        <w:rPr>
          <w:rFonts w:ascii="Cambria" w:hAnsi="Cambria"/>
          <w:sz w:val="22"/>
        </w:rPr>
        <w:t>L'évaluation actuarielle de l'indemnité de départ des employés est effectuée sur la base de la méthode des « avantages acquis » en utilisant la méthode des unités de crédit projetées, comme l'exige la norme IAS 19. Cette méthodologie se traduit par des évaluations qui expriment la valeur actuelle moyenne des obligations de pension accumulées sur la base du service que le travailleur a fourni jusqu'au moment où l'évaluation elle-même est effectuée, sans projeter les salaires du travailleur en fonction des changements réglementaires introduits par la récente réforme de la sécurité sociale. La méthodologie de calcul peut être résumée dans les phases suivantes :</w:t>
      </w:r>
    </w:p>
    <w:p w14:paraId="54DD288C" w14:textId="77777777" w:rsidR="00E16D12" w:rsidRPr="00C17031" w:rsidRDefault="00E16D12" w:rsidP="00454EE7">
      <w:pPr>
        <w:pStyle w:val="Paragrafoelenco"/>
        <w:numPr>
          <w:ilvl w:val="0"/>
          <w:numId w:val="2"/>
        </w:numPr>
        <w:spacing w:line="276" w:lineRule="auto"/>
        <w:ind w:left="284" w:hanging="284"/>
        <w:jc w:val="both"/>
        <w:rPr>
          <w:rFonts w:ascii="Cambria" w:hAnsi="Cambria"/>
          <w:sz w:val="22"/>
          <w:szCs w:val="22"/>
        </w:rPr>
      </w:pPr>
      <w:proofErr w:type="gramStart"/>
      <w:r>
        <w:rPr>
          <w:rFonts w:ascii="Cambria" w:hAnsi="Cambria"/>
          <w:sz w:val="22"/>
        </w:rPr>
        <w:t>projection</w:t>
      </w:r>
      <w:proofErr w:type="gramEnd"/>
      <w:r>
        <w:rPr>
          <w:rFonts w:ascii="Cambria" w:hAnsi="Cambria"/>
          <w:sz w:val="22"/>
        </w:rPr>
        <w:t xml:space="preserve"> pour chaque employé en vigueur à la date de l'évaluation, de l'indemnité de licenciement déjà provisionnée jusqu'à la période de paiement aléatoire ;</w:t>
      </w:r>
    </w:p>
    <w:p w14:paraId="43695368" w14:textId="28B5E918" w:rsidR="00E16D12" w:rsidRPr="00C17031" w:rsidRDefault="00E16D12" w:rsidP="00454EE7">
      <w:pPr>
        <w:pStyle w:val="Paragrafoelenco"/>
        <w:numPr>
          <w:ilvl w:val="0"/>
          <w:numId w:val="2"/>
        </w:numPr>
        <w:spacing w:line="276" w:lineRule="auto"/>
        <w:ind w:left="284" w:hanging="284"/>
        <w:jc w:val="both"/>
        <w:rPr>
          <w:rFonts w:ascii="Cambria" w:hAnsi="Cambria"/>
          <w:sz w:val="22"/>
          <w:szCs w:val="22"/>
        </w:rPr>
      </w:pPr>
      <w:proofErr w:type="gramStart"/>
      <w:r>
        <w:rPr>
          <w:rFonts w:ascii="Cambria" w:hAnsi="Cambria"/>
          <w:sz w:val="22"/>
        </w:rPr>
        <w:t>détermination</w:t>
      </w:r>
      <w:proofErr w:type="gramEnd"/>
      <w:r>
        <w:rPr>
          <w:rFonts w:ascii="Cambria" w:hAnsi="Cambria"/>
          <w:sz w:val="22"/>
        </w:rPr>
        <w:t xml:space="preserve"> pour chaque salarié des indemnités de départ probables à verser par les sociétés du Groupe en cas de départ du salarié pour cause de licenciement, démission, incapacité, décès et retraite ainsi qu'en cas de demande d'avances ;</w:t>
      </w:r>
    </w:p>
    <w:p w14:paraId="3AB1A0BC" w14:textId="77777777" w:rsidR="00E16D12" w:rsidRPr="00C17031" w:rsidRDefault="00E16D12" w:rsidP="00454EE7">
      <w:pPr>
        <w:pStyle w:val="Paragrafoelenco"/>
        <w:numPr>
          <w:ilvl w:val="0"/>
          <w:numId w:val="2"/>
        </w:numPr>
        <w:spacing w:line="276" w:lineRule="auto"/>
        <w:ind w:left="284" w:hanging="284"/>
        <w:jc w:val="both"/>
        <w:rPr>
          <w:rFonts w:ascii="Cambria" w:hAnsi="Cambria"/>
          <w:sz w:val="22"/>
          <w:szCs w:val="22"/>
        </w:rPr>
      </w:pPr>
      <w:proofErr w:type="gramStart"/>
      <w:r>
        <w:rPr>
          <w:rFonts w:ascii="Cambria" w:hAnsi="Cambria"/>
          <w:sz w:val="22"/>
        </w:rPr>
        <w:t>l'actualisation</w:t>
      </w:r>
      <w:proofErr w:type="gramEnd"/>
      <w:r>
        <w:rPr>
          <w:rFonts w:ascii="Cambria" w:hAnsi="Cambria"/>
          <w:sz w:val="22"/>
        </w:rPr>
        <w:t>, à la date de l'évaluation, de chaque paiement probable.</w:t>
      </w:r>
    </w:p>
    <w:p w14:paraId="4B7031F9" w14:textId="77777777" w:rsidR="00E16D12" w:rsidRPr="00DB2DF6" w:rsidRDefault="00E16D12" w:rsidP="00454EE7">
      <w:pPr>
        <w:spacing w:line="276" w:lineRule="auto"/>
        <w:jc w:val="both"/>
        <w:rPr>
          <w:rFonts w:ascii="Cambria" w:hAnsi="Cambria"/>
          <w:sz w:val="22"/>
          <w:szCs w:val="22"/>
        </w:rPr>
      </w:pPr>
      <w:r>
        <w:rPr>
          <w:rFonts w:ascii="Cambria" w:hAnsi="Cambria"/>
          <w:sz w:val="22"/>
        </w:rPr>
        <w:t>Le modèle actuariel pour l'évaluation de l'indemnité de départ est basé sur diverses hypothèses, tant de type démographique qu'économico-financier. Les principales hypothèses du modèle sont les suivantes :</w:t>
      </w:r>
    </w:p>
    <w:p w14:paraId="2A3A09F4" w14:textId="77777777" w:rsidR="00E16D12" w:rsidRPr="00DB2DF6" w:rsidRDefault="00297453" w:rsidP="00454EE7">
      <w:pPr>
        <w:pStyle w:val="Paragrafoelenco"/>
        <w:numPr>
          <w:ilvl w:val="0"/>
          <w:numId w:val="2"/>
        </w:numPr>
        <w:spacing w:line="276" w:lineRule="auto"/>
        <w:ind w:left="284" w:hanging="284"/>
        <w:jc w:val="both"/>
        <w:rPr>
          <w:rFonts w:ascii="Cambria" w:hAnsi="Cambria"/>
          <w:sz w:val="22"/>
          <w:szCs w:val="22"/>
        </w:rPr>
      </w:pPr>
      <w:proofErr w:type="gramStart"/>
      <w:r>
        <w:rPr>
          <w:rFonts w:ascii="Cambria" w:hAnsi="Cambria"/>
          <w:sz w:val="22"/>
        </w:rPr>
        <w:t>décès</w:t>
      </w:r>
      <w:proofErr w:type="gramEnd"/>
      <w:r>
        <w:rPr>
          <w:rFonts w:ascii="Cambria" w:hAnsi="Cambria"/>
          <w:sz w:val="22"/>
        </w:rPr>
        <w:t> : Tables de mortalité RG48 publiées par la Comptabilité Générale de l'État italien ;</w:t>
      </w:r>
    </w:p>
    <w:p w14:paraId="0F9CB015" w14:textId="77777777" w:rsidR="00297453" w:rsidRPr="00DB2DF6" w:rsidRDefault="00297453" w:rsidP="00454EE7">
      <w:pPr>
        <w:pStyle w:val="Paragrafoelenco"/>
        <w:numPr>
          <w:ilvl w:val="0"/>
          <w:numId w:val="2"/>
        </w:numPr>
        <w:spacing w:line="276" w:lineRule="auto"/>
        <w:ind w:left="284" w:hanging="284"/>
        <w:jc w:val="both"/>
        <w:rPr>
          <w:rFonts w:ascii="Cambria" w:hAnsi="Cambria"/>
          <w:sz w:val="22"/>
          <w:szCs w:val="22"/>
        </w:rPr>
      </w:pPr>
      <w:proofErr w:type="gramStart"/>
      <w:r>
        <w:rPr>
          <w:rFonts w:ascii="Cambria" w:hAnsi="Cambria"/>
          <w:sz w:val="22"/>
        </w:rPr>
        <w:t>invalidité</w:t>
      </w:r>
      <w:proofErr w:type="gramEnd"/>
      <w:r>
        <w:rPr>
          <w:rFonts w:ascii="Cambria" w:hAnsi="Cambria"/>
          <w:sz w:val="22"/>
        </w:rPr>
        <w:t xml:space="preserve"> : tables INPS ventilés par âge et par sexe ;</w:t>
      </w:r>
    </w:p>
    <w:p w14:paraId="091BD253" w14:textId="77777777" w:rsidR="00297453" w:rsidRPr="00DB2DF6" w:rsidRDefault="00297453" w:rsidP="00454EE7">
      <w:pPr>
        <w:pStyle w:val="Paragrafoelenco"/>
        <w:numPr>
          <w:ilvl w:val="0"/>
          <w:numId w:val="2"/>
        </w:numPr>
        <w:spacing w:line="276" w:lineRule="auto"/>
        <w:ind w:left="284" w:hanging="284"/>
        <w:jc w:val="both"/>
        <w:rPr>
          <w:rFonts w:ascii="Cambria" w:hAnsi="Cambria"/>
          <w:sz w:val="22"/>
          <w:szCs w:val="22"/>
        </w:rPr>
      </w:pPr>
      <w:proofErr w:type="gramStart"/>
      <w:r>
        <w:rPr>
          <w:rFonts w:ascii="Cambria" w:hAnsi="Cambria"/>
          <w:sz w:val="22"/>
        </w:rPr>
        <w:t>retraite</w:t>
      </w:r>
      <w:proofErr w:type="gramEnd"/>
      <w:r>
        <w:rPr>
          <w:rFonts w:ascii="Cambria" w:hAnsi="Cambria"/>
          <w:sz w:val="22"/>
        </w:rPr>
        <w:t xml:space="preserve"> : 100% en atteignant les conditions requises par l'AGO (assurance générale obligatoire), conformément au décret-loi n° 4/2019 ;</w:t>
      </w:r>
    </w:p>
    <w:p w14:paraId="0B607294" w14:textId="77777777" w:rsidR="00E16D12" w:rsidRPr="00DB2DF6" w:rsidRDefault="000C5572" w:rsidP="00454EE7">
      <w:pPr>
        <w:pStyle w:val="Paragrafoelenco"/>
        <w:numPr>
          <w:ilvl w:val="0"/>
          <w:numId w:val="2"/>
        </w:numPr>
        <w:spacing w:line="276" w:lineRule="auto"/>
        <w:ind w:left="284" w:hanging="284"/>
        <w:jc w:val="both"/>
        <w:rPr>
          <w:rFonts w:ascii="Cambria" w:hAnsi="Cambria"/>
          <w:sz w:val="22"/>
          <w:szCs w:val="22"/>
        </w:rPr>
      </w:pPr>
      <w:proofErr w:type="gramStart"/>
      <w:r>
        <w:rPr>
          <w:rFonts w:ascii="Cambria" w:hAnsi="Cambria"/>
          <w:sz w:val="22"/>
        </w:rPr>
        <w:t>fréquence</w:t>
      </w:r>
      <w:proofErr w:type="gramEnd"/>
      <w:r>
        <w:rPr>
          <w:rFonts w:ascii="Cambria" w:hAnsi="Cambria"/>
          <w:sz w:val="22"/>
        </w:rPr>
        <w:t xml:space="preserve"> de rotation : 8% ;</w:t>
      </w:r>
    </w:p>
    <w:p w14:paraId="0E1842A1" w14:textId="77777777" w:rsidR="00E16D12" w:rsidRPr="00DB2DF6" w:rsidRDefault="000C5572" w:rsidP="00454EE7">
      <w:pPr>
        <w:pStyle w:val="Paragrafoelenco"/>
        <w:numPr>
          <w:ilvl w:val="0"/>
          <w:numId w:val="2"/>
        </w:numPr>
        <w:spacing w:line="276" w:lineRule="auto"/>
        <w:ind w:left="284" w:hanging="284"/>
        <w:jc w:val="both"/>
        <w:rPr>
          <w:rFonts w:ascii="Cambria" w:hAnsi="Cambria"/>
          <w:sz w:val="22"/>
          <w:szCs w:val="22"/>
        </w:rPr>
      </w:pPr>
      <w:proofErr w:type="gramStart"/>
      <w:r>
        <w:rPr>
          <w:rFonts w:ascii="Cambria" w:hAnsi="Cambria"/>
          <w:sz w:val="22"/>
        </w:rPr>
        <w:t>fréquence</w:t>
      </w:r>
      <w:proofErr w:type="gramEnd"/>
      <w:r>
        <w:rPr>
          <w:rFonts w:ascii="Cambria" w:hAnsi="Cambria"/>
          <w:sz w:val="22"/>
        </w:rPr>
        <w:t xml:space="preserve"> des avances : 1,00% ;</w:t>
      </w:r>
    </w:p>
    <w:p w14:paraId="53C0CA11" w14:textId="6CA196BB" w:rsidR="00E16D12" w:rsidRPr="00DB2DF6" w:rsidRDefault="000C5572" w:rsidP="00454EE7">
      <w:pPr>
        <w:pStyle w:val="Paragrafoelenco"/>
        <w:numPr>
          <w:ilvl w:val="0"/>
          <w:numId w:val="2"/>
        </w:numPr>
        <w:spacing w:line="276" w:lineRule="auto"/>
        <w:ind w:left="284" w:hanging="284"/>
        <w:jc w:val="both"/>
        <w:rPr>
          <w:rFonts w:ascii="Cambria" w:hAnsi="Cambria"/>
          <w:sz w:val="22"/>
          <w:szCs w:val="22"/>
        </w:rPr>
      </w:pPr>
      <w:proofErr w:type="gramStart"/>
      <w:r>
        <w:rPr>
          <w:rFonts w:ascii="Cambria" w:hAnsi="Cambria"/>
          <w:sz w:val="22"/>
        </w:rPr>
        <w:t>taux</w:t>
      </w:r>
      <w:proofErr w:type="gramEnd"/>
      <w:r>
        <w:rPr>
          <w:rFonts w:ascii="Cambria" w:hAnsi="Cambria"/>
          <w:sz w:val="22"/>
        </w:rPr>
        <w:t xml:space="preserve"> d'augmentation annuel de l'indemnité de licenciement : 2,10% ;</w:t>
      </w:r>
    </w:p>
    <w:p w14:paraId="2614D521" w14:textId="1353CB67" w:rsidR="00E16D12" w:rsidRPr="00DB2DF6" w:rsidRDefault="00E16D12" w:rsidP="00454EE7">
      <w:pPr>
        <w:pStyle w:val="Paragrafoelenco"/>
        <w:numPr>
          <w:ilvl w:val="0"/>
          <w:numId w:val="2"/>
        </w:numPr>
        <w:spacing w:line="276" w:lineRule="auto"/>
        <w:ind w:left="284" w:hanging="284"/>
        <w:jc w:val="both"/>
        <w:rPr>
          <w:rFonts w:ascii="Cambria" w:hAnsi="Cambria"/>
          <w:sz w:val="22"/>
          <w:szCs w:val="22"/>
        </w:rPr>
      </w:pPr>
      <w:proofErr w:type="gramStart"/>
      <w:r>
        <w:rPr>
          <w:rFonts w:ascii="Cambria" w:hAnsi="Cambria"/>
          <w:sz w:val="22"/>
        </w:rPr>
        <w:t>taux</w:t>
      </w:r>
      <w:proofErr w:type="gramEnd"/>
      <w:r>
        <w:rPr>
          <w:rFonts w:ascii="Cambria" w:hAnsi="Cambria"/>
          <w:sz w:val="22"/>
        </w:rPr>
        <w:t xml:space="preserve"> d'inflation : 0,8% ;</w:t>
      </w:r>
    </w:p>
    <w:p w14:paraId="08411C7F" w14:textId="7D0DE83B" w:rsidR="00E16D12" w:rsidRDefault="00E16D12" w:rsidP="00454EE7">
      <w:pPr>
        <w:pStyle w:val="Paragrafoelenco"/>
        <w:numPr>
          <w:ilvl w:val="0"/>
          <w:numId w:val="2"/>
        </w:numPr>
        <w:spacing w:line="276" w:lineRule="auto"/>
        <w:ind w:left="284" w:hanging="284"/>
        <w:jc w:val="both"/>
        <w:rPr>
          <w:rFonts w:ascii="Cambria" w:hAnsi="Cambria"/>
          <w:sz w:val="22"/>
          <w:szCs w:val="22"/>
        </w:rPr>
      </w:pPr>
      <w:proofErr w:type="gramStart"/>
      <w:r>
        <w:rPr>
          <w:rFonts w:ascii="Cambria" w:hAnsi="Cambria"/>
          <w:sz w:val="22"/>
        </w:rPr>
        <w:t>taux</w:t>
      </w:r>
      <w:proofErr w:type="gramEnd"/>
      <w:r>
        <w:rPr>
          <w:rFonts w:ascii="Cambria" w:hAnsi="Cambria"/>
          <w:sz w:val="22"/>
        </w:rPr>
        <w:t xml:space="preserve"> d'actualisation : 0,79% ;</w:t>
      </w:r>
    </w:p>
    <w:p w14:paraId="1993185F" w14:textId="26D24B5B" w:rsidR="00DB2DF6" w:rsidRPr="00DB2DF6" w:rsidRDefault="00DB2DF6" w:rsidP="00454EE7">
      <w:pPr>
        <w:pStyle w:val="Paragrafoelenco"/>
        <w:numPr>
          <w:ilvl w:val="0"/>
          <w:numId w:val="2"/>
        </w:numPr>
        <w:spacing w:line="276" w:lineRule="auto"/>
        <w:ind w:left="284" w:hanging="284"/>
        <w:jc w:val="both"/>
        <w:rPr>
          <w:rFonts w:ascii="Cambria" w:hAnsi="Cambria"/>
          <w:sz w:val="22"/>
          <w:szCs w:val="22"/>
        </w:rPr>
      </w:pPr>
      <w:proofErr w:type="gramStart"/>
      <w:r>
        <w:rPr>
          <w:rFonts w:ascii="Cambria" w:hAnsi="Cambria"/>
          <w:sz w:val="22"/>
        </w:rPr>
        <w:t>taux</w:t>
      </w:r>
      <w:proofErr w:type="gramEnd"/>
      <w:r>
        <w:rPr>
          <w:rFonts w:ascii="Cambria" w:hAnsi="Cambria"/>
          <w:sz w:val="22"/>
        </w:rPr>
        <w:t xml:space="preserve"> d'augmentation des salaires : 0,50%.</w:t>
      </w:r>
    </w:p>
    <w:p w14:paraId="44EEEEE1" w14:textId="72ECA859" w:rsidR="00E16D12" w:rsidRDefault="00E16D12" w:rsidP="00454EE7">
      <w:pPr>
        <w:spacing w:line="276" w:lineRule="auto"/>
        <w:jc w:val="both"/>
        <w:rPr>
          <w:rFonts w:ascii="Cambria" w:hAnsi="Cambria"/>
          <w:sz w:val="22"/>
          <w:szCs w:val="22"/>
        </w:rPr>
      </w:pPr>
      <w:r>
        <w:rPr>
          <w:rFonts w:ascii="Cambria" w:hAnsi="Cambria"/>
          <w:sz w:val="22"/>
        </w:rPr>
        <w:t xml:space="preserve">Le tableau suivant montre les effets qui auraient résulté pour l'obligation de prestations définies </w:t>
      </w:r>
      <w:proofErr w:type="gramStart"/>
      <w:r>
        <w:rPr>
          <w:rFonts w:ascii="Cambria" w:hAnsi="Cambria"/>
          <w:sz w:val="22"/>
        </w:rPr>
        <w:t>suite à</w:t>
      </w:r>
      <w:proofErr w:type="gramEnd"/>
      <w:r>
        <w:rPr>
          <w:rFonts w:ascii="Cambria" w:hAnsi="Cambria"/>
          <w:sz w:val="22"/>
        </w:rPr>
        <w:t xml:space="preserve"> la modification du taux d'actualisation :</w:t>
      </w:r>
    </w:p>
    <w:tbl>
      <w:tblPr>
        <w:tblW w:w="7132" w:type="dxa"/>
        <w:tblCellMar>
          <w:left w:w="70" w:type="dxa"/>
          <w:right w:w="70" w:type="dxa"/>
        </w:tblCellMar>
        <w:tblLook w:val="04A0" w:firstRow="1" w:lastRow="0" w:firstColumn="1" w:lastColumn="0" w:noHBand="0" w:noVBand="1"/>
      </w:tblPr>
      <w:tblGrid>
        <w:gridCol w:w="4700"/>
        <w:gridCol w:w="1013"/>
        <w:gridCol w:w="1420"/>
      </w:tblGrid>
      <w:tr w:rsidR="00E445AC" w14:paraId="6111971F" w14:textId="77777777" w:rsidTr="00454EE7">
        <w:trPr>
          <w:trHeight w:val="403"/>
        </w:trPr>
        <w:tc>
          <w:tcPr>
            <w:tcW w:w="4700" w:type="dxa"/>
            <w:tcBorders>
              <w:top w:val="single" w:sz="4" w:space="0" w:color="0070C0"/>
              <w:left w:val="nil"/>
              <w:bottom w:val="single" w:sz="8" w:space="0" w:color="0070C0"/>
              <w:right w:val="nil"/>
            </w:tcBorders>
            <w:shd w:val="clear" w:color="auto" w:fill="auto"/>
            <w:noWrap/>
            <w:vAlign w:val="bottom"/>
            <w:hideMark/>
          </w:tcPr>
          <w:p w14:paraId="24ABE83A" w14:textId="77777777" w:rsidR="00E445AC" w:rsidRDefault="00E445AC" w:rsidP="00454EE7">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012" w:type="dxa"/>
            <w:tcBorders>
              <w:top w:val="single" w:sz="4" w:space="0" w:color="0070C0"/>
              <w:left w:val="nil"/>
              <w:bottom w:val="single" w:sz="8" w:space="0" w:color="0070C0"/>
              <w:right w:val="nil"/>
            </w:tcBorders>
            <w:shd w:val="clear" w:color="auto" w:fill="auto"/>
            <w:noWrap/>
            <w:vAlign w:val="bottom"/>
            <w:hideMark/>
          </w:tcPr>
          <w:p w14:paraId="71F8CEA3" w14:textId="77777777" w:rsidR="00E445AC" w:rsidRDefault="00E445AC" w:rsidP="00454EE7">
            <w:pPr>
              <w:rPr>
                <w:rFonts w:ascii="Cambria" w:hAnsi="Cambria" w:cs="Arial"/>
                <w:b/>
                <w:bCs/>
                <w:color w:val="000000"/>
                <w:sz w:val="18"/>
                <w:szCs w:val="18"/>
              </w:rPr>
            </w:pPr>
            <w:r>
              <w:rPr>
                <w:rFonts w:ascii="Cambria" w:hAnsi="Cambria"/>
                <w:b/>
                <w:color w:val="000000"/>
                <w:sz w:val="18"/>
              </w:rPr>
              <w:t>Sensibilité</w:t>
            </w:r>
          </w:p>
        </w:tc>
        <w:tc>
          <w:tcPr>
            <w:tcW w:w="1420" w:type="dxa"/>
            <w:tcBorders>
              <w:top w:val="single" w:sz="4" w:space="0" w:color="0070C0"/>
              <w:left w:val="nil"/>
              <w:bottom w:val="single" w:sz="8" w:space="0" w:color="0070C0"/>
              <w:right w:val="nil"/>
            </w:tcBorders>
            <w:shd w:val="clear" w:color="auto" w:fill="auto"/>
            <w:vAlign w:val="bottom"/>
            <w:hideMark/>
          </w:tcPr>
          <w:p w14:paraId="711C2DAF" w14:textId="77777777" w:rsidR="00E445AC" w:rsidRDefault="00E445AC" w:rsidP="00454EE7">
            <w:pPr>
              <w:jc w:val="center"/>
              <w:rPr>
                <w:rFonts w:ascii="Cambria" w:hAnsi="Cambria" w:cs="Arial"/>
                <w:b/>
                <w:bCs/>
                <w:color w:val="000000"/>
                <w:sz w:val="18"/>
                <w:szCs w:val="18"/>
              </w:rPr>
            </w:pPr>
            <w:r>
              <w:rPr>
                <w:rFonts w:ascii="Cambria" w:hAnsi="Cambria"/>
                <w:b/>
                <w:color w:val="000000"/>
                <w:sz w:val="18"/>
              </w:rPr>
              <w:t>Nouvelle indemnité de départ</w:t>
            </w:r>
          </w:p>
        </w:tc>
      </w:tr>
      <w:tr w:rsidR="00E445AC" w14:paraId="59D84FC4" w14:textId="77777777" w:rsidTr="00E445AC">
        <w:trPr>
          <w:trHeight w:val="240"/>
        </w:trPr>
        <w:tc>
          <w:tcPr>
            <w:tcW w:w="4700" w:type="dxa"/>
            <w:vMerge w:val="restart"/>
            <w:tcBorders>
              <w:top w:val="nil"/>
              <w:left w:val="nil"/>
              <w:bottom w:val="nil"/>
              <w:right w:val="nil"/>
            </w:tcBorders>
            <w:shd w:val="clear" w:color="auto" w:fill="auto"/>
            <w:noWrap/>
            <w:vAlign w:val="center"/>
            <w:hideMark/>
          </w:tcPr>
          <w:p w14:paraId="7ADF6689" w14:textId="77777777" w:rsidR="00E445AC" w:rsidRDefault="00E445AC" w:rsidP="00454EE7">
            <w:pPr>
              <w:rPr>
                <w:rFonts w:ascii="Cambria" w:hAnsi="Cambria" w:cs="Arial"/>
                <w:color w:val="000000"/>
                <w:sz w:val="18"/>
                <w:szCs w:val="18"/>
              </w:rPr>
            </w:pPr>
            <w:r>
              <w:rPr>
                <w:rFonts w:ascii="Cambria" w:hAnsi="Cambria"/>
                <w:color w:val="000000"/>
                <w:sz w:val="18"/>
              </w:rPr>
              <w:t xml:space="preserve"> Taux d’actualisation </w:t>
            </w:r>
          </w:p>
        </w:tc>
        <w:tc>
          <w:tcPr>
            <w:tcW w:w="1012" w:type="dxa"/>
            <w:tcBorders>
              <w:top w:val="nil"/>
              <w:left w:val="nil"/>
              <w:bottom w:val="nil"/>
              <w:right w:val="nil"/>
            </w:tcBorders>
            <w:shd w:val="clear" w:color="auto" w:fill="auto"/>
            <w:noWrap/>
            <w:vAlign w:val="bottom"/>
            <w:hideMark/>
          </w:tcPr>
          <w:p w14:paraId="676D93A6" w14:textId="77777777" w:rsidR="00E445AC" w:rsidRDefault="00E445AC" w:rsidP="00454EE7">
            <w:pPr>
              <w:jc w:val="center"/>
              <w:rPr>
                <w:rFonts w:ascii="Cambria" w:hAnsi="Cambria" w:cs="Arial"/>
                <w:color w:val="000000"/>
                <w:sz w:val="18"/>
                <w:szCs w:val="18"/>
              </w:rPr>
            </w:pPr>
            <w:r>
              <w:rPr>
                <w:rFonts w:ascii="Cambria" w:hAnsi="Cambria"/>
                <w:color w:val="000000"/>
                <w:sz w:val="18"/>
              </w:rPr>
              <w:t>+0,25%</w:t>
            </w:r>
          </w:p>
        </w:tc>
        <w:tc>
          <w:tcPr>
            <w:tcW w:w="1420" w:type="dxa"/>
            <w:tcBorders>
              <w:top w:val="nil"/>
              <w:left w:val="nil"/>
              <w:bottom w:val="nil"/>
              <w:right w:val="nil"/>
            </w:tcBorders>
            <w:shd w:val="clear" w:color="auto" w:fill="auto"/>
            <w:noWrap/>
            <w:vAlign w:val="bottom"/>
            <w:hideMark/>
          </w:tcPr>
          <w:p w14:paraId="71C62723" w14:textId="1A592E78" w:rsidR="00E445AC" w:rsidRDefault="00E445AC" w:rsidP="00454EE7">
            <w:pPr>
              <w:rPr>
                <w:rFonts w:ascii="Cambria" w:hAnsi="Cambria" w:cs="Arial"/>
                <w:color w:val="000000"/>
                <w:sz w:val="18"/>
                <w:szCs w:val="18"/>
              </w:rPr>
            </w:pPr>
            <w:r>
              <w:rPr>
                <w:rFonts w:ascii="Cambria" w:hAnsi="Cambria"/>
                <w:color w:val="000000"/>
                <w:sz w:val="18"/>
              </w:rPr>
              <w:t xml:space="preserve">              761 099 </w:t>
            </w:r>
          </w:p>
        </w:tc>
      </w:tr>
      <w:tr w:rsidR="00E445AC" w14:paraId="44D35941" w14:textId="77777777" w:rsidTr="00454EE7">
        <w:trPr>
          <w:trHeight w:val="85"/>
        </w:trPr>
        <w:tc>
          <w:tcPr>
            <w:tcW w:w="4700" w:type="dxa"/>
            <w:vMerge/>
            <w:tcBorders>
              <w:top w:val="nil"/>
              <w:left w:val="nil"/>
              <w:bottom w:val="nil"/>
              <w:right w:val="nil"/>
            </w:tcBorders>
            <w:vAlign w:val="center"/>
            <w:hideMark/>
          </w:tcPr>
          <w:p w14:paraId="5A78FB54" w14:textId="77777777" w:rsidR="00E445AC" w:rsidRDefault="00E445AC" w:rsidP="00454EE7">
            <w:pPr>
              <w:rPr>
                <w:rFonts w:ascii="Cambria" w:hAnsi="Cambria" w:cs="Arial"/>
                <w:color w:val="000000"/>
                <w:sz w:val="18"/>
                <w:szCs w:val="18"/>
              </w:rPr>
            </w:pPr>
          </w:p>
        </w:tc>
        <w:tc>
          <w:tcPr>
            <w:tcW w:w="1012" w:type="dxa"/>
            <w:tcBorders>
              <w:top w:val="nil"/>
              <w:left w:val="nil"/>
              <w:bottom w:val="nil"/>
              <w:right w:val="nil"/>
            </w:tcBorders>
            <w:shd w:val="clear" w:color="auto" w:fill="auto"/>
            <w:noWrap/>
            <w:vAlign w:val="bottom"/>
            <w:hideMark/>
          </w:tcPr>
          <w:p w14:paraId="6E4E9948" w14:textId="77777777" w:rsidR="00E445AC" w:rsidRDefault="00E445AC" w:rsidP="00454EE7">
            <w:pPr>
              <w:jc w:val="center"/>
              <w:rPr>
                <w:rFonts w:ascii="Cambria" w:hAnsi="Cambria" w:cs="Arial"/>
                <w:color w:val="000000"/>
                <w:sz w:val="18"/>
                <w:szCs w:val="18"/>
              </w:rPr>
            </w:pPr>
            <w:r>
              <w:rPr>
                <w:rFonts w:ascii="Cambria" w:hAnsi="Cambria"/>
                <w:color w:val="000000"/>
                <w:sz w:val="18"/>
              </w:rPr>
              <w:t>-0,25%</w:t>
            </w:r>
          </w:p>
        </w:tc>
        <w:tc>
          <w:tcPr>
            <w:tcW w:w="1420" w:type="dxa"/>
            <w:tcBorders>
              <w:top w:val="nil"/>
              <w:left w:val="nil"/>
              <w:bottom w:val="nil"/>
              <w:right w:val="nil"/>
            </w:tcBorders>
            <w:shd w:val="clear" w:color="auto" w:fill="auto"/>
            <w:noWrap/>
            <w:vAlign w:val="bottom"/>
            <w:hideMark/>
          </w:tcPr>
          <w:p w14:paraId="585B6234" w14:textId="3B96458C" w:rsidR="00E445AC" w:rsidRDefault="00E445AC" w:rsidP="00454EE7">
            <w:pPr>
              <w:rPr>
                <w:rFonts w:ascii="Cambria" w:hAnsi="Cambria" w:cs="Arial"/>
                <w:color w:val="000000"/>
                <w:sz w:val="18"/>
                <w:szCs w:val="18"/>
              </w:rPr>
            </w:pPr>
            <w:r>
              <w:rPr>
                <w:rFonts w:ascii="Cambria" w:hAnsi="Cambria"/>
                <w:color w:val="000000"/>
                <w:sz w:val="18"/>
              </w:rPr>
              <w:t xml:space="preserve">              793 952 </w:t>
            </w:r>
          </w:p>
        </w:tc>
      </w:tr>
      <w:tr w:rsidR="00E445AC" w14:paraId="365472DD" w14:textId="77777777" w:rsidTr="00E445AC">
        <w:trPr>
          <w:trHeight w:val="240"/>
        </w:trPr>
        <w:tc>
          <w:tcPr>
            <w:tcW w:w="4700" w:type="dxa"/>
            <w:vMerge w:val="restart"/>
            <w:tcBorders>
              <w:top w:val="nil"/>
              <w:left w:val="nil"/>
              <w:bottom w:val="nil"/>
              <w:right w:val="nil"/>
            </w:tcBorders>
            <w:shd w:val="clear" w:color="auto" w:fill="auto"/>
            <w:noWrap/>
            <w:vAlign w:val="center"/>
            <w:hideMark/>
          </w:tcPr>
          <w:p w14:paraId="7B13EFD2" w14:textId="77777777" w:rsidR="00E445AC" w:rsidRDefault="00E445AC" w:rsidP="00454EE7">
            <w:pPr>
              <w:rPr>
                <w:rFonts w:ascii="Cambria" w:hAnsi="Cambria" w:cs="Arial"/>
                <w:color w:val="000000"/>
                <w:sz w:val="18"/>
                <w:szCs w:val="18"/>
              </w:rPr>
            </w:pPr>
            <w:r>
              <w:rPr>
                <w:rFonts w:ascii="Cambria" w:hAnsi="Cambria"/>
                <w:color w:val="000000"/>
                <w:sz w:val="18"/>
              </w:rPr>
              <w:t xml:space="preserve"> Taux d’inflation </w:t>
            </w:r>
          </w:p>
        </w:tc>
        <w:tc>
          <w:tcPr>
            <w:tcW w:w="1012" w:type="dxa"/>
            <w:tcBorders>
              <w:top w:val="nil"/>
              <w:left w:val="nil"/>
              <w:bottom w:val="nil"/>
              <w:right w:val="nil"/>
            </w:tcBorders>
            <w:shd w:val="clear" w:color="auto" w:fill="auto"/>
            <w:noWrap/>
            <w:vAlign w:val="bottom"/>
            <w:hideMark/>
          </w:tcPr>
          <w:p w14:paraId="46E449FE" w14:textId="77777777" w:rsidR="00E445AC" w:rsidRDefault="00E445AC" w:rsidP="00454EE7">
            <w:pPr>
              <w:jc w:val="center"/>
              <w:rPr>
                <w:rFonts w:ascii="Cambria" w:hAnsi="Cambria" w:cs="Arial"/>
                <w:color w:val="000000"/>
                <w:sz w:val="18"/>
                <w:szCs w:val="18"/>
              </w:rPr>
            </w:pPr>
            <w:r>
              <w:rPr>
                <w:rFonts w:ascii="Cambria" w:hAnsi="Cambria"/>
                <w:color w:val="000000"/>
                <w:sz w:val="18"/>
              </w:rPr>
              <w:t>+0,25%</w:t>
            </w:r>
          </w:p>
        </w:tc>
        <w:tc>
          <w:tcPr>
            <w:tcW w:w="1420" w:type="dxa"/>
            <w:tcBorders>
              <w:top w:val="nil"/>
              <w:left w:val="nil"/>
              <w:bottom w:val="nil"/>
              <w:right w:val="nil"/>
            </w:tcBorders>
            <w:shd w:val="clear" w:color="auto" w:fill="auto"/>
            <w:noWrap/>
            <w:vAlign w:val="bottom"/>
            <w:hideMark/>
          </w:tcPr>
          <w:p w14:paraId="3EF7751B" w14:textId="14130342" w:rsidR="00E445AC" w:rsidRDefault="00E445AC" w:rsidP="00454EE7">
            <w:pPr>
              <w:rPr>
                <w:rFonts w:ascii="Cambria" w:hAnsi="Cambria" w:cs="Arial"/>
                <w:color w:val="000000"/>
                <w:sz w:val="18"/>
                <w:szCs w:val="18"/>
              </w:rPr>
            </w:pPr>
            <w:r>
              <w:rPr>
                <w:rFonts w:ascii="Cambria" w:hAnsi="Cambria"/>
                <w:color w:val="000000"/>
                <w:sz w:val="18"/>
              </w:rPr>
              <w:t xml:space="preserve">              791 448 </w:t>
            </w:r>
          </w:p>
        </w:tc>
      </w:tr>
      <w:tr w:rsidR="00E445AC" w14:paraId="60B2075E" w14:textId="77777777" w:rsidTr="00454EE7">
        <w:trPr>
          <w:trHeight w:val="80"/>
        </w:trPr>
        <w:tc>
          <w:tcPr>
            <w:tcW w:w="4700" w:type="dxa"/>
            <w:vMerge/>
            <w:tcBorders>
              <w:top w:val="nil"/>
              <w:left w:val="nil"/>
              <w:bottom w:val="nil"/>
              <w:right w:val="nil"/>
            </w:tcBorders>
            <w:vAlign w:val="center"/>
            <w:hideMark/>
          </w:tcPr>
          <w:p w14:paraId="60C74AE5" w14:textId="77777777" w:rsidR="00E445AC" w:rsidRDefault="00E445AC" w:rsidP="00454EE7">
            <w:pPr>
              <w:rPr>
                <w:rFonts w:ascii="Cambria" w:hAnsi="Cambria" w:cs="Arial"/>
                <w:color w:val="000000"/>
                <w:sz w:val="18"/>
                <w:szCs w:val="18"/>
              </w:rPr>
            </w:pPr>
          </w:p>
        </w:tc>
        <w:tc>
          <w:tcPr>
            <w:tcW w:w="1012" w:type="dxa"/>
            <w:tcBorders>
              <w:top w:val="nil"/>
              <w:left w:val="nil"/>
              <w:bottom w:val="nil"/>
              <w:right w:val="nil"/>
            </w:tcBorders>
            <w:shd w:val="clear" w:color="auto" w:fill="auto"/>
            <w:noWrap/>
            <w:vAlign w:val="bottom"/>
            <w:hideMark/>
          </w:tcPr>
          <w:p w14:paraId="58911F63" w14:textId="77777777" w:rsidR="00E445AC" w:rsidRDefault="00E445AC" w:rsidP="00454EE7">
            <w:pPr>
              <w:jc w:val="center"/>
              <w:rPr>
                <w:rFonts w:ascii="Cambria" w:hAnsi="Cambria" w:cs="Arial"/>
                <w:color w:val="000000"/>
                <w:sz w:val="18"/>
                <w:szCs w:val="18"/>
              </w:rPr>
            </w:pPr>
            <w:r>
              <w:rPr>
                <w:rFonts w:ascii="Cambria" w:hAnsi="Cambria"/>
                <w:color w:val="000000"/>
                <w:sz w:val="18"/>
              </w:rPr>
              <w:t>-0,25%</w:t>
            </w:r>
          </w:p>
        </w:tc>
        <w:tc>
          <w:tcPr>
            <w:tcW w:w="1420" w:type="dxa"/>
            <w:tcBorders>
              <w:top w:val="nil"/>
              <w:left w:val="nil"/>
              <w:bottom w:val="nil"/>
              <w:right w:val="nil"/>
            </w:tcBorders>
            <w:shd w:val="clear" w:color="auto" w:fill="auto"/>
            <w:noWrap/>
            <w:vAlign w:val="bottom"/>
            <w:hideMark/>
          </w:tcPr>
          <w:p w14:paraId="526DFDE4" w14:textId="03B701C8" w:rsidR="00E445AC" w:rsidRDefault="00E445AC" w:rsidP="00454EE7">
            <w:pPr>
              <w:rPr>
                <w:rFonts w:ascii="Cambria" w:hAnsi="Cambria" w:cs="Arial"/>
                <w:color w:val="000000"/>
                <w:sz w:val="18"/>
                <w:szCs w:val="18"/>
              </w:rPr>
            </w:pPr>
            <w:r>
              <w:rPr>
                <w:rFonts w:ascii="Cambria" w:hAnsi="Cambria"/>
                <w:color w:val="000000"/>
                <w:sz w:val="18"/>
              </w:rPr>
              <w:t xml:space="preserve">              763 358 </w:t>
            </w:r>
          </w:p>
        </w:tc>
      </w:tr>
      <w:tr w:rsidR="00E445AC" w14:paraId="1C97B3DF" w14:textId="77777777" w:rsidTr="00E445AC">
        <w:trPr>
          <w:trHeight w:val="240"/>
        </w:trPr>
        <w:tc>
          <w:tcPr>
            <w:tcW w:w="4700" w:type="dxa"/>
            <w:vMerge w:val="restart"/>
            <w:tcBorders>
              <w:top w:val="nil"/>
              <w:left w:val="nil"/>
              <w:bottom w:val="nil"/>
              <w:right w:val="nil"/>
            </w:tcBorders>
            <w:shd w:val="clear" w:color="auto" w:fill="auto"/>
            <w:noWrap/>
            <w:vAlign w:val="center"/>
            <w:hideMark/>
          </w:tcPr>
          <w:p w14:paraId="28D17E70" w14:textId="77777777" w:rsidR="00E445AC" w:rsidRDefault="00E445AC" w:rsidP="00454EE7">
            <w:pPr>
              <w:rPr>
                <w:rFonts w:ascii="Cambria" w:hAnsi="Cambria" w:cs="Arial"/>
                <w:color w:val="000000"/>
                <w:sz w:val="18"/>
                <w:szCs w:val="18"/>
              </w:rPr>
            </w:pPr>
            <w:r>
              <w:rPr>
                <w:rFonts w:ascii="Cambria" w:hAnsi="Cambria"/>
                <w:color w:val="000000"/>
                <w:sz w:val="18"/>
              </w:rPr>
              <w:t xml:space="preserve"> Taux de rotation </w:t>
            </w:r>
          </w:p>
        </w:tc>
        <w:tc>
          <w:tcPr>
            <w:tcW w:w="1012" w:type="dxa"/>
            <w:tcBorders>
              <w:top w:val="nil"/>
              <w:left w:val="nil"/>
              <w:bottom w:val="nil"/>
              <w:right w:val="nil"/>
            </w:tcBorders>
            <w:shd w:val="clear" w:color="auto" w:fill="auto"/>
            <w:noWrap/>
            <w:vAlign w:val="bottom"/>
            <w:hideMark/>
          </w:tcPr>
          <w:p w14:paraId="07EC47A3" w14:textId="77777777" w:rsidR="00E445AC" w:rsidRDefault="00E445AC" w:rsidP="00454EE7">
            <w:pPr>
              <w:jc w:val="center"/>
              <w:rPr>
                <w:rFonts w:ascii="Cambria" w:hAnsi="Cambria" w:cs="Arial"/>
                <w:color w:val="000000"/>
                <w:sz w:val="18"/>
                <w:szCs w:val="18"/>
              </w:rPr>
            </w:pPr>
            <w:r>
              <w:rPr>
                <w:rFonts w:ascii="Cambria" w:hAnsi="Cambria"/>
                <w:color w:val="000000"/>
                <w:sz w:val="18"/>
              </w:rPr>
              <w:t>+1%</w:t>
            </w:r>
          </w:p>
        </w:tc>
        <w:tc>
          <w:tcPr>
            <w:tcW w:w="1420" w:type="dxa"/>
            <w:tcBorders>
              <w:top w:val="nil"/>
              <w:left w:val="nil"/>
              <w:bottom w:val="nil"/>
              <w:right w:val="nil"/>
            </w:tcBorders>
            <w:shd w:val="clear" w:color="auto" w:fill="auto"/>
            <w:noWrap/>
            <w:vAlign w:val="bottom"/>
            <w:hideMark/>
          </w:tcPr>
          <w:p w14:paraId="0E84ED7E" w14:textId="2F20F28C" w:rsidR="00E445AC" w:rsidRDefault="00E445AC" w:rsidP="00454EE7">
            <w:pPr>
              <w:rPr>
                <w:rFonts w:ascii="Cambria" w:hAnsi="Cambria" w:cs="Arial"/>
                <w:color w:val="000000"/>
                <w:sz w:val="18"/>
                <w:szCs w:val="18"/>
              </w:rPr>
            </w:pPr>
            <w:r>
              <w:rPr>
                <w:rFonts w:ascii="Cambria" w:hAnsi="Cambria"/>
                <w:color w:val="000000"/>
                <w:sz w:val="18"/>
              </w:rPr>
              <w:t xml:space="preserve">              775 724 </w:t>
            </w:r>
          </w:p>
        </w:tc>
      </w:tr>
      <w:tr w:rsidR="00E445AC" w14:paraId="586480A0" w14:textId="77777777" w:rsidTr="00E445AC">
        <w:trPr>
          <w:trHeight w:val="240"/>
        </w:trPr>
        <w:tc>
          <w:tcPr>
            <w:tcW w:w="4700" w:type="dxa"/>
            <w:vMerge/>
            <w:tcBorders>
              <w:top w:val="nil"/>
              <w:left w:val="nil"/>
              <w:bottom w:val="nil"/>
              <w:right w:val="nil"/>
            </w:tcBorders>
            <w:vAlign w:val="center"/>
            <w:hideMark/>
          </w:tcPr>
          <w:p w14:paraId="02DC353A" w14:textId="77777777" w:rsidR="00E445AC" w:rsidRDefault="00E445AC" w:rsidP="00454EE7">
            <w:pPr>
              <w:rPr>
                <w:rFonts w:ascii="Cambria" w:hAnsi="Cambria" w:cs="Arial"/>
                <w:color w:val="000000"/>
                <w:sz w:val="18"/>
                <w:szCs w:val="18"/>
              </w:rPr>
            </w:pPr>
          </w:p>
        </w:tc>
        <w:tc>
          <w:tcPr>
            <w:tcW w:w="1012" w:type="dxa"/>
            <w:tcBorders>
              <w:top w:val="nil"/>
              <w:left w:val="nil"/>
              <w:bottom w:val="nil"/>
              <w:right w:val="nil"/>
            </w:tcBorders>
            <w:shd w:val="clear" w:color="auto" w:fill="auto"/>
            <w:noWrap/>
            <w:vAlign w:val="bottom"/>
            <w:hideMark/>
          </w:tcPr>
          <w:p w14:paraId="54F2A2EC" w14:textId="77777777" w:rsidR="00E445AC" w:rsidRDefault="00E445AC" w:rsidP="00454EE7">
            <w:pPr>
              <w:jc w:val="center"/>
              <w:rPr>
                <w:rFonts w:ascii="Cambria" w:hAnsi="Cambria" w:cs="Arial"/>
                <w:color w:val="000000"/>
                <w:sz w:val="18"/>
                <w:szCs w:val="18"/>
              </w:rPr>
            </w:pPr>
            <w:r>
              <w:rPr>
                <w:rFonts w:ascii="Cambria" w:hAnsi="Cambria"/>
                <w:color w:val="000000"/>
                <w:sz w:val="18"/>
              </w:rPr>
              <w:t>-1%</w:t>
            </w:r>
          </w:p>
        </w:tc>
        <w:tc>
          <w:tcPr>
            <w:tcW w:w="1420" w:type="dxa"/>
            <w:tcBorders>
              <w:top w:val="nil"/>
              <w:left w:val="nil"/>
              <w:bottom w:val="nil"/>
              <w:right w:val="nil"/>
            </w:tcBorders>
            <w:shd w:val="clear" w:color="auto" w:fill="auto"/>
            <w:noWrap/>
            <w:vAlign w:val="bottom"/>
            <w:hideMark/>
          </w:tcPr>
          <w:p w14:paraId="7B61220F" w14:textId="62BC5BF5" w:rsidR="00E445AC" w:rsidRDefault="00E445AC" w:rsidP="00454EE7">
            <w:pPr>
              <w:rPr>
                <w:rFonts w:ascii="Cambria" w:hAnsi="Cambria" w:cs="Arial"/>
                <w:color w:val="000000"/>
                <w:sz w:val="18"/>
                <w:szCs w:val="18"/>
              </w:rPr>
            </w:pPr>
            <w:r>
              <w:rPr>
                <w:rFonts w:ascii="Cambria" w:hAnsi="Cambria"/>
                <w:color w:val="000000"/>
                <w:sz w:val="18"/>
              </w:rPr>
              <w:t xml:space="preserve">              779 263 </w:t>
            </w:r>
          </w:p>
        </w:tc>
      </w:tr>
    </w:tbl>
    <w:p w14:paraId="672C2C49" w14:textId="77777777" w:rsidR="00E445AC" w:rsidRDefault="00E445AC" w:rsidP="00454EE7">
      <w:pPr>
        <w:spacing w:line="276" w:lineRule="auto"/>
        <w:jc w:val="both"/>
        <w:rPr>
          <w:rFonts w:ascii="Cambria" w:hAnsi="Cambria"/>
          <w:sz w:val="22"/>
          <w:szCs w:val="22"/>
        </w:rPr>
      </w:pPr>
    </w:p>
    <w:p w14:paraId="4825E227" w14:textId="5427B60B" w:rsidR="00E16D12" w:rsidRDefault="00E16D12" w:rsidP="00454EE7">
      <w:pPr>
        <w:spacing w:line="276" w:lineRule="auto"/>
        <w:jc w:val="both"/>
        <w:rPr>
          <w:rFonts w:ascii="Cambria" w:hAnsi="Cambria"/>
          <w:sz w:val="22"/>
          <w:szCs w:val="22"/>
        </w:rPr>
      </w:pPr>
      <w:r>
        <w:rPr>
          <w:rFonts w:ascii="Cambria" w:hAnsi="Cambria"/>
          <w:sz w:val="22"/>
        </w:rPr>
        <w:t>Le nombre d'employés par catégorie au 30 juin 2021, par rapport au 31 décembre 2020, est présenté dans le tableau suivant :</w:t>
      </w:r>
    </w:p>
    <w:p w14:paraId="127F96F2" w14:textId="77777777" w:rsidR="00E445AC" w:rsidRDefault="00E445AC" w:rsidP="00E16D12">
      <w:pPr>
        <w:spacing w:after="200" w:line="276" w:lineRule="auto"/>
        <w:jc w:val="both"/>
        <w:rPr>
          <w:rFonts w:ascii="Cambria" w:hAnsi="Cambria"/>
          <w:sz w:val="22"/>
          <w:szCs w:val="22"/>
        </w:rPr>
      </w:pPr>
    </w:p>
    <w:tbl>
      <w:tblPr>
        <w:tblW w:w="5000" w:type="pct"/>
        <w:tblCellMar>
          <w:left w:w="70" w:type="dxa"/>
          <w:right w:w="70" w:type="dxa"/>
        </w:tblCellMar>
        <w:tblLook w:val="04A0" w:firstRow="1" w:lastRow="0" w:firstColumn="1" w:lastColumn="0" w:noHBand="0" w:noVBand="1"/>
      </w:tblPr>
      <w:tblGrid>
        <w:gridCol w:w="3164"/>
        <w:gridCol w:w="2096"/>
        <w:gridCol w:w="2312"/>
        <w:gridCol w:w="2066"/>
      </w:tblGrid>
      <w:tr w:rsidR="00DB2DF6" w:rsidRPr="0076441B" w14:paraId="260D5038" w14:textId="77777777" w:rsidTr="00521E47">
        <w:trPr>
          <w:trHeight w:val="495"/>
        </w:trPr>
        <w:tc>
          <w:tcPr>
            <w:tcW w:w="1641" w:type="pct"/>
            <w:tcBorders>
              <w:top w:val="single" w:sz="4" w:space="0" w:color="0070C0"/>
              <w:left w:val="nil"/>
              <w:bottom w:val="single" w:sz="8" w:space="0" w:color="0070C0"/>
              <w:right w:val="nil"/>
            </w:tcBorders>
            <w:shd w:val="clear" w:color="auto" w:fill="auto"/>
            <w:noWrap/>
            <w:vAlign w:val="bottom"/>
            <w:hideMark/>
          </w:tcPr>
          <w:p w14:paraId="523ED695" w14:textId="77777777" w:rsidR="00DB2DF6" w:rsidRPr="0076441B" w:rsidRDefault="00DB2DF6" w:rsidP="00521E47">
            <w:pPr>
              <w:rPr>
                <w:rFonts w:ascii="Cambria" w:hAnsi="Cambria" w:cs="Arial"/>
                <w:color w:val="000000"/>
                <w:sz w:val="18"/>
                <w:szCs w:val="18"/>
              </w:rPr>
            </w:pPr>
            <w:r>
              <w:rPr>
                <w:rFonts w:ascii="Cambria" w:hAnsi="Cambria"/>
                <w:color w:val="000000"/>
                <w:sz w:val="18"/>
              </w:rPr>
              <w:t>(Nb unités)</w:t>
            </w:r>
          </w:p>
        </w:tc>
        <w:tc>
          <w:tcPr>
            <w:tcW w:w="1087" w:type="pct"/>
            <w:tcBorders>
              <w:top w:val="single" w:sz="4" w:space="0" w:color="0070C0"/>
              <w:left w:val="nil"/>
              <w:bottom w:val="single" w:sz="8" w:space="0" w:color="0070C0"/>
              <w:right w:val="nil"/>
            </w:tcBorders>
            <w:shd w:val="clear" w:color="auto" w:fill="auto"/>
            <w:vAlign w:val="bottom"/>
            <w:hideMark/>
          </w:tcPr>
          <w:p w14:paraId="4FBB00F2" w14:textId="77777777" w:rsidR="00DB2DF6" w:rsidRPr="0076441B" w:rsidRDefault="00DB2DF6" w:rsidP="00521E47">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1199" w:type="pct"/>
            <w:tcBorders>
              <w:top w:val="single" w:sz="4" w:space="0" w:color="0070C0"/>
              <w:left w:val="nil"/>
              <w:bottom w:val="single" w:sz="8" w:space="0" w:color="0070C0"/>
              <w:right w:val="nil"/>
            </w:tcBorders>
            <w:shd w:val="clear" w:color="auto" w:fill="auto"/>
            <w:vAlign w:val="bottom"/>
            <w:hideMark/>
          </w:tcPr>
          <w:p w14:paraId="5420368E" w14:textId="77777777" w:rsidR="00DB2DF6" w:rsidRPr="0076441B" w:rsidRDefault="00DB2DF6" w:rsidP="00521E47">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c>
          <w:tcPr>
            <w:tcW w:w="1072" w:type="pct"/>
            <w:tcBorders>
              <w:top w:val="single" w:sz="4" w:space="0" w:color="0070C0"/>
              <w:left w:val="nil"/>
              <w:bottom w:val="single" w:sz="8" w:space="0" w:color="0070C0"/>
              <w:right w:val="nil"/>
            </w:tcBorders>
            <w:shd w:val="clear" w:color="auto" w:fill="auto"/>
            <w:vAlign w:val="bottom"/>
            <w:hideMark/>
          </w:tcPr>
          <w:p w14:paraId="72D9BBFA" w14:textId="77777777" w:rsidR="00DB2DF6" w:rsidRPr="0076441B" w:rsidRDefault="00DB2DF6" w:rsidP="00521E47">
            <w:pPr>
              <w:jc w:val="center"/>
              <w:rPr>
                <w:rFonts w:ascii="Cambria" w:hAnsi="Cambria" w:cs="Arial"/>
                <w:b/>
                <w:bCs/>
                <w:color w:val="000000"/>
                <w:sz w:val="18"/>
                <w:szCs w:val="18"/>
              </w:rPr>
            </w:pPr>
            <w:r>
              <w:rPr>
                <w:rFonts w:ascii="Cambria" w:hAnsi="Cambria"/>
                <w:b/>
                <w:color w:val="000000"/>
                <w:sz w:val="18"/>
              </w:rPr>
              <w:t>Variations</w:t>
            </w:r>
          </w:p>
        </w:tc>
      </w:tr>
      <w:tr w:rsidR="00DB2DF6" w:rsidRPr="0076441B" w14:paraId="0088A2A9" w14:textId="77777777" w:rsidTr="00521E47">
        <w:trPr>
          <w:trHeight w:val="240"/>
        </w:trPr>
        <w:tc>
          <w:tcPr>
            <w:tcW w:w="1641" w:type="pct"/>
            <w:tcBorders>
              <w:top w:val="nil"/>
              <w:left w:val="nil"/>
              <w:bottom w:val="nil"/>
              <w:right w:val="nil"/>
            </w:tcBorders>
            <w:shd w:val="clear" w:color="auto" w:fill="auto"/>
            <w:noWrap/>
            <w:vAlign w:val="bottom"/>
          </w:tcPr>
          <w:p w14:paraId="67CB4B7C" w14:textId="77777777" w:rsidR="00DB2DF6" w:rsidRPr="0076441B" w:rsidRDefault="00DB2DF6" w:rsidP="00521E47">
            <w:pPr>
              <w:rPr>
                <w:rFonts w:ascii="Cambria" w:hAnsi="Cambria" w:cs="Arial"/>
                <w:b/>
                <w:bCs/>
                <w:color w:val="000000"/>
                <w:sz w:val="18"/>
                <w:szCs w:val="18"/>
              </w:rPr>
            </w:pPr>
            <w:r>
              <w:rPr>
                <w:rFonts w:ascii="Cambria" w:hAnsi="Cambria"/>
                <w:b/>
                <w:color w:val="000000"/>
                <w:sz w:val="18"/>
              </w:rPr>
              <w:t>Take OFF</w:t>
            </w:r>
          </w:p>
        </w:tc>
        <w:tc>
          <w:tcPr>
            <w:tcW w:w="1087" w:type="pct"/>
            <w:tcBorders>
              <w:top w:val="nil"/>
              <w:left w:val="nil"/>
              <w:bottom w:val="nil"/>
              <w:right w:val="nil"/>
            </w:tcBorders>
            <w:shd w:val="clear" w:color="auto" w:fill="auto"/>
            <w:noWrap/>
            <w:vAlign w:val="bottom"/>
          </w:tcPr>
          <w:p w14:paraId="7D1BB766" w14:textId="77777777" w:rsidR="00DB2DF6" w:rsidRPr="0076441B" w:rsidRDefault="00DB2DF6" w:rsidP="00521E47">
            <w:pPr>
              <w:rPr>
                <w:rFonts w:ascii="Cambria" w:hAnsi="Cambria" w:cs="Arial"/>
                <w:b/>
                <w:bCs/>
                <w:color w:val="000000"/>
                <w:sz w:val="18"/>
                <w:szCs w:val="18"/>
              </w:rPr>
            </w:pPr>
          </w:p>
        </w:tc>
        <w:tc>
          <w:tcPr>
            <w:tcW w:w="1199" w:type="pct"/>
            <w:tcBorders>
              <w:top w:val="nil"/>
              <w:left w:val="nil"/>
              <w:bottom w:val="nil"/>
              <w:right w:val="nil"/>
            </w:tcBorders>
            <w:shd w:val="clear" w:color="auto" w:fill="auto"/>
            <w:noWrap/>
            <w:vAlign w:val="bottom"/>
          </w:tcPr>
          <w:p w14:paraId="2B57BEB7" w14:textId="77777777" w:rsidR="00DB2DF6" w:rsidRPr="0076441B" w:rsidRDefault="00DB2DF6" w:rsidP="00521E47">
            <w:pPr>
              <w:rPr>
                <w:b/>
                <w:bCs/>
                <w:sz w:val="20"/>
                <w:szCs w:val="20"/>
              </w:rPr>
            </w:pPr>
          </w:p>
        </w:tc>
        <w:tc>
          <w:tcPr>
            <w:tcW w:w="1072" w:type="pct"/>
            <w:tcBorders>
              <w:top w:val="nil"/>
              <w:left w:val="nil"/>
              <w:bottom w:val="nil"/>
              <w:right w:val="nil"/>
            </w:tcBorders>
            <w:shd w:val="clear" w:color="auto" w:fill="auto"/>
            <w:noWrap/>
            <w:vAlign w:val="bottom"/>
          </w:tcPr>
          <w:p w14:paraId="603C334B" w14:textId="77777777" w:rsidR="00DB2DF6" w:rsidRPr="0076441B" w:rsidRDefault="00DB2DF6" w:rsidP="00521E47">
            <w:pPr>
              <w:jc w:val="right"/>
              <w:rPr>
                <w:rFonts w:ascii="Cambria" w:hAnsi="Cambria" w:cs="Arial"/>
                <w:b/>
                <w:bCs/>
                <w:color w:val="000000"/>
                <w:sz w:val="18"/>
                <w:szCs w:val="18"/>
              </w:rPr>
            </w:pPr>
          </w:p>
        </w:tc>
      </w:tr>
      <w:tr w:rsidR="00DB2DF6" w:rsidRPr="0076441B" w14:paraId="187A56D2" w14:textId="77777777" w:rsidTr="00521E47">
        <w:trPr>
          <w:trHeight w:val="240"/>
        </w:trPr>
        <w:tc>
          <w:tcPr>
            <w:tcW w:w="1641" w:type="pct"/>
            <w:tcBorders>
              <w:top w:val="nil"/>
              <w:left w:val="nil"/>
              <w:bottom w:val="nil"/>
              <w:right w:val="nil"/>
            </w:tcBorders>
            <w:shd w:val="clear" w:color="auto" w:fill="auto"/>
            <w:noWrap/>
            <w:vAlign w:val="bottom"/>
            <w:hideMark/>
          </w:tcPr>
          <w:p w14:paraId="14D4DBC7" w14:textId="77777777" w:rsidR="00DB2DF6" w:rsidRPr="0076441B" w:rsidRDefault="00DB2DF6" w:rsidP="00521E47">
            <w:pPr>
              <w:rPr>
                <w:rFonts w:ascii="Cambria" w:hAnsi="Cambria" w:cs="Arial"/>
                <w:color w:val="000000"/>
                <w:sz w:val="18"/>
                <w:szCs w:val="18"/>
              </w:rPr>
            </w:pPr>
            <w:r>
              <w:rPr>
                <w:rFonts w:ascii="Cambria" w:hAnsi="Cambria"/>
                <w:color w:val="000000"/>
                <w:sz w:val="18"/>
              </w:rPr>
              <w:t>Employés de bureau</w:t>
            </w:r>
          </w:p>
        </w:tc>
        <w:tc>
          <w:tcPr>
            <w:tcW w:w="1087" w:type="pct"/>
            <w:tcBorders>
              <w:top w:val="nil"/>
              <w:left w:val="nil"/>
              <w:bottom w:val="nil"/>
              <w:right w:val="nil"/>
            </w:tcBorders>
            <w:shd w:val="clear" w:color="auto" w:fill="auto"/>
            <w:noWrap/>
            <w:vAlign w:val="bottom"/>
            <w:hideMark/>
          </w:tcPr>
          <w:p w14:paraId="4500257B" w14:textId="77777777" w:rsidR="00DB2DF6" w:rsidRPr="0076441B" w:rsidRDefault="00DB2DF6" w:rsidP="00521E47">
            <w:pPr>
              <w:jc w:val="right"/>
              <w:rPr>
                <w:rFonts w:ascii="Cambria" w:hAnsi="Cambria" w:cs="Arial"/>
                <w:color w:val="000000"/>
                <w:sz w:val="18"/>
                <w:szCs w:val="18"/>
              </w:rPr>
            </w:pPr>
            <w:r>
              <w:rPr>
                <w:rFonts w:ascii="Cambria" w:hAnsi="Cambria"/>
                <w:color w:val="000000"/>
                <w:sz w:val="18"/>
              </w:rPr>
              <w:t xml:space="preserve">                     9 </w:t>
            </w:r>
          </w:p>
        </w:tc>
        <w:tc>
          <w:tcPr>
            <w:tcW w:w="1199" w:type="pct"/>
            <w:tcBorders>
              <w:top w:val="nil"/>
              <w:left w:val="nil"/>
              <w:bottom w:val="nil"/>
              <w:right w:val="nil"/>
            </w:tcBorders>
            <w:shd w:val="clear" w:color="auto" w:fill="auto"/>
            <w:noWrap/>
            <w:vAlign w:val="bottom"/>
            <w:hideMark/>
          </w:tcPr>
          <w:p w14:paraId="31AAA9E7" w14:textId="77777777" w:rsidR="00DB2DF6" w:rsidRPr="0076441B" w:rsidRDefault="00DB2DF6" w:rsidP="00521E47">
            <w:pPr>
              <w:jc w:val="right"/>
              <w:rPr>
                <w:sz w:val="20"/>
                <w:szCs w:val="20"/>
              </w:rPr>
            </w:pPr>
            <w:r>
              <w:rPr>
                <w:sz w:val="20"/>
              </w:rPr>
              <w:t xml:space="preserve">                8 </w:t>
            </w:r>
          </w:p>
        </w:tc>
        <w:tc>
          <w:tcPr>
            <w:tcW w:w="1072" w:type="pct"/>
            <w:tcBorders>
              <w:top w:val="nil"/>
              <w:left w:val="nil"/>
              <w:bottom w:val="nil"/>
              <w:right w:val="nil"/>
            </w:tcBorders>
            <w:shd w:val="clear" w:color="auto" w:fill="auto"/>
            <w:noWrap/>
            <w:vAlign w:val="bottom"/>
            <w:hideMark/>
          </w:tcPr>
          <w:p w14:paraId="7B44C65A" w14:textId="77777777" w:rsidR="00DB2DF6" w:rsidRPr="0076441B" w:rsidRDefault="00DB2DF6" w:rsidP="00521E47">
            <w:pPr>
              <w:jc w:val="right"/>
              <w:rPr>
                <w:rFonts w:ascii="Cambria" w:hAnsi="Cambria" w:cs="Arial"/>
                <w:color w:val="000000"/>
                <w:sz w:val="18"/>
                <w:szCs w:val="18"/>
              </w:rPr>
            </w:pPr>
            <w:r>
              <w:rPr>
                <w:rFonts w:ascii="Cambria" w:hAnsi="Cambria"/>
                <w:color w:val="000000"/>
                <w:sz w:val="18"/>
              </w:rPr>
              <w:t>1</w:t>
            </w:r>
          </w:p>
        </w:tc>
      </w:tr>
      <w:tr w:rsidR="00DB2DF6" w:rsidRPr="0076441B" w14:paraId="3718A061" w14:textId="77777777" w:rsidTr="00521E47">
        <w:trPr>
          <w:trHeight w:val="240"/>
        </w:trPr>
        <w:tc>
          <w:tcPr>
            <w:tcW w:w="1641" w:type="pct"/>
            <w:tcBorders>
              <w:top w:val="nil"/>
              <w:left w:val="nil"/>
              <w:bottom w:val="nil"/>
              <w:right w:val="nil"/>
            </w:tcBorders>
            <w:shd w:val="clear" w:color="auto" w:fill="auto"/>
            <w:noWrap/>
            <w:vAlign w:val="bottom"/>
            <w:hideMark/>
          </w:tcPr>
          <w:p w14:paraId="28616DF6" w14:textId="77777777" w:rsidR="00DB2DF6" w:rsidRPr="0076441B" w:rsidRDefault="00DB2DF6" w:rsidP="00521E47">
            <w:pPr>
              <w:rPr>
                <w:rFonts w:ascii="Cambria" w:hAnsi="Cambria" w:cs="Arial"/>
                <w:color w:val="000000"/>
                <w:sz w:val="18"/>
                <w:szCs w:val="18"/>
              </w:rPr>
            </w:pPr>
            <w:r>
              <w:rPr>
                <w:rFonts w:ascii="Cambria" w:hAnsi="Cambria"/>
                <w:color w:val="000000"/>
                <w:sz w:val="18"/>
              </w:rPr>
              <w:t>Travailleurs manuels</w:t>
            </w:r>
          </w:p>
        </w:tc>
        <w:tc>
          <w:tcPr>
            <w:tcW w:w="1087" w:type="pct"/>
            <w:tcBorders>
              <w:top w:val="nil"/>
              <w:left w:val="nil"/>
              <w:bottom w:val="nil"/>
              <w:right w:val="nil"/>
            </w:tcBorders>
            <w:shd w:val="clear" w:color="auto" w:fill="auto"/>
            <w:noWrap/>
            <w:vAlign w:val="bottom"/>
            <w:hideMark/>
          </w:tcPr>
          <w:p w14:paraId="3CC44EA2" w14:textId="77777777" w:rsidR="00DB2DF6" w:rsidRPr="0076441B" w:rsidRDefault="00DB2DF6" w:rsidP="00521E47">
            <w:pPr>
              <w:jc w:val="right"/>
              <w:rPr>
                <w:rFonts w:ascii="Cambria" w:hAnsi="Cambria" w:cs="Arial"/>
                <w:color w:val="000000"/>
                <w:sz w:val="18"/>
                <w:szCs w:val="18"/>
              </w:rPr>
            </w:pPr>
            <w:r>
              <w:rPr>
                <w:rFonts w:ascii="Cambria" w:hAnsi="Cambria"/>
                <w:color w:val="000000"/>
                <w:sz w:val="18"/>
              </w:rPr>
              <w:t xml:space="preserve">                207</w:t>
            </w:r>
          </w:p>
        </w:tc>
        <w:tc>
          <w:tcPr>
            <w:tcW w:w="1199" w:type="pct"/>
            <w:tcBorders>
              <w:top w:val="nil"/>
              <w:left w:val="nil"/>
              <w:bottom w:val="nil"/>
              <w:right w:val="nil"/>
            </w:tcBorders>
            <w:shd w:val="clear" w:color="auto" w:fill="auto"/>
            <w:noWrap/>
            <w:vAlign w:val="bottom"/>
            <w:hideMark/>
          </w:tcPr>
          <w:p w14:paraId="520975A4" w14:textId="77777777" w:rsidR="00DB2DF6" w:rsidRPr="0076441B" w:rsidRDefault="00DB2DF6" w:rsidP="00521E47">
            <w:pPr>
              <w:jc w:val="right"/>
              <w:rPr>
                <w:sz w:val="20"/>
                <w:szCs w:val="20"/>
              </w:rPr>
            </w:pPr>
            <w:r>
              <w:rPr>
                <w:sz w:val="20"/>
              </w:rPr>
              <w:t xml:space="preserve">            185</w:t>
            </w:r>
          </w:p>
        </w:tc>
        <w:tc>
          <w:tcPr>
            <w:tcW w:w="1072" w:type="pct"/>
            <w:tcBorders>
              <w:top w:val="nil"/>
              <w:left w:val="nil"/>
              <w:bottom w:val="nil"/>
              <w:right w:val="nil"/>
            </w:tcBorders>
            <w:shd w:val="clear" w:color="auto" w:fill="auto"/>
            <w:noWrap/>
            <w:vAlign w:val="bottom"/>
            <w:hideMark/>
          </w:tcPr>
          <w:p w14:paraId="4FF2F7C8" w14:textId="77777777" w:rsidR="00DB2DF6" w:rsidRPr="0076441B" w:rsidRDefault="00DB2DF6" w:rsidP="00521E47">
            <w:pPr>
              <w:jc w:val="right"/>
              <w:rPr>
                <w:rFonts w:ascii="Cambria" w:hAnsi="Cambria" w:cs="Arial"/>
                <w:color w:val="000000"/>
                <w:sz w:val="18"/>
                <w:szCs w:val="18"/>
              </w:rPr>
            </w:pPr>
            <w:r>
              <w:rPr>
                <w:rFonts w:ascii="Cambria" w:hAnsi="Cambria"/>
                <w:color w:val="000000"/>
                <w:sz w:val="18"/>
              </w:rPr>
              <w:t>22</w:t>
            </w:r>
          </w:p>
        </w:tc>
      </w:tr>
      <w:tr w:rsidR="00DB2DF6" w:rsidRPr="0076441B" w14:paraId="16FC1414" w14:textId="77777777" w:rsidTr="00521E47">
        <w:trPr>
          <w:trHeight w:val="240"/>
        </w:trPr>
        <w:tc>
          <w:tcPr>
            <w:tcW w:w="1641" w:type="pct"/>
            <w:tcBorders>
              <w:top w:val="nil"/>
              <w:left w:val="nil"/>
              <w:bottom w:val="nil"/>
              <w:right w:val="nil"/>
            </w:tcBorders>
            <w:shd w:val="clear" w:color="auto" w:fill="auto"/>
            <w:noWrap/>
            <w:vAlign w:val="bottom"/>
          </w:tcPr>
          <w:p w14:paraId="46CD7238" w14:textId="77777777" w:rsidR="00DB2DF6" w:rsidRPr="0076441B" w:rsidRDefault="00DB2DF6" w:rsidP="00521E47">
            <w:pPr>
              <w:rPr>
                <w:rFonts w:ascii="Cambria" w:hAnsi="Cambria" w:cs="Arial"/>
                <w:b/>
                <w:bCs/>
                <w:color w:val="000000"/>
                <w:sz w:val="18"/>
                <w:szCs w:val="18"/>
              </w:rPr>
            </w:pPr>
            <w:r>
              <w:rPr>
                <w:rFonts w:ascii="Cambria" w:hAnsi="Cambria"/>
                <w:b/>
                <w:color w:val="000000"/>
                <w:sz w:val="18"/>
              </w:rPr>
              <w:t>Over</w:t>
            </w:r>
          </w:p>
        </w:tc>
        <w:tc>
          <w:tcPr>
            <w:tcW w:w="1087" w:type="pct"/>
            <w:tcBorders>
              <w:top w:val="nil"/>
              <w:left w:val="nil"/>
              <w:bottom w:val="nil"/>
              <w:right w:val="nil"/>
            </w:tcBorders>
            <w:shd w:val="clear" w:color="auto" w:fill="auto"/>
            <w:noWrap/>
            <w:vAlign w:val="bottom"/>
          </w:tcPr>
          <w:p w14:paraId="52A3A509" w14:textId="77777777" w:rsidR="00DB2DF6" w:rsidRPr="0076441B" w:rsidRDefault="00DB2DF6" w:rsidP="00521E47">
            <w:pPr>
              <w:jc w:val="right"/>
              <w:rPr>
                <w:rFonts w:ascii="Cambria" w:hAnsi="Cambria" w:cs="Arial"/>
                <w:b/>
                <w:bCs/>
                <w:color w:val="000000"/>
                <w:sz w:val="18"/>
                <w:szCs w:val="18"/>
              </w:rPr>
            </w:pPr>
          </w:p>
        </w:tc>
        <w:tc>
          <w:tcPr>
            <w:tcW w:w="1199" w:type="pct"/>
            <w:tcBorders>
              <w:top w:val="nil"/>
              <w:left w:val="nil"/>
              <w:bottom w:val="nil"/>
              <w:right w:val="nil"/>
            </w:tcBorders>
            <w:shd w:val="clear" w:color="auto" w:fill="auto"/>
            <w:noWrap/>
            <w:vAlign w:val="bottom"/>
          </w:tcPr>
          <w:p w14:paraId="6AFF2A2D" w14:textId="77777777" w:rsidR="00DB2DF6" w:rsidRPr="0076441B" w:rsidRDefault="00DB2DF6" w:rsidP="00521E47">
            <w:pPr>
              <w:jc w:val="right"/>
              <w:rPr>
                <w:b/>
                <w:bCs/>
                <w:sz w:val="20"/>
                <w:szCs w:val="20"/>
              </w:rPr>
            </w:pPr>
          </w:p>
        </w:tc>
        <w:tc>
          <w:tcPr>
            <w:tcW w:w="1072" w:type="pct"/>
            <w:tcBorders>
              <w:top w:val="nil"/>
              <w:left w:val="nil"/>
              <w:bottom w:val="nil"/>
              <w:right w:val="nil"/>
            </w:tcBorders>
            <w:shd w:val="clear" w:color="auto" w:fill="auto"/>
            <w:noWrap/>
            <w:vAlign w:val="bottom"/>
          </w:tcPr>
          <w:p w14:paraId="5A01ED5E" w14:textId="77777777" w:rsidR="00DB2DF6" w:rsidRPr="0076441B" w:rsidRDefault="00DB2DF6" w:rsidP="00521E47">
            <w:pPr>
              <w:jc w:val="right"/>
              <w:rPr>
                <w:rFonts w:ascii="Cambria" w:hAnsi="Cambria" w:cs="Arial"/>
                <w:b/>
                <w:bCs/>
                <w:color w:val="000000"/>
                <w:sz w:val="18"/>
                <w:szCs w:val="18"/>
              </w:rPr>
            </w:pPr>
          </w:p>
        </w:tc>
      </w:tr>
      <w:tr w:rsidR="00DB2DF6" w:rsidRPr="0076441B" w14:paraId="6F5EC161" w14:textId="77777777" w:rsidTr="00521E47">
        <w:trPr>
          <w:trHeight w:val="240"/>
        </w:trPr>
        <w:tc>
          <w:tcPr>
            <w:tcW w:w="1641" w:type="pct"/>
            <w:tcBorders>
              <w:top w:val="nil"/>
              <w:left w:val="nil"/>
              <w:bottom w:val="nil"/>
              <w:right w:val="nil"/>
            </w:tcBorders>
            <w:shd w:val="clear" w:color="auto" w:fill="auto"/>
            <w:noWrap/>
            <w:vAlign w:val="bottom"/>
            <w:hideMark/>
          </w:tcPr>
          <w:p w14:paraId="5F9B1071" w14:textId="77777777" w:rsidR="00DB2DF6" w:rsidRPr="0076441B" w:rsidRDefault="00DB2DF6" w:rsidP="00521E47">
            <w:pPr>
              <w:rPr>
                <w:rFonts w:ascii="Cambria" w:hAnsi="Cambria" w:cs="Arial"/>
                <w:color w:val="000000"/>
                <w:sz w:val="18"/>
                <w:szCs w:val="18"/>
              </w:rPr>
            </w:pPr>
            <w:r>
              <w:rPr>
                <w:rFonts w:ascii="Cambria" w:hAnsi="Cambria"/>
                <w:color w:val="000000"/>
                <w:sz w:val="18"/>
              </w:rPr>
              <w:t>Employés de bureau</w:t>
            </w:r>
          </w:p>
        </w:tc>
        <w:tc>
          <w:tcPr>
            <w:tcW w:w="1087" w:type="pct"/>
            <w:tcBorders>
              <w:top w:val="nil"/>
              <w:left w:val="nil"/>
              <w:bottom w:val="nil"/>
              <w:right w:val="nil"/>
            </w:tcBorders>
            <w:shd w:val="clear" w:color="auto" w:fill="auto"/>
            <w:noWrap/>
            <w:vAlign w:val="bottom"/>
            <w:hideMark/>
          </w:tcPr>
          <w:p w14:paraId="5AD29C56" w14:textId="77777777" w:rsidR="00DB2DF6" w:rsidRPr="0076441B" w:rsidRDefault="00DB2DF6" w:rsidP="00521E47">
            <w:pPr>
              <w:jc w:val="right"/>
              <w:rPr>
                <w:rFonts w:ascii="Cambria" w:hAnsi="Cambria" w:cs="Arial"/>
                <w:color w:val="000000"/>
                <w:sz w:val="18"/>
                <w:szCs w:val="18"/>
              </w:rPr>
            </w:pPr>
            <w:r>
              <w:rPr>
                <w:rFonts w:ascii="Cambria" w:hAnsi="Cambria"/>
                <w:color w:val="000000"/>
                <w:sz w:val="18"/>
              </w:rPr>
              <w:t xml:space="preserve">                     7          </w:t>
            </w:r>
          </w:p>
        </w:tc>
        <w:tc>
          <w:tcPr>
            <w:tcW w:w="1199" w:type="pct"/>
            <w:tcBorders>
              <w:top w:val="nil"/>
              <w:left w:val="nil"/>
              <w:bottom w:val="nil"/>
              <w:right w:val="nil"/>
            </w:tcBorders>
            <w:shd w:val="clear" w:color="auto" w:fill="auto"/>
            <w:noWrap/>
            <w:vAlign w:val="bottom"/>
            <w:hideMark/>
          </w:tcPr>
          <w:p w14:paraId="5CC46E8D" w14:textId="77777777" w:rsidR="00DB2DF6" w:rsidRPr="0076441B" w:rsidRDefault="00DB2DF6" w:rsidP="00521E47">
            <w:pPr>
              <w:jc w:val="right"/>
              <w:rPr>
                <w:sz w:val="20"/>
                <w:szCs w:val="20"/>
              </w:rPr>
            </w:pPr>
            <w:r>
              <w:rPr>
                <w:sz w:val="20"/>
              </w:rPr>
              <w:t xml:space="preserve">                8</w:t>
            </w:r>
          </w:p>
        </w:tc>
        <w:tc>
          <w:tcPr>
            <w:tcW w:w="1072" w:type="pct"/>
            <w:tcBorders>
              <w:top w:val="nil"/>
              <w:left w:val="nil"/>
              <w:bottom w:val="nil"/>
              <w:right w:val="nil"/>
            </w:tcBorders>
            <w:shd w:val="clear" w:color="auto" w:fill="auto"/>
            <w:noWrap/>
            <w:vAlign w:val="bottom"/>
            <w:hideMark/>
          </w:tcPr>
          <w:p w14:paraId="76D1F2DB" w14:textId="77777777" w:rsidR="00DB2DF6" w:rsidRPr="0076441B" w:rsidRDefault="00DB2DF6" w:rsidP="00521E47">
            <w:pPr>
              <w:jc w:val="right"/>
              <w:rPr>
                <w:rFonts w:ascii="Cambria" w:hAnsi="Cambria" w:cs="Arial"/>
                <w:color w:val="000000"/>
                <w:sz w:val="18"/>
                <w:szCs w:val="18"/>
              </w:rPr>
            </w:pPr>
            <w:r>
              <w:rPr>
                <w:rFonts w:ascii="Cambria" w:hAnsi="Cambria"/>
                <w:color w:val="000000"/>
                <w:sz w:val="18"/>
              </w:rPr>
              <w:t>-1</w:t>
            </w:r>
          </w:p>
        </w:tc>
      </w:tr>
      <w:tr w:rsidR="00DB2DF6" w:rsidRPr="0076441B" w14:paraId="72065532" w14:textId="77777777" w:rsidTr="00521E47">
        <w:trPr>
          <w:trHeight w:val="240"/>
        </w:trPr>
        <w:tc>
          <w:tcPr>
            <w:tcW w:w="1641" w:type="pct"/>
            <w:tcBorders>
              <w:top w:val="nil"/>
              <w:left w:val="nil"/>
              <w:bottom w:val="nil"/>
              <w:right w:val="nil"/>
            </w:tcBorders>
            <w:shd w:val="clear" w:color="auto" w:fill="auto"/>
            <w:noWrap/>
            <w:vAlign w:val="bottom"/>
            <w:hideMark/>
          </w:tcPr>
          <w:p w14:paraId="212D8FF7" w14:textId="77777777" w:rsidR="00DB2DF6" w:rsidRPr="0076441B" w:rsidRDefault="00DB2DF6" w:rsidP="00521E47">
            <w:pPr>
              <w:rPr>
                <w:rFonts w:ascii="Cambria" w:hAnsi="Cambria" w:cs="Arial"/>
                <w:color w:val="000000"/>
                <w:sz w:val="18"/>
                <w:szCs w:val="18"/>
              </w:rPr>
            </w:pPr>
            <w:r>
              <w:rPr>
                <w:rFonts w:ascii="Cambria" w:hAnsi="Cambria"/>
                <w:color w:val="000000"/>
                <w:sz w:val="18"/>
              </w:rPr>
              <w:t>Travailleurs manuels</w:t>
            </w:r>
          </w:p>
        </w:tc>
        <w:tc>
          <w:tcPr>
            <w:tcW w:w="1087" w:type="pct"/>
            <w:tcBorders>
              <w:top w:val="nil"/>
              <w:left w:val="nil"/>
              <w:bottom w:val="nil"/>
              <w:right w:val="nil"/>
            </w:tcBorders>
            <w:shd w:val="clear" w:color="auto" w:fill="auto"/>
            <w:noWrap/>
            <w:vAlign w:val="bottom"/>
            <w:hideMark/>
          </w:tcPr>
          <w:p w14:paraId="6BF8B598" w14:textId="77777777" w:rsidR="00DB2DF6" w:rsidRPr="0076441B" w:rsidRDefault="00DB2DF6" w:rsidP="00521E47">
            <w:pPr>
              <w:jc w:val="right"/>
              <w:rPr>
                <w:rFonts w:ascii="Cambria" w:hAnsi="Cambria" w:cs="Arial"/>
                <w:color w:val="000000"/>
                <w:sz w:val="18"/>
                <w:szCs w:val="18"/>
              </w:rPr>
            </w:pPr>
            <w:r>
              <w:rPr>
                <w:rFonts w:ascii="Cambria" w:hAnsi="Cambria"/>
                <w:color w:val="000000"/>
                <w:sz w:val="18"/>
              </w:rPr>
              <w:t xml:space="preserve">                14</w:t>
            </w:r>
          </w:p>
        </w:tc>
        <w:tc>
          <w:tcPr>
            <w:tcW w:w="1199" w:type="pct"/>
            <w:tcBorders>
              <w:top w:val="nil"/>
              <w:left w:val="nil"/>
              <w:bottom w:val="nil"/>
              <w:right w:val="nil"/>
            </w:tcBorders>
            <w:shd w:val="clear" w:color="auto" w:fill="auto"/>
            <w:noWrap/>
            <w:vAlign w:val="bottom"/>
            <w:hideMark/>
          </w:tcPr>
          <w:p w14:paraId="3F5B7145" w14:textId="77777777" w:rsidR="00DB2DF6" w:rsidRPr="0076441B" w:rsidRDefault="00DB2DF6" w:rsidP="00521E47">
            <w:pPr>
              <w:jc w:val="right"/>
              <w:rPr>
                <w:sz w:val="20"/>
                <w:szCs w:val="20"/>
              </w:rPr>
            </w:pPr>
            <w:r>
              <w:rPr>
                <w:sz w:val="20"/>
              </w:rPr>
              <w:t xml:space="preserve">            12</w:t>
            </w:r>
          </w:p>
        </w:tc>
        <w:tc>
          <w:tcPr>
            <w:tcW w:w="1072" w:type="pct"/>
            <w:tcBorders>
              <w:top w:val="nil"/>
              <w:left w:val="nil"/>
              <w:bottom w:val="nil"/>
              <w:right w:val="nil"/>
            </w:tcBorders>
            <w:shd w:val="clear" w:color="auto" w:fill="auto"/>
            <w:noWrap/>
            <w:vAlign w:val="bottom"/>
            <w:hideMark/>
          </w:tcPr>
          <w:p w14:paraId="32153105" w14:textId="77777777" w:rsidR="00DB2DF6" w:rsidRPr="0076441B" w:rsidRDefault="00DB2DF6" w:rsidP="00521E47">
            <w:pPr>
              <w:jc w:val="right"/>
              <w:rPr>
                <w:rFonts w:ascii="Cambria" w:hAnsi="Cambria" w:cs="Arial"/>
                <w:color w:val="000000"/>
                <w:sz w:val="18"/>
                <w:szCs w:val="18"/>
              </w:rPr>
            </w:pPr>
            <w:r>
              <w:rPr>
                <w:rFonts w:ascii="Cambria" w:hAnsi="Cambria"/>
                <w:color w:val="000000"/>
                <w:sz w:val="18"/>
              </w:rPr>
              <w:t>2</w:t>
            </w:r>
          </w:p>
        </w:tc>
      </w:tr>
      <w:tr w:rsidR="00DB2DF6" w14:paraId="1B5C336E" w14:textId="77777777" w:rsidTr="00521E47">
        <w:trPr>
          <w:trHeight w:val="255"/>
        </w:trPr>
        <w:tc>
          <w:tcPr>
            <w:tcW w:w="1641" w:type="pct"/>
            <w:tcBorders>
              <w:top w:val="nil"/>
              <w:left w:val="nil"/>
              <w:bottom w:val="nil"/>
              <w:right w:val="nil"/>
            </w:tcBorders>
            <w:shd w:val="clear" w:color="auto" w:fill="auto"/>
            <w:noWrap/>
            <w:vAlign w:val="bottom"/>
            <w:hideMark/>
          </w:tcPr>
          <w:p w14:paraId="77FF4AD5" w14:textId="77777777" w:rsidR="00DB2DF6" w:rsidRPr="0076441B" w:rsidRDefault="00DB2DF6" w:rsidP="00521E47">
            <w:pPr>
              <w:rPr>
                <w:rFonts w:ascii="Cambria" w:hAnsi="Cambria" w:cs="Arial"/>
                <w:b/>
                <w:bCs/>
                <w:color w:val="000000"/>
                <w:sz w:val="18"/>
                <w:szCs w:val="18"/>
              </w:rPr>
            </w:pPr>
            <w:r>
              <w:rPr>
                <w:rFonts w:ascii="Cambria" w:hAnsi="Cambria"/>
                <w:b/>
                <w:color w:val="000000"/>
                <w:sz w:val="18"/>
              </w:rPr>
              <w:lastRenderedPageBreak/>
              <w:t>Total</w:t>
            </w:r>
          </w:p>
        </w:tc>
        <w:tc>
          <w:tcPr>
            <w:tcW w:w="1087" w:type="pct"/>
            <w:tcBorders>
              <w:top w:val="single" w:sz="4" w:space="0" w:color="auto"/>
              <w:left w:val="nil"/>
              <w:bottom w:val="single" w:sz="8" w:space="0" w:color="auto"/>
              <w:right w:val="nil"/>
            </w:tcBorders>
            <w:shd w:val="clear" w:color="auto" w:fill="auto"/>
            <w:noWrap/>
            <w:vAlign w:val="bottom"/>
            <w:hideMark/>
          </w:tcPr>
          <w:p w14:paraId="17E6CE55" w14:textId="77777777" w:rsidR="00DB2DF6" w:rsidRPr="0076441B" w:rsidRDefault="00DB2DF6" w:rsidP="00521E47">
            <w:pPr>
              <w:jc w:val="right"/>
              <w:rPr>
                <w:rFonts w:ascii="Cambria" w:hAnsi="Cambria" w:cs="Arial"/>
                <w:b/>
                <w:bCs/>
                <w:color w:val="000000"/>
                <w:sz w:val="18"/>
                <w:szCs w:val="18"/>
              </w:rPr>
            </w:pPr>
            <w:r>
              <w:rPr>
                <w:rFonts w:ascii="Cambria" w:hAnsi="Cambria"/>
                <w:b/>
                <w:color w:val="000000"/>
                <w:sz w:val="18"/>
              </w:rPr>
              <w:t>237</w:t>
            </w:r>
          </w:p>
        </w:tc>
        <w:tc>
          <w:tcPr>
            <w:tcW w:w="1199" w:type="pct"/>
            <w:tcBorders>
              <w:top w:val="single" w:sz="4" w:space="0" w:color="auto"/>
              <w:left w:val="nil"/>
              <w:bottom w:val="single" w:sz="8" w:space="0" w:color="auto"/>
              <w:right w:val="nil"/>
            </w:tcBorders>
            <w:shd w:val="clear" w:color="auto" w:fill="auto"/>
            <w:noWrap/>
            <w:vAlign w:val="bottom"/>
            <w:hideMark/>
          </w:tcPr>
          <w:p w14:paraId="0C865D96" w14:textId="77777777" w:rsidR="00DB2DF6" w:rsidRPr="0076441B" w:rsidRDefault="00DB2DF6" w:rsidP="00521E47">
            <w:pPr>
              <w:jc w:val="right"/>
              <w:rPr>
                <w:rFonts w:ascii="Cambria" w:hAnsi="Cambria" w:cs="Arial"/>
                <w:b/>
                <w:bCs/>
                <w:color w:val="000000"/>
                <w:sz w:val="18"/>
                <w:szCs w:val="18"/>
              </w:rPr>
            </w:pPr>
            <w:r>
              <w:rPr>
                <w:rFonts w:ascii="Cambria" w:hAnsi="Cambria"/>
                <w:b/>
                <w:color w:val="000000"/>
                <w:sz w:val="18"/>
              </w:rPr>
              <w:t>213</w:t>
            </w:r>
          </w:p>
        </w:tc>
        <w:tc>
          <w:tcPr>
            <w:tcW w:w="1072" w:type="pct"/>
            <w:tcBorders>
              <w:top w:val="single" w:sz="4" w:space="0" w:color="auto"/>
              <w:left w:val="nil"/>
              <w:bottom w:val="single" w:sz="8" w:space="0" w:color="auto"/>
              <w:right w:val="nil"/>
            </w:tcBorders>
            <w:shd w:val="clear" w:color="auto" w:fill="auto"/>
            <w:noWrap/>
            <w:vAlign w:val="bottom"/>
            <w:hideMark/>
          </w:tcPr>
          <w:p w14:paraId="19C0FAA4" w14:textId="77777777" w:rsidR="00DB2DF6" w:rsidRDefault="00DB2DF6" w:rsidP="00521E47">
            <w:pPr>
              <w:jc w:val="right"/>
              <w:rPr>
                <w:rFonts w:ascii="Cambria" w:hAnsi="Cambria" w:cs="Arial"/>
                <w:b/>
                <w:bCs/>
                <w:color w:val="000000"/>
                <w:sz w:val="18"/>
                <w:szCs w:val="18"/>
              </w:rPr>
            </w:pPr>
            <w:r>
              <w:rPr>
                <w:rFonts w:ascii="Cambria" w:hAnsi="Cambria"/>
                <w:b/>
                <w:color w:val="000000"/>
                <w:sz w:val="18"/>
              </w:rPr>
              <w:t>24</w:t>
            </w:r>
          </w:p>
        </w:tc>
      </w:tr>
    </w:tbl>
    <w:p w14:paraId="6EBA71AF" w14:textId="77777777" w:rsidR="009950F0" w:rsidRDefault="009950F0" w:rsidP="00E16D12">
      <w:pPr>
        <w:spacing w:after="200" w:line="276" w:lineRule="auto"/>
        <w:jc w:val="both"/>
        <w:rPr>
          <w:rFonts w:ascii="Cambria" w:hAnsi="Cambria"/>
          <w:sz w:val="22"/>
          <w:szCs w:val="22"/>
        </w:rPr>
      </w:pPr>
    </w:p>
    <w:p w14:paraId="6A78E4D6" w14:textId="5820D554" w:rsidR="00E0103A" w:rsidRPr="00C17031" w:rsidRDefault="00E0103A" w:rsidP="00E0103A">
      <w:pPr>
        <w:pStyle w:val="Titolo2"/>
        <w:numPr>
          <w:ilvl w:val="0"/>
          <w:numId w:val="6"/>
        </w:numPr>
        <w:spacing w:line="240" w:lineRule="auto"/>
        <w:ind w:left="357" w:right="0" w:hanging="357"/>
        <w:jc w:val="left"/>
        <w:rPr>
          <w:rFonts w:cs="Calibri"/>
          <w:i w:val="0"/>
        </w:rPr>
      </w:pPr>
      <w:bookmarkStart w:id="146" w:name="_Toc112768678"/>
      <w:r>
        <w:rPr>
          <w:i w:val="0"/>
        </w:rPr>
        <w:t>Provisions pour risques et charges</w:t>
      </w:r>
      <w:bookmarkEnd w:id="146"/>
    </w:p>
    <w:p w14:paraId="520A5AE6" w14:textId="77777777" w:rsidR="00E0103A" w:rsidRDefault="00E0103A" w:rsidP="00174718">
      <w:pPr>
        <w:spacing w:after="200" w:line="276" w:lineRule="auto"/>
        <w:jc w:val="both"/>
        <w:rPr>
          <w:rFonts w:ascii="Cambria" w:hAnsi="Cambria" w:cs="Calibri"/>
          <w:sz w:val="22"/>
          <w:szCs w:val="22"/>
        </w:rPr>
      </w:pPr>
    </w:p>
    <w:p w14:paraId="7D16AA65" w14:textId="2CEC3D3D" w:rsidR="00174718" w:rsidRDefault="00174718" w:rsidP="00174718">
      <w:pPr>
        <w:spacing w:after="200" w:line="276" w:lineRule="auto"/>
        <w:jc w:val="both"/>
        <w:rPr>
          <w:rFonts w:ascii="Cambria" w:hAnsi="Cambria" w:cs="Calibri"/>
          <w:sz w:val="22"/>
          <w:szCs w:val="22"/>
        </w:rPr>
      </w:pPr>
      <w:r>
        <w:rPr>
          <w:rFonts w:ascii="Cambria" w:hAnsi="Cambria"/>
          <w:sz w:val="22"/>
        </w:rPr>
        <w:t>La composition du poste « Provisions pour risques et charges » au 30 juin 2021, par rapport aux mêmes valeurs au 31 décembre 2020, est présentée ci-dessous :</w:t>
      </w:r>
    </w:p>
    <w:tbl>
      <w:tblPr>
        <w:tblW w:w="5000" w:type="pct"/>
        <w:tblCellMar>
          <w:left w:w="70" w:type="dxa"/>
          <w:right w:w="70" w:type="dxa"/>
        </w:tblCellMar>
        <w:tblLook w:val="04A0" w:firstRow="1" w:lastRow="0" w:firstColumn="1" w:lastColumn="0" w:noHBand="0" w:noVBand="1"/>
      </w:tblPr>
      <w:tblGrid>
        <w:gridCol w:w="5598"/>
        <w:gridCol w:w="2020"/>
        <w:gridCol w:w="2020"/>
      </w:tblGrid>
      <w:tr w:rsidR="00760C10" w14:paraId="0BC8133D" w14:textId="77777777" w:rsidTr="00760C10">
        <w:trPr>
          <w:trHeight w:val="495"/>
        </w:trPr>
        <w:tc>
          <w:tcPr>
            <w:tcW w:w="2904" w:type="pct"/>
            <w:tcBorders>
              <w:top w:val="single" w:sz="4" w:space="0" w:color="0070C0"/>
              <w:left w:val="nil"/>
              <w:bottom w:val="single" w:sz="8" w:space="0" w:color="0070C0"/>
              <w:right w:val="nil"/>
            </w:tcBorders>
            <w:shd w:val="clear" w:color="auto" w:fill="auto"/>
            <w:noWrap/>
            <w:vAlign w:val="bottom"/>
            <w:hideMark/>
          </w:tcPr>
          <w:p w14:paraId="12C83C58" w14:textId="77777777" w:rsidR="00760C10" w:rsidRDefault="00760C10">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048" w:type="pct"/>
            <w:tcBorders>
              <w:top w:val="single" w:sz="4" w:space="0" w:color="0070C0"/>
              <w:left w:val="nil"/>
              <w:bottom w:val="single" w:sz="8" w:space="0" w:color="0070C0"/>
              <w:right w:val="nil"/>
            </w:tcBorders>
            <w:shd w:val="clear" w:color="auto" w:fill="auto"/>
            <w:vAlign w:val="bottom"/>
            <w:hideMark/>
          </w:tcPr>
          <w:p w14:paraId="26BFC57A" w14:textId="77777777" w:rsidR="00760C10" w:rsidRDefault="00760C10">
            <w:pPr>
              <w:jc w:val="center"/>
              <w:rPr>
                <w:rFonts w:ascii="Cambria" w:hAnsi="Cambria" w:cs="Arial"/>
                <w:b/>
                <w:bCs/>
                <w:color w:val="000000"/>
                <w:sz w:val="18"/>
                <w:szCs w:val="18"/>
              </w:rPr>
            </w:pPr>
            <w:r>
              <w:rPr>
                <w:rFonts w:ascii="Cambria" w:hAnsi="Cambria"/>
                <w:b/>
                <w:color w:val="000000"/>
                <w:sz w:val="18"/>
              </w:rPr>
              <w:t>Provision pour risques sur litiges</w:t>
            </w:r>
          </w:p>
        </w:tc>
        <w:tc>
          <w:tcPr>
            <w:tcW w:w="1048" w:type="pct"/>
            <w:tcBorders>
              <w:top w:val="single" w:sz="4" w:space="0" w:color="0070C0"/>
              <w:left w:val="nil"/>
              <w:bottom w:val="single" w:sz="8" w:space="0" w:color="0070C0"/>
              <w:right w:val="nil"/>
            </w:tcBorders>
            <w:shd w:val="clear" w:color="auto" w:fill="auto"/>
            <w:vAlign w:val="bottom"/>
            <w:hideMark/>
          </w:tcPr>
          <w:p w14:paraId="26079411" w14:textId="77777777" w:rsidR="00760C10" w:rsidRDefault="00760C10">
            <w:pPr>
              <w:jc w:val="center"/>
              <w:rPr>
                <w:rFonts w:ascii="Cambria" w:hAnsi="Cambria" w:cs="Arial"/>
                <w:b/>
                <w:bCs/>
                <w:color w:val="000000"/>
                <w:sz w:val="18"/>
                <w:szCs w:val="18"/>
              </w:rPr>
            </w:pPr>
            <w:r>
              <w:rPr>
                <w:rFonts w:ascii="Cambria" w:hAnsi="Cambria"/>
                <w:b/>
                <w:color w:val="000000"/>
                <w:sz w:val="18"/>
              </w:rPr>
              <w:t>Total</w:t>
            </w:r>
          </w:p>
        </w:tc>
      </w:tr>
      <w:tr w:rsidR="00760C10" w14:paraId="0B2677CB" w14:textId="77777777" w:rsidTr="00760C10">
        <w:trPr>
          <w:trHeight w:val="255"/>
        </w:trPr>
        <w:tc>
          <w:tcPr>
            <w:tcW w:w="2904" w:type="pct"/>
            <w:tcBorders>
              <w:top w:val="nil"/>
              <w:left w:val="nil"/>
              <w:bottom w:val="nil"/>
              <w:right w:val="nil"/>
            </w:tcBorders>
            <w:shd w:val="clear" w:color="auto" w:fill="auto"/>
            <w:noWrap/>
            <w:vAlign w:val="bottom"/>
            <w:hideMark/>
          </w:tcPr>
          <w:p w14:paraId="1596D471" w14:textId="77777777" w:rsidR="00760C10" w:rsidRDefault="00760C10">
            <w:pPr>
              <w:rPr>
                <w:rFonts w:ascii="Cambria" w:hAnsi="Cambria" w:cs="Arial"/>
                <w:b/>
                <w:bCs/>
                <w:color w:val="000000"/>
                <w:sz w:val="18"/>
                <w:szCs w:val="18"/>
              </w:rPr>
            </w:pPr>
            <w:r>
              <w:rPr>
                <w:rFonts w:ascii="Cambria" w:hAnsi="Cambria"/>
                <w:b/>
                <w:color w:val="000000"/>
                <w:sz w:val="18"/>
              </w:rPr>
              <w:t>Bilan au 31 décembre 2020</w:t>
            </w:r>
          </w:p>
        </w:tc>
        <w:tc>
          <w:tcPr>
            <w:tcW w:w="1048" w:type="pct"/>
            <w:tcBorders>
              <w:top w:val="single" w:sz="4" w:space="0" w:color="auto"/>
              <w:left w:val="nil"/>
              <w:bottom w:val="single" w:sz="8" w:space="0" w:color="auto"/>
              <w:right w:val="nil"/>
            </w:tcBorders>
            <w:shd w:val="clear" w:color="auto" w:fill="auto"/>
            <w:noWrap/>
            <w:vAlign w:val="bottom"/>
            <w:hideMark/>
          </w:tcPr>
          <w:p w14:paraId="5660BF40" w14:textId="77777777" w:rsidR="00760C10" w:rsidRDefault="00760C10">
            <w:pPr>
              <w:jc w:val="right"/>
              <w:rPr>
                <w:rFonts w:ascii="Cambria" w:hAnsi="Cambria" w:cs="Arial"/>
                <w:b/>
                <w:bCs/>
                <w:color w:val="000000"/>
                <w:sz w:val="18"/>
                <w:szCs w:val="18"/>
              </w:rPr>
            </w:pPr>
            <w:r>
              <w:rPr>
                <w:rFonts w:ascii="Cambria" w:hAnsi="Cambria"/>
                <w:b/>
                <w:color w:val="000000"/>
                <w:sz w:val="18"/>
              </w:rPr>
              <w:t>42 531</w:t>
            </w:r>
          </w:p>
        </w:tc>
        <w:tc>
          <w:tcPr>
            <w:tcW w:w="1048" w:type="pct"/>
            <w:tcBorders>
              <w:top w:val="single" w:sz="4" w:space="0" w:color="auto"/>
              <w:left w:val="nil"/>
              <w:bottom w:val="single" w:sz="8" w:space="0" w:color="auto"/>
              <w:right w:val="nil"/>
            </w:tcBorders>
            <w:shd w:val="clear" w:color="auto" w:fill="auto"/>
            <w:noWrap/>
            <w:vAlign w:val="bottom"/>
            <w:hideMark/>
          </w:tcPr>
          <w:p w14:paraId="5895F009" w14:textId="77777777" w:rsidR="00760C10" w:rsidRDefault="00760C10">
            <w:pPr>
              <w:jc w:val="right"/>
              <w:rPr>
                <w:rFonts w:ascii="Cambria" w:hAnsi="Cambria" w:cs="Arial"/>
                <w:b/>
                <w:bCs/>
                <w:color w:val="000000"/>
                <w:sz w:val="18"/>
                <w:szCs w:val="18"/>
              </w:rPr>
            </w:pPr>
            <w:r>
              <w:rPr>
                <w:rFonts w:ascii="Cambria" w:hAnsi="Cambria"/>
                <w:b/>
                <w:color w:val="000000"/>
                <w:sz w:val="18"/>
              </w:rPr>
              <w:t>42 531</w:t>
            </w:r>
          </w:p>
        </w:tc>
      </w:tr>
      <w:tr w:rsidR="00760C10" w14:paraId="6373AE66" w14:textId="77777777" w:rsidTr="00760C10">
        <w:trPr>
          <w:trHeight w:val="240"/>
        </w:trPr>
        <w:tc>
          <w:tcPr>
            <w:tcW w:w="2904" w:type="pct"/>
            <w:tcBorders>
              <w:top w:val="nil"/>
              <w:left w:val="nil"/>
              <w:bottom w:val="nil"/>
              <w:right w:val="nil"/>
            </w:tcBorders>
            <w:shd w:val="clear" w:color="auto" w:fill="auto"/>
            <w:noWrap/>
            <w:vAlign w:val="bottom"/>
            <w:hideMark/>
          </w:tcPr>
          <w:p w14:paraId="5DCE5726" w14:textId="77777777" w:rsidR="00760C10" w:rsidRDefault="00760C10">
            <w:pPr>
              <w:rPr>
                <w:rFonts w:ascii="Cambria" w:hAnsi="Cambria" w:cs="Arial"/>
                <w:color w:val="000000"/>
                <w:sz w:val="18"/>
                <w:szCs w:val="18"/>
              </w:rPr>
            </w:pPr>
            <w:r>
              <w:rPr>
                <w:rFonts w:ascii="Cambria" w:hAnsi="Cambria"/>
                <w:color w:val="000000"/>
                <w:sz w:val="18"/>
              </w:rPr>
              <w:t>Provision pour la période</w:t>
            </w:r>
          </w:p>
        </w:tc>
        <w:tc>
          <w:tcPr>
            <w:tcW w:w="1048" w:type="pct"/>
            <w:tcBorders>
              <w:top w:val="nil"/>
              <w:left w:val="nil"/>
              <w:bottom w:val="nil"/>
              <w:right w:val="nil"/>
            </w:tcBorders>
            <w:shd w:val="clear" w:color="auto" w:fill="auto"/>
            <w:noWrap/>
            <w:vAlign w:val="bottom"/>
            <w:hideMark/>
          </w:tcPr>
          <w:p w14:paraId="4FF233AE" w14:textId="77777777" w:rsidR="00760C10" w:rsidRDefault="00760C10">
            <w:pPr>
              <w:rPr>
                <w:rFonts w:ascii="Cambria" w:hAnsi="Cambria" w:cs="Arial"/>
                <w:color w:val="000000"/>
                <w:sz w:val="18"/>
                <w:szCs w:val="18"/>
              </w:rPr>
            </w:pPr>
            <w:r>
              <w:rPr>
                <w:rFonts w:ascii="Cambria" w:hAnsi="Cambria"/>
                <w:color w:val="000000"/>
                <w:sz w:val="18"/>
              </w:rPr>
              <w:t xml:space="preserve">                               -    </w:t>
            </w:r>
          </w:p>
        </w:tc>
        <w:tc>
          <w:tcPr>
            <w:tcW w:w="1048" w:type="pct"/>
            <w:tcBorders>
              <w:top w:val="nil"/>
              <w:left w:val="nil"/>
              <w:bottom w:val="nil"/>
              <w:right w:val="nil"/>
            </w:tcBorders>
            <w:shd w:val="clear" w:color="auto" w:fill="auto"/>
            <w:noWrap/>
            <w:vAlign w:val="bottom"/>
            <w:hideMark/>
          </w:tcPr>
          <w:p w14:paraId="19B5831D" w14:textId="77777777" w:rsidR="00760C10" w:rsidRDefault="00760C10">
            <w:pPr>
              <w:rPr>
                <w:rFonts w:ascii="Cambria" w:hAnsi="Cambria" w:cs="Arial"/>
                <w:color w:val="000000"/>
                <w:sz w:val="18"/>
                <w:szCs w:val="18"/>
              </w:rPr>
            </w:pPr>
            <w:r>
              <w:rPr>
                <w:rFonts w:ascii="Cambria" w:hAnsi="Cambria"/>
                <w:color w:val="000000"/>
                <w:sz w:val="18"/>
              </w:rPr>
              <w:t xml:space="preserve">                               -    </w:t>
            </w:r>
          </w:p>
        </w:tc>
      </w:tr>
      <w:tr w:rsidR="00760C10" w14:paraId="71B2793B" w14:textId="77777777" w:rsidTr="00760C10">
        <w:trPr>
          <w:trHeight w:val="240"/>
        </w:trPr>
        <w:tc>
          <w:tcPr>
            <w:tcW w:w="2904" w:type="pct"/>
            <w:tcBorders>
              <w:top w:val="nil"/>
              <w:left w:val="nil"/>
              <w:bottom w:val="nil"/>
              <w:right w:val="nil"/>
            </w:tcBorders>
            <w:shd w:val="clear" w:color="auto" w:fill="auto"/>
            <w:noWrap/>
            <w:vAlign w:val="bottom"/>
            <w:hideMark/>
          </w:tcPr>
          <w:p w14:paraId="67F6681A" w14:textId="77777777" w:rsidR="00760C10" w:rsidRDefault="00760C10">
            <w:pPr>
              <w:rPr>
                <w:rFonts w:ascii="Cambria" w:hAnsi="Cambria" w:cs="Arial"/>
                <w:color w:val="000000"/>
                <w:sz w:val="18"/>
                <w:szCs w:val="18"/>
              </w:rPr>
            </w:pPr>
            <w:r>
              <w:rPr>
                <w:rFonts w:ascii="Cambria" w:hAnsi="Cambria"/>
                <w:color w:val="000000"/>
                <w:sz w:val="18"/>
              </w:rPr>
              <w:t>Utilisation pendant la période</w:t>
            </w:r>
          </w:p>
        </w:tc>
        <w:tc>
          <w:tcPr>
            <w:tcW w:w="1048" w:type="pct"/>
            <w:tcBorders>
              <w:top w:val="nil"/>
              <w:left w:val="nil"/>
              <w:bottom w:val="nil"/>
              <w:right w:val="nil"/>
            </w:tcBorders>
            <w:shd w:val="clear" w:color="auto" w:fill="auto"/>
            <w:noWrap/>
            <w:vAlign w:val="bottom"/>
            <w:hideMark/>
          </w:tcPr>
          <w:p w14:paraId="7304A09B" w14:textId="77777777" w:rsidR="00760C10" w:rsidRDefault="00760C10">
            <w:pPr>
              <w:rPr>
                <w:rFonts w:ascii="Cambria" w:hAnsi="Cambria" w:cs="Arial"/>
                <w:color w:val="000000"/>
                <w:sz w:val="18"/>
                <w:szCs w:val="18"/>
              </w:rPr>
            </w:pPr>
            <w:r>
              <w:rPr>
                <w:rFonts w:ascii="Cambria" w:hAnsi="Cambria"/>
                <w:color w:val="000000"/>
                <w:sz w:val="18"/>
              </w:rPr>
              <w:t xml:space="preserve">                               -    </w:t>
            </w:r>
          </w:p>
        </w:tc>
        <w:tc>
          <w:tcPr>
            <w:tcW w:w="1048" w:type="pct"/>
            <w:tcBorders>
              <w:top w:val="nil"/>
              <w:left w:val="nil"/>
              <w:bottom w:val="nil"/>
              <w:right w:val="nil"/>
            </w:tcBorders>
            <w:shd w:val="clear" w:color="auto" w:fill="auto"/>
            <w:noWrap/>
            <w:vAlign w:val="bottom"/>
            <w:hideMark/>
          </w:tcPr>
          <w:p w14:paraId="1392617B" w14:textId="77777777" w:rsidR="00760C10" w:rsidRDefault="00760C10">
            <w:pPr>
              <w:rPr>
                <w:rFonts w:ascii="Cambria" w:hAnsi="Cambria" w:cs="Arial"/>
                <w:color w:val="000000"/>
                <w:sz w:val="18"/>
                <w:szCs w:val="18"/>
              </w:rPr>
            </w:pPr>
            <w:r>
              <w:rPr>
                <w:rFonts w:ascii="Cambria" w:hAnsi="Cambria"/>
                <w:color w:val="000000"/>
                <w:sz w:val="18"/>
              </w:rPr>
              <w:t xml:space="preserve">                               -    </w:t>
            </w:r>
          </w:p>
        </w:tc>
      </w:tr>
      <w:tr w:rsidR="00760C10" w14:paraId="680F1683" w14:textId="77777777" w:rsidTr="00760C10">
        <w:trPr>
          <w:trHeight w:val="255"/>
        </w:trPr>
        <w:tc>
          <w:tcPr>
            <w:tcW w:w="2904" w:type="pct"/>
            <w:tcBorders>
              <w:top w:val="nil"/>
              <w:left w:val="nil"/>
              <w:bottom w:val="nil"/>
              <w:right w:val="nil"/>
            </w:tcBorders>
            <w:shd w:val="clear" w:color="auto" w:fill="auto"/>
            <w:noWrap/>
            <w:vAlign w:val="bottom"/>
            <w:hideMark/>
          </w:tcPr>
          <w:p w14:paraId="66E1CC8F" w14:textId="77777777" w:rsidR="00760C10" w:rsidRDefault="00760C10">
            <w:pPr>
              <w:rPr>
                <w:rFonts w:ascii="Cambria" w:hAnsi="Cambria" w:cs="Arial"/>
                <w:b/>
                <w:bCs/>
                <w:color w:val="000000"/>
                <w:sz w:val="18"/>
                <w:szCs w:val="18"/>
              </w:rPr>
            </w:pPr>
            <w:r>
              <w:rPr>
                <w:rFonts w:ascii="Cambria" w:hAnsi="Cambria"/>
                <w:b/>
                <w:color w:val="000000"/>
                <w:sz w:val="18"/>
              </w:rPr>
              <w:t>Bilan au 30 juin 2021</w:t>
            </w:r>
          </w:p>
        </w:tc>
        <w:tc>
          <w:tcPr>
            <w:tcW w:w="1048" w:type="pct"/>
            <w:tcBorders>
              <w:top w:val="single" w:sz="4" w:space="0" w:color="auto"/>
              <w:left w:val="nil"/>
              <w:bottom w:val="single" w:sz="8" w:space="0" w:color="auto"/>
              <w:right w:val="nil"/>
            </w:tcBorders>
            <w:shd w:val="clear" w:color="auto" w:fill="auto"/>
            <w:noWrap/>
            <w:vAlign w:val="bottom"/>
            <w:hideMark/>
          </w:tcPr>
          <w:p w14:paraId="7F717B2A" w14:textId="77777777" w:rsidR="00760C10" w:rsidRDefault="00760C10">
            <w:pPr>
              <w:jc w:val="right"/>
              <w:rPr>
                <w:rFonts w:ascii="Cambria" w:hAnsi="Cambria" w:cs="Arial"/>
                <w:b/>
                <w:bCs/>
                <w:color w:val="000000"/>
                <w:sz w:val="18"/>
                <w:szCs w:val="18"/>
              </w:rPr>
            </w:pPr>
            <w:r>
              <w:rPr>
                <w:rFonts w:ascii="Cambria" w:hAnsi="Cambria"/>
                <w:b/>
                <w:color w:val="000000"/>
                <w:sz w:val="18"/>
              </w:rPr>
              <w:t>42 531</w:t>
            </w:r>
          </w:p>
        </w:tc>
        <w:tc>
          <w:tcPr>
            <w:tcW w:w="1048" w:type="pct"/>
            <w:tcBorders>
              <w:top w:val="single" w:sz="4" w:space="0" w:color="auto"/>
              <w:left w:val="nil"/>
              <w:bottom w:val="single" w:sz="8" w:space="0" w:color="auto"/>
              <w:right w:val="nil"/>
            </w:tcBorders>
            <w:shd w:val="clear" w:color="auto" w:fill="auto"/>
            <w:noWrap/>
            <w:vAlign w:val="bottom"/>
            <w:hideMark/>
          </w:tcPr>
          <w:p w14:paraId="3F8EE5B5" w14:textId="77777777" w:rsidR="00760C10" w:rsidRDefault="00760C10">
            <w:pPr>
              <w:jc w:val="right"/>
              <w:rPr>
                <w:rFonts w:ascii="Cambria" w:hAnsi="Cambria" w:cs="Arial"/>
                <w:b/>
                <w:bCs/>
                <w:color w:val="000000"/>
                <w:sz w:val="18"/>
                <w:szCs w:val="18"/>
              </w:rPr>
            </w:pPr>
            <w:r>
              <w:rPr>
                <w:rFonts w:ascii="Cambria" w:hAnsi="Cambria"/>
                <w:b/>
                <w:color w:val="000000"/>
                <w:sz w:val="18"/>
              </w:rPr>
              <w:t>42 531</w:t>
            </w:r>
          </w:p>
        </w:tc>
      </w:tr>
    </w:tbl>
    <w:p w14:paraId="75D24714" w14:textId="3A52C930" w:rsidR="009950F0" w:rsidRDefault="009950F0" w:rsidP="00174718">
      <w:pPr>
        <w:spacing w:after="200" w:line="276" w:lineRule="auto"/>
        <w:jc w:val="both"/>
        <w:rPr>
          <w:rFonts w:ascii="Cambria" w:hAnsi="Cambria" w:cs="Calibri"/>
          <w:sz w:val="22"/>
          <w:szCs w:val="22"/>
        </w:rPr>
      </w:pPr>
    </w:p>
    <w:p w14:paraId="6497A725" w14:textId="51B93DD9" w:rsidR="00174718" w:rsidRPr="00C17031" w:rsidRDefault="00174718" w:rsidP="00174718">
      <w:pPr>
        <w:spacing w:after="200" w:line="276" w:lineRule="auto"/>
        <w:jc w:val="both"/>
        <w:rPr>
          <w:rFonts w:ascii="Cambria" w:hAnsi="Cambria"/>
          <w:sz w:val="22"/>
          <w:szCs w:val="22"/>
        </w:rPr>
      </w:pPr>
      <w:r>
        <w:rPr>
          <w:rFonts w:ascii="Cambria" w:hAnsi="Cambria"/>
          <w:sz w:val="22"/>
        </w:rPr>
        <w:t>Au 30 juin 2021, le poste comprend le montant mis en réserve par le Take Off pour les risques jugés probables en raison de conflits de droit du travail.</w:t>
      </w:r>
    </w:p>
    <w:p w14:paraId="28F424AA" w14:textId="77777777" w:rsidR="00174718" w:rsidRDefault="00174718" w:rsidP="00174718"/>
    <w:p w14:paraId="57BF3D2F" w14:textId="7B112BD3" w:rsidR="00DB2B48" w:rsidRDefault="00DB2B48" w:rsidP="00E16D12">
      <w:pPr>
        <w:pStyle w:val="Titolo2"/>
        <w:numPr>
          <w:ilvl w:val="0"/>
          <w:numId w:val="6"/>
        </w:numPr>
        <w:spacing w:line="240" w:lineRule="auto"/>
        <w:ind w:left="357" w:right="0" w:hanging="357"/>
        <w:jc w:val="left"/>
        <w:rPr>
          <w:rFonts w:cs="Calibri"/>
          <w:i w:val="0"/>
        </w:rPr>
      </w:pPr>
      <w:bookmarkStart w:id="147" w:name="_Toc112768679"/>
      <w:r>
        <w:rPr>
          <w:i w:val="0"/>
        </w:rPr>
        <w:t>Autre passif à long terme</w:t>
      </w:r>
      <w:bookmarkEnd w:id="147"/>
    </w:p>
    <w:p w14:paraId="5CCB47E5" w14:textId="14DD8F39" w:rsidR="00DB2B48" w:rsidRDefault="00DB2B48" w:rsidP="00DB2B48"/>
    <w:p w14:paraId="08FE21DA" w14:textId="4D2E4254" w:rsidR="00DB2B48" w:rsidRDefault="00DB2B48" w:rsidP="00DB2B48">
      <w:pPr>
        <w:spacing w:after="200" w:line="276" w:lineRule="auto"/>
        <w:jc w:val="both"/>
        <w:rPr>
          <w:rFonts w:ascii="Cambria" w:hAnsi="Cambria" w:cs="Calibri"/>
          <w:sz w:val="22"/>
          <w:szCs w:val="22"/>
        </w:rPr>
      </w:pPr>
      <w:r>
        <w:rPr>
          <w:rFonts w:ascii="Cambria" w:hAnsi="Cambria"/>
          <w:sz w:val="22"/>
        </w:rPr>
        <w:t>La ventilation du poste « Autres passifs à long terme » au 30 juin 2021, par rapport aux mêmes valeurs au 31 décembre 2020, est la suivante :</w:t>
      </w:r>
    </w:p>
    <w:tbl>
      <w:tblPr>
        <w:tblW w:w="5000" w:type="pct"/>
        <w:tblCellMar>
          <w:left w:w="70" w:type="dxa"/>
          <w:right w:w="70" w:type="dxa"/>
        </w:tblCellMar>
        <w:tblLook w:val="04A0" w:firstRow="1" w:lastRow="0" w:firstColumn="1" w:lastColumn="0" w:noHBand="0" w:noVBand="1"/>
      </w:tblPr>
      <w:tblGrid>
        <w:gridCol w:w="4443"/>
        <w:gridCol w:w="1733"/>
        <w:gridCol w:w="1731"/>
        <w:gridCol w:w="1731"/>
      </w:tblGrid>
      <w:tr w:rsidR="00274767" w14:paraId="527C00C7" w14:textId="77777777" w:rsidTr="003F166F">
        <w:trPr>
          <w:trHeight w:val="495"/>
        </w:trPr>
        <w:tc>
          <w:tcPr>
            <w:tcW w:w="2305" w:type="pct"/>
            <w:tcBorders>
              <w:top w:val="single" w:sz="4" w:space="0" w:color="0070C0"/>
              <w:left w:val="nil"/>
              <w:bottom w:val="single" w:sz="8" w:space="0" w:color="0070C0"/>
              <w:right w:val="nil"/>
            </w:tcBorders>
            <w:shd w:val="clear" w:color="auto" w:fill="auto"/>
            <w:noWrap/>
            <w:vAlign w:val="bottom"/>
            <w:hideMark/>
          </w:tcPr>
          <w:p w14:paraId="40E4C23C" w14:textId="77777777" w:rsidR="00274767" w:rsidRDefault="00274767">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899" w:type="pct"/>
            <w:tcBorders>
              <w:top w:val="single" w:sz="4" w:space="0" w:color="0070C0"/>
              <w:left w:val="nil"/>
              <w:bottom w:val="single" w:sz="8" w:space="0" w:color="0070C0"/>
              <w:right w:val="nil"/>
            </w:tcBorders>
            <w:shd w:val="clear" w:color="auto" w:fill="auto"/>
            <w:vAlign w:val="bottom"/>
            <w:hideMark/>
          </w:tcPr>
          <w:p w14:paraId="22FC3BD5" w14:textId="77777777" w:rsidR="00274767" w:rsidRDefault="00274767">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898" w:type="pct"/>
            <w:tcBorders>
              <w:top w:val="single" w:sz="4" w:space="0" w:color="0070C0"/>
              <w:left w:val="nil"/>
              <w:bottom w:val="single" w:sz="8" w:space="0" w:color="0070C0"/>
              <w:right w:val="nil"/>
            </w:tcBorders>
            <w:shd w:val="clear" w:color="auto" w:fill="auto"/>
            <w:vAlign w:val="bottom"/>
            <w:hideMark/>
          </w:tcPr>
          <w:p w14:paraId="41903185" w14:textId="77777777" w:rsidR="00274767" w:rsidRDefault="00274767">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c>
          <w:tcPr>
            <w:tcW w:w="898" w:type="pct"/>
            <w:tcBorders>
              <w:top w:val="single" w:sz="4" w:space="0" w:color="0070C0"/>
              <w:left w:val="nil"/>
              <w:bottom w:val="single" w:sz="8" w:space="0" w:color="0070C0"/>
              <w:right w:val="nil"/>
            </w:tcBorders>
            <w:shd w:val="clear" w:color="auto" w:fill="auto"/>
            <w:vAlign w:val="bottom"/>
            <w:hideMark/>
          </w:tcPr>
          <w:p w14:paraId="53C89EAC" w14:textId="77777777" w:rsidR="00274767" w:rsidRDefault="00274767">
            <w:pPr>
              <w:jc w:val="center"/>
              <w:rPr>
                <w:rFonts w:ascii="Cambria" w:hAnsi="Cambria" w:cs="Arial"/>
                <w:b/>
                <w:bCs/>
                <w:color w:val="000000"/>
                <w:sz w:val="18"/>
                <w:szCs w:val="18"/>
              </w:rPr>
            </w:pPr>
            <w:r>
              <w:rPr>
                <w:rFonts w:ascii="Cambria" w:hAnsi="Cambria"/>
                <w:b/>
                <w:color w:val="000000"/>
                <w:sz w:val="18"/>
              </w:rPr>
              <w:t>Variations</w:t>
            </w:r>
          </w:p>
        </w:tc>
      </w:tr>
      <w:tr w:rsidR="00274767" w14:paraId="2EF3D6CF" w14:textId="77777777" w:rsidTr="003F166F">
        <w:trPr>
          <w:trHeight w:val="240"/>
        </w:trPr>
        <w:tc>
          <w:tcPr>
            <w:tcW w:w="2305" w:type="pct"/>
            <w:tcBorders>
              <w:top w:val="nil"/>
              <w:left w:val="nil"/>
              <w:bottom w:val="nil"/>
              <w:right w:val="nil"/>
            </w:tcBorders>
            <w:shd w:val="clear" w:color="auto" w:fill="auto"/>
            <w:noWrap/>
            <w:vAlign w:val="bottom"/>
            <w:hideMark/>
          </w:tcPr>
          <w:p w14:paraId="7A36B964" w14:textId="77777777" w:rsidR="00274767" w:rsidRDefault="00274767">
            <w:pPr>
              <w:rPr>
                <w:rFonts w:ascii="Cambria" w:hAnsi="Cambria" w:cs="Arial"/>
                <w:color w:val="000000"/>
                <w:sz w:val="18"/>
                <w:szCs w:val="18"/>
              </w:rPr>
            </w:pPr>
            <w:r>
              <w:rPr>
                <w:rFonts w:ascii="Cambria" w:hAnsi="Cambria"/>
                <w:color w:val="000000"/>
                <w:sz w:val="18"/>
              </w:rPr>
              <w:t>Dépôts de garantie</w:t>
            </w:r>
          </w:p>
        </w:tc>
        <w:tc>
          <w:tcPr>
            <w:tcW w:w="899" w:type="pct"/>
            <w:tcBorders>
              <w:top w:val="nil"/>
              <w:left w:val="nil"/>
              <w:bottom w:val="nil"/>
              <w:right w:val="nil"/>
            </w:tcBorders>
            <w:shd w:val="clear" w:color="auto" w:fill="auto"/>
            <w:noWrap/>
            <w:vAlign w:val="bottom"/>
            <w:hideMark/>
          </w:tcPr>
          <w:p w14:paraId="20732F23" w14:textId="77777777" w:rsidR="00274767" w:rsidRDefault="00274767">
            <w:pPr>
              <w:jc w:val="right"/>
              <w:rPr>
                <w:rFonts w:ascii="Cambria" w:hAnsi="Cambria" w:cs="Arial"/>
                <w:color w:val="000000"/>
                <w:sz w:val="18"/>
                <w:szCs w:val="18"/>
              </w:rPr>
            </w:pPr>
            <w:r>
              <w:rPr>
                <w:rFonts w:ascii="Cambria" w:hAnsi="Cambria"/>
                <w:color w:val="000000"/>
                <w:sz w:val="18"/>
              </w:rPr>
              <w:t>75 000</w:t>
            </w:r>
          </w:p>
        </w:tc>
        <w:tc>
          <w:tcPr>
            <w:tcW w:w="898" w:type="pct"/>
            <w:tcBorders>
              <w:top w:val="nil"/>
              <w:left w:val="nil"/>
              <w:bottom w:val="nil"/>
              <w:right w:val="nil"/>
            </w:tcBorders>
            <w:shd w:val="clear" w:color="auto" w:fill="auto"/>
            <w:noWrap/>
            <w:vAlign w:val="bottom"/>
            <w:hideMark/>
          </w:tcPr>
          <w:p w14:paraId="7DE4044A" w14:textId="77777777" w:rsidR="00274767" w:rsidRDefault="00274767">
            <w:pPr>
              <w:jc w:val="right"/>
              <w:rPr>
                <w:rFonts w:ascii="Cambria" w:hAnsi="Cambria" w:cs="Arial"/>
                <w:color w:val="000000"/>
                <w:sz w:val="18"/>
                <w:szCs w:val="18"/>
              </w:rPr>
            </w:pPr>
            <w:r>
              <w:rPr>
                <w:rFonts w:ascii="Cambria" w:hAnsi="Cambria"/>
                <w:color w:val="000000"/>
                <w:sz w:val="18"/>
              </w:rPr>
              <w:t>58 000</w:t>
            </w:r>
          </w:p>
        </w:tc>
        <w:tc>
          <w:tcPr>
            <w:tcW w:w="898" w:type="pct"/>
            <w:tcBorders>
              <w:top w:val="nil"/>
              <w:left w:val="nil"/>
              <w:bottom w:val="nil"/>
              <w:right w:val="nil"/>
            </w:tcBorders>
            <w:shd w:val="clear" w:color="auto" w:fill="auto"/>
            <w:noWrap/>
            <w:vAlign w:val="bottom"/>
            <w:hideMark/>
          </w:tcPr>
          <w:p w14:paraId="2F857C07" w14:textId="77777777" w:rsidR="00274767" w:rsidRDefault="00274767">
            <w:pPr>
              <w:jc w:val="right"/>
              <w:rPr>
                <w:rFonts w:ascii="Cambria" w:hAnsi="Cambria" w:cs="Arial"/>
                <w:color w:val="000000"/>
                <w:sz w:val="18"/>
                <w:szCs w:val="18"/>
              </w:rPr>
            </w:pPr>
            <w:r>
              <w:rPr>
                <w:rFonts w:ascii="Cambria" w:hAnsi="Cambria"/>
                <w:color w:val="000000"/>
                <w:sz w:val="18"/>
              </w:rPr>
              <w:t>17 000</w:t>
            </w:r>
          </w:p>
        </w:tc>
      </w:tr>
      <w:tr w:rsidR="008D5971" w14:paraId="148B0BAE" w14:textId="77777777" w:rsidTr="003F166F">
        <w:trPr>
          <w:trHeight w:val="255"/>
        </w:trPr>
        <w:tc>
          <w:tcPr>
            <w:tcW w:w="2305" w:type="pct"/>
            <w:tcBorders>
              <w:top w:val="nil"/>
              <w:left w:val="nil"/>
              <w:bottom w:val="nil"/>
              <w:right w:val="nil"/>
            </w:tcBorders>
            <w:shd w:val="clear" w:color="auto" w:fill="auto"/>
            <w:noWrap/>
            <w:vAlign w:val="bottom"/>
            <w:hideMark/>
          </w:tcPr>
          <w:p w14:paraId="0DADFADA" w14:textId="2685A937" w:rsidR="008D5971" w:rsidRDefault="008D5971" w:rsidP="008D5971">
            <w:pPr>
              <w:rPr>
                <w:rFonts w:ascii="Cambria" w:hAnsi="Cambria" w:cs="Arial"/>
                <w:b/>
                <w:bCs/>
                <w:color w:val="000000"/>
                <w:sz w:val="18"/>
                <w:szCs w:val="18"/>
              </w:rPr>
            </w:pPr>
            <w:r>
              <w:rPr>
                <w:rFonts w:ascii="Cambria" w:hAnsi="Cambria"/>
                <w:b/>
                <w:color w:val="000000"/>
                <w:sz w:val="18"/>
              </w:rPr>
              <w:t>Total Passif à long terme</w:t>
            </w:r>
          </w:p>
        </w:tc>
        <w:tc>
          <w:tcPr>
            <w:tcW w:w="899" w:type="pct"/>
            <w:tcBorders>
              <w:top w:val="single" w:sz="4" w:space="0" w:color="auto"/>
              <w:left w:val="nil"/>
              <w:bottom w:val="single" w:sz="8" w:space="0" w:color="auto"/>
              <w:right w:val="nil"/>
            </w:tcBorders>
            <w:shd w:val="clear" w:color="auto" w:fill="auto"/>
            <w:noWrap/>
            <w:hideMark/>
          </w:tcPr>
          <w:p w14:paraId="667D23A2" w14:textId="32CA04ED" w:rsidR="008D5971" w:rsidRPr="008D5971" w:rsidRDefault="008D5971" w:rsidP="008D5971">
            <w:pPr>
              <w:jc w:val="right"/>
              <w:rPr>
                <w:rFonts w:ascii="Cambria" w:hAnsi="Cambria" w:cs="Arial"/>
                <w:b/>
                <w:bCs/>
                <w:color w:val="000000"/>
                <w:sz w:val="18"/>
                <w:szCs w:val="18"/>
              </w:rPr>
            </w:pPr>
            <w:r>
              <w:rPr>
                <w:rFonts w:ascii="Cambria" w:hAnsi="Cambria"/>
                <w:b/>
                <w:sz w:val="18"/>
              </w:rPr>
              <w:t>75 000</w:t>
            </w:r>
          </w:p>
        </w:tc>
        <w:tc>
          <w:tcPr>
            <w:tcW w:w="898" w:type="pct"/>
            <w:tcBorders>
              <w:top w:val="single" w:sz="4" w:space="0" w:color="auto"/>
              <w:left w:val="nil"/>
              <w:bottom w:val="single" w:sz="8" w:space="0" w:color="auto"/>
              <w:right w:val="nil"/>
            </w:tcBorders>
            <w:shd w:val="clear" w:color="auto" w:fill="auto"/>
            <w:noWrap/>
            <w:hideMark/>
          </w:tcPr>
          <w:p w14:paraId="69CCDEA8" w14:textId="0B2BB970" w:rsidR="008D5971" w:rsidRPr="008D5971" w:rsidRDefault="008D5971" w:rsidP="008D5971">
            <w:pPr>
              <w:jc w:val="right"/>
              <w:rPr>
                <w:rFonts w:ascii="Cambria" w:hAnsi="Cambria" w:cs="Arial"/>
                <w:b/>
                <w:bCs/>
                <w:color w:val="000000"/>
                <w:sz w:val="18"/>
                <w:szCs w:val="18"/>
              </w:rPr>
            </w:pPr>
            <w:r>
              <w:rPr>
                <w:rFonts w:ascii="Cambria" w:hAnsi="Cambria"/>
                <w:b/>
                <w:sz w:val="18"/>
              </w:rPr>
              <w:t>58 000</w:t>
            </w:r>
          </w:p>
        </w:tc>
        <w:tc>
          <w:tcPr>
            <w:tcW w:w="898" w:type="pct"/>
            <w:tcBorders>
              <w:top w:val="single" w:sz="4" w:space="0" w:color="auto"/>
              <w:left w:val="nil"/>
              <w:bottom w:val="single" w:sz="8" w:space="0" w:color="auto"/>
              <w:right w:val="nil"/>
            </w:tcBorders>
            <w:shd w:val="clear" w:color="auto" w:fill="auto"/>
            <w:noWrap/>
            <w:hideMark/>
          </w:tcPr>
          <w:p w14:paraId="7386C6F1" w14:textId="2775C027" w:rsidR="008D5971" w:rsidRPr="008D5971" w:rsidRDefault="008D5971" w:rsidP="008D5971">
            <w:pPr>
              <w:jc w:val="right"/>
              <w:rPr>
                <w:rFonts w:ascii="Cambria" w:hAnsi="Cambria" w:cs="Arial"/>
                <w:b/>
                <w:bCs/>
                <w:color w:val="000000"/>
                <w:sz w:val="18"/>
                <w:szCs w:val="18"/>
              </w:rPr>
            </w:pPr>
            <w:r>
              <w:rPr>
                <w:rFonts w:ascii="Cambria" w:hAnsi="Cambria"/>
                <w:b/>
                <w:sz w:val="18"/>
              </w:rPr>
              <w:t>17 000</w:t>
            </w:r>
          </w:p>
        </w:tc>
      </w:tr>
    </w:tbl>
    <w:p w14:paraId="12CC48A3" w14:textId="1617B225" w:rsidR="00DB2B48" w:rsidRDefault="00DB2B48" w:rsidP="00DB2B48"/>
    <w:p w14:paraId="1B11F23C" w14:textId="5C6162FB" w:rsidR="00DB2B48" w:rsidRDefault="00814DB8" w:rsidP="00DB2DF6">
      <w:pPr>
        <w:jc w:val="both"/>
        <w:rPr>
          <w:rFonts w:ascii="Cambria" w:hAnsi="Cambria" w:cs="Calibri"/>
          <w:sz w:val="22"/>
          <w:szCs w:val="22"/>
        </w:rPr>
      </w:pPr>
      <w:r>
        <w:rPr>
          <w:rFonts w:ascii="Cambria" w:hAnsi="Cambria"/>
          <w:sz w:val="22"/>
        </w:rPr>
        <w:t>Au 30 juin 2021, le poste comprend le montant des dépôts de garantie en tant que garanties non productives d'intérêts versées à Over.</w:t>
      </w:r>
    </w:p>
    <w:p w14:paraId="4F027EF2" w14:textId="77777777" w:rsidR="00422415" w:rsidRPr="00DB2B48" w:rsidRDefault="00422415" w:rsidP="00DB2B48"/>
    <w:p w14:paraId="392F48A7" w14:textId="390A35D0" w:rsidR="00E16D12" w:rsidRPr="00C17031" w:rsidRDefault="00E16D12" w:rsidP="00E16D12">
      <w:pPr>
        <w:pStyle w:val="Titolo2"/>
        <w:numPr>
          <w:ilvl w:val="0"/>
          <w:numId w:val="6"/>
        </w:numPr>
        <w:spacing w:line="240" w:lineRule="auto"/>
        <w:ind w:left="357" w:right="0" w:hanging="357"/>
        <w:jc w:val="left"/>
        <w:rPr>
          <w:rFonts w:cs="Calibri"/>
          <w:i w:val="0"/>
        </w:rPr>
      </w:pPr>
      <w:bookmarkStart w:id="148" w:name="_Toc112768680"/>
      <w:r>
        <w:rPr>
          <w:i w:val="0"/>
        </w:rPr>
        <w:t>Impôts différés passif</w:t>
      </w:r>
      <w:bookmarkEnd w:id="148"/>
    </w:p>
    <w:p w14:paraId="6602FFAA" w14:textId="77777777" w:rsidR="00E16D12" w:rsidRPr="00C17031" w:rsidRDefault="00E16D12" w:rsidP="00E16D12">
      <w:pPr>
        <w:jc w:val="both"/>
        <w:rPr>
          <w:rFonts w:ascii="Cambria" w:hAnsi="Cambria" w:cs="Calibri"/>
          <w:sz w:val="22"/>
          <w:szCs w:val="22"/>
        </w:rPr>
      </w:pPr>
    </w:p>
    <w:p w14:paraId="200B1462" w14:textId="77777777" w:rsidR="001D1481" w:rsidRDefault="00E16D12" w:rsidP="001D1481">
      <w:pPr>
        <w:spacing w:after="200" w:line="276" w:lineRule="auto"/>
        <w:jc w:val="both"/>
        <w:rPr>
          <w:rFonts w:ascii="Cambria" w:hAnsi="Cambria" w:cs="Calibri"/>
          <w:sz w:val="22"/>
          <w:szCs w:val="22"/>
        </w:rPr>
      </w:pPr>
      <w:r>
        <w:rPr>
          <w:rFonts w:ascii="Cambria" w:hAnsi="Cambria"/>
          <w:sz w:val="22"/>
        </w:rPr>
        <w:t>La ventilation du poste « Passif d’impôt différé » au 30 juin 2021, par rapport aux mêmes valeurs au 31 décembre 2020, est présentée ci-dessous :</w:t>
      </w:r>
    </w:p>
    <w:tbl>
      <w:tblPr>
        <w:tblW w:w="5000" w:type="pct"/>
        <w:tblCellMar>
          <w:left w:w="70" w:type="dxa"/>
          <w:right w:w="70" w:type="dxa"/>
        </w:tblCellMar>
        <w:tblLook w:val="04A0" w:firstRow="1" w:lastRow="0" w:firstColumn="1" w:lastColumn="0" w:noHBand="0" w:noVBand="1"/>
      </w:tblPr>
      <w:tblGrid>
        <w:gridCol w:w="3578"/>
        <w:gridCol w:w="2020"/>
        <w:gridCol w:w="2020"/>
        <w:gridCol w:w="2020"/>
      </w:tblGrid>
      <w:tr w:rsidR="001D1481" w14:paraId="5F893B3A" w14:textId="77777777" w:rsidTr="001D1481">
        <w:trPr>
          <w:trHeight w:val="495"/>
        </w:trPr>
        <w:tc>
          <w:tcPr>
            <w:tcW w:w="1856" w:type="pct"/>
            <w:tcBorders>
              <w:top w:val="single" w:sz="4" w:space="0" w:color="0070C0"/>
              <w:left w:val="nil"/>
              <w:bottom w:val="single" w:sz="8" w:space="0" w:color="0070C0"/>
              <w:right w:val="nil"/>
            </w:tcBorders>
            <w:shd w:val="clear" w:color="auto" w:fill="auto"/>
            <w:noWrap/>
            <w:vAlign w:val="bottom"/>
            <w:hideMark/>
          </w:tcPr>
          <w:p w14:paraId="0912B2B5" w14:textId="77777777" w:rsidR="001D1481" w:rsidRDefault="001D1481">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048" w:type="pct"/>
            <w:tcBorders>
              <w:top w:val="single" w:sz="4" w:space="0" w:color="0070C0"/>
              <w:left w:val="nil"/>
              <w:bottom w:val="single" w:sz="8" w:space="0" w:color="0070C0"/>
              <w:right w:val="nil"/>
            </w:tcBorders>
            <w:shd w:val="clear" w:color="auto" w:fill="auto"/>
            <w:vAlign w:val="bottom"/>
            <w:hideMark/>
          </w:tcPr>
          <w:p w14:paraId="2D5E7F41" w14:textId="77777777" w:rsidR="001D1481" w:rsidRDefault="001D1481">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1048" w:type="pct"/>
            <w:tcBorders>
              <w:top w:val="single" w:sz="4" w:space="0" w:color="0070C0"/>
              <w:left w:val="nil"/>
              <w:bottom w:val="single" w:sz="8" w:space="0" w:color="0070C0"/>
              <w:right w:val="nil"/>
            </w:tcBorders>
            <w:shd w:val="clear" w:color="auto" w:fill="auto"/>
            <w:vAlign w:val="bottom"/>
            <w:hideMark/>
          </w:tcPr>
          <w:p w14:paraId="1D44AE9E" w14:textId="77777777" w:rsidR="001D1481" w:rsidRDefault="001D1481">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c>
          <w:tcPr>
            <w:tcW w:w="1048" w:type="pct"/>
            <w:tcBorders>
              <w:top w:val="single" w:sz="4" w:space="0" w:color="0070C0"/>
              <w:left w:val="nil"/>
              <w:bottom w:val="single" w:sz="8" w:space="0" w:color="0070C0"/>
              <w:right w:val="nil"/>
            </w:tcBorders>
            <w:shd w:val="clear" w:color="auto" w:fill="auto"/>
            <w:vAlign w:val="bottom"/>
            <w:hideMark/>
          </w:tcPr>
          <w:p w14:paraId="6EEB9A3E" w14:textId="77777777" w:rsidR="001D1481" w:rsidRDefault="001D1481">
            <w:pPr>
              <w:jc w:val="center"/>
              <w:rPr>
                <w:rFonts w:ascii="Cambria" w:hAnsi="Cambria" w:cs="Arial"/>
                <w:b/>
                <w:bCs/>
                <w:color w:val="000000"/>
                <w:sz w:val="18"/>
                <w:szCs w:val="18"/>
              </w:rPr>
            </w:pPr>
            <w:r>
              <w:rPr>
                <w:rFonts w:ascii="Cambria" w:hAnsi="Cambria"/>
                <w:b/>
                <w:color w:val="000000"/>
                <w:sz w:val="18"/>
              </w:rPr>
              <w:t>Variations</w:t>
            </w:r>
          </w:p>
        </w:tc>
      </w:tr>
      <w:tr w:rsidR="001D1481" w14:paraId="7714424F" w14:textId="77777777" w:rsidTr="001D1481">
        <w:trPr>
          <w:trHeight w:val="240"/>
        </w:trPr>
        <w:tc>
          <w:tcPr>
            <w:tcW w:w="1856" w:type="pct"/>
            <w:tcBorders>
              <w:top w:val="nil"/>
              <w:left w:val="nil"/>
              <w:bottom w:val="nil"/>
              <w:right w:val="nil"/>
            </w:tcBorders>
            <w:shd w:val="clear" w:color="auto" w:fill="auto"/>
            <w:noWrap/>
            <w:vAlign w:val="bottom"/>
            <w:hideMark/>
          </w:tcPr>
          <w:p w14:paraId="2EB1FFE8" w14:textId="77777777" w:rsidR="001D1481" w:rsidRDefault="001D1481">
            <w:pPr>
              <w:rPr>
                <w:rFonts w:ascii="Cambria" w:hAnsi="Cambria" w:cs="Arial"/>
                <w:color w:val="000000"/>
                <w:sz w:val="18"/>
                <w:szCs w:val="18"/>
              </w:rPr>
            </w:pPr>
            <w:r>
              <w:rPr>
                <w:rFonts w:ascii="Cambria" w:hAnsi="Cambria"/>
                <w:color w:val="000000"/>
                <w:sz w:val="18"/>
              </w:rPr>
              <w:t>Impôts différés passif</w:t>
            </w:r>
          </w:p>
        </w:tc>
        <w:tc>
          <w:tcPr>
            <w:tcW w:w="1048" w:type="pct"/>
            <w:tcBorders>
              <w:top w:val="nil"/>
              <w:left w:val="nil"/>
              <w:bottom w:val="nil"/>
              <w:right w:val="nil"/>
            </w:tcBorders>
            <w:shd w:val="clear" w:color="auto" w:fill="auto"/>
            <w:noWrap/>
            <w:vAlign w:val="bottom"/>
            <w:hideMark/>
          </w:tcPr>
          <w:p w14:paraId="7DB326F8" w14:textId="77777777" w:rsidR="001D1481" w:rsidRDefault="001D1481">
            <w:pPr>
              <w:jc w:val="right"/>
              <w:rPr>
                <w:rFonts w:ascii="Cambria" w:hAnsi="Cambria" w:cs="Arial"/>
                <w:color w:val="000000"/>
                <w:sz w:val="18"/>
                <w:szCs w:val="18"/>
              </w:rPr>
            </w:pPr>
            <w:r>
              <w:rPr>
                <w:rFonts w:ascii="Cambria" w:hAnsi="Cambria"/>
                <w:color w:val="000000"/>
                <w:sz w:val="18"/>
              </w:rPr>
              <w:t>52 257</w:t>
            </w:r>
          </w:p>
        </w:tc>
        <w:tc>
          <w:tcPr>
            <w:tcW w:w="1048" w:type="pct"/>
            <w:tcBorders>
              <w:top w:val="nil"/>
              <w:left w:val="nil"/>
              <w:bottom w:val="nil"/>
              <w:right w:val="nil"/>
            </w:tcBorders>
            <w:shd w:val="clear" w:color="auto" w:fill="auto"/>
            <w:noWrap/>
            <w:vAlign w:val="bottom"/>
            <w:hideMark/>
          </w:tcPr>
          <w:p w14:paraId="5CEAE111" w14:textId="77777777" w:rsidR="001D1481" w:rsidRDefault="001D1481">
            <w:pPr>
              <w:jc w:val="right"/>
              <w:rPr>
                <w:rFonts w:ascii="Cambria" w:hAnsi="Cambria" w:cs="Arial"/>
                <w:color w:val="000000"/>
                <w:sz w:val="18"/>
                <w:szCs w:val="18"/>
              </w:rPr>
            </w:pPr>
            <w:r>
              <w:rPr>
                <w:rFonts w:ascii="Cambria" w:hAnsi="Cambria"/>
                <w:color w:val="000000"/>
                <w:sz w:val="18"/>
              </w:rPr>
              <w:t>52 257</w:t>
            </w:r>
          </w:p>
        </w:tc>
        <w:tc>
          <w:tcPr>
            <w:tcW w:w="1048" w:type="pct"/>
            <w:tcBorders>
              <w:top w:val="nil"/>
              <w:left w:val="nil"/>
              <w:bottom w:val="nil"/>
              <w:right w:val="nil"/>
            </w:tcBorders>
            <w:shd w:val="clear" w:color="auto" w:fill="auto"/>
            <w:noWrap/>
            <w:vAlign w:val="bottom"/>
            <w:hideMark/>
          </w:tcPr>
          <w:p w14:paraId="39C93573" w14:textId="77777777" w:rsidR="001D1481" w:rsidRDefault="001D1481">
            <w:pPr>
              <w:jc w:val="right"/>
              <w:rPr>
                <w:rFonts w:ascii="Cambria" w:hAnsi="Cambria" w:cs="Arial"/>
                <w:color w:val="000000"/>
                <w:sz w:val="18"/>
                <w:szCs w:val="18"/>
              </w:rPr>
            </w:pPr>
            <w:r>
              <w:rPr>
                <w:rFonts w:ascii="Cambria" w:hAnsi="Cambria"/>
                <w:color w:val="000000"/>
                <w:sz w:val="18"/>
              </w:rPr>
              <w:t>0</w:t>
            </w:r>
          </w:p>
        </w:tc>
      </w:tr>
      <w:tr w:rsidR="001D1481" w14:paraId="673BA9D5" w14:textId="77777777" w:rsidTr="001D1481">
        <w:trPr>
          <w:trHeight w:val="255"/>
        </w:trPr>
        <w:tc>
          <w:tcPr>
            <w:tcW w:w="1856" w:type="pct"/>
            <w:tcBorders>
              <w:top w:val="nil"/>
              <w:left w:val="nil"/>
              <w:bottom w:val="nil"/>
              <w:right w:val="nil"/>
            </w:tcBorders>
            <w:shd w:val="clear" w:color="auto" w:fill="auto"/>
            <w:noWrap/>
            <w:vAlign w:val="bottom"/>
            <w:hideMark/>
          </w:tcPr>
          <w:p w14:paraId="5F40C01E" w14:textId="77777777" w:rsidR="001D1481" w:rsidRDefault="001D1481">
            <w:pPr>
              <w:rPr>
                <w:rFonts w:ascii="Cambria" w:hAnsi="Cambria" w:cs="Arial"/>
                <w:b/>
                <w:bCs/>
                <w:color w:val="000000"/>
                <w:sz w:val="18"/>
                <w:szCs w:val="18"/>
              </w:rPr>
            </w:pPr>
            <w:r>
              <w:rPr>
                <w:rFonts w:ascii="Cambria" w:hAnsi="Cambria"/>
                <w:b/>
                <w:color w:val="000000"/>
                <w:sz w:val="18"/>
              </w:rPr>
              <w:t>Total Passif d’impôt différé</w:t>
            </w:r>
          </w:p>
        </w:tc>
        <w:tc>
          <w:tcPr>
            <w:tcW w:w="1048" w:type="pct"/>
            <w:tcBorders>
              <w:top w:val="single" w:sz="4" w:space="0" w:color="auto"/>
              <w:left w:val="nil"/>
              <w:bottom w:val="single" w:sz="8" w:space="0" w:color="auto"/>
              <w:right w:val="nil"/>
            </w:tcBorders>
            <w:shd w:val="clear" w:color="auto" w:fill="auto"/>
            <w:noWrap/>
            <w:vAlign w:val="bottom"/>
            <w:hideMark/>
          </w:tcPr>
          <w:p w14:paraId="52171CA2" w14:textId="77777777" w:rsidR="001D1481" w:rsidRDefault="001D1481">
            <w:pPr>
              <w:jc w:val="right"/>
              <w:rPr>
                <w:rFonts w:ascii="Cambria" w:hAnsi="Cambria" w:cs="Arial"/>
                <w:b/>
                <w:bCs/>
                <w:color w:val="000000"/>
                <w:sz w:val="18"/>
                <w:szCs w:val="18"/>
              </w:rPr>
            </w:pPr>
            <w:r>
              <w:rPr>
                <w:rFonts w:ascii="Cambria" w:hAnsi="Cambria"/>
                <w:b/>
                <w:color w:val="000000"/>
                <w:sz w:val="18"/>
              </w:rPr>
              <w:t>52 257</w:t>
            </w:r>
          </w:p>
        </w:tc>
        <w:tc>
          <w:tcPr>
            <w:tcW w:w="1048" w:type="pct"/>
            <w:tcBorders>
              <w:top w:val="single" w:sz="4" w:space="0" w:color="auto"/>
              <w:left w:val="nil"/>
              <w:bottom w:val="single" w:sz="8" w:space="0" w:color="auto"/>
              <w:right w:val="nil"/>
            </w:tcBorders>
            <w:shd w:val="clear" w:color="auto" w:fill="auto"/>
            <w:noWrap/>
            <w:vAlign w:val="bottom"/>
            <w:hideMark/>
          </w:tcPr>
          <w:p w14:paraId="5BB2559B" w14:textId="77777777" w:rsidR="001D1481" w:rsidRDefault="001D1481">
            <w:pPr>
              <w:jc w:val="right"/>
              <w:rPr>
                <w:rFonts w:ascii="Cambria" w:hAnsi="Cambria" w:cs="Arial"/>
                <w:b/>
                <w:bCs/>
                <w:color w:val="000000"/>
                <w:sz w:val="18"/>
                <w:szCs w:val="18"/>
              </w:rPr>
            </w:pPr>
            <w:r>
              <w:rPr>
                <w:rFonts w:ascii="Cambria" w:hAnsi="Cambria"/>
                <w:b/>
                <w:color w:val="000000"/>
                <w:sz w:val="18"/>
              </w:rPr>
              <w:t>52 257</w:t>
            </w:r>
          </w:p>
        </w:tc>
        <w:tc>
          <w:tcPr>
            <w:tcW w:w="1048" w:type="pct"/>
            <w:tcBorders>
              <w:top w:val="single" w:sz="4" w:space="0" w:color="auto"/>
              <w:left w:val="nil"/>
              <w:bottom w:val="single" w:sz="8" w:space="0" w:color="auto"/>
              <w:right w:val="nil"/>
            </w:tcBorders>
            <w:shd w:val="clear" w:color="auto" w:fill="auto"/>
            <w:noWrap/>
            <w:vAlign w:val="bottom"/>
            <w:hideMark/>
          </w:tcPr>
          <w:p w14:paraId="638B0495" w14:textId="77777777" w:rsidR="001D1481" w:rsidRDefault="001D1481">
            <w:pPr>
              <w:jc w:val="right"/>
              <w:rPr>
                <w:rFonts w:ascii="Cambria" w:hAnsi="Cambria" w:cs="Arial"/>
                <w:b/>
                <w:bCs/>
                <w:color w:val="000000"/>
                <w:sz w:val="18"/>
                <w:szCs w:val="18"/>
              </w:rPr>
            </w:pPr>
            <w:r>
              <w:rPr>
                <w:rFonts w:ascii="Cambria" w:hAnsi="Cambria"/>
                <w:b/>
                <w:color w:val="000000"/>
                <w:sz w:val="18"/>
              </w:rPr>
              <w:t>0</w:t>
            </w:r>
          </w:p>
        </w:tc>
      </w:tr>
    </w:tbl>
    <w:p w14:paraId="190A92B2" w14:textId="1D713DAB" w:rsidR="009950F0" w:rsidRDefault="009950F0" w:rsidP="00E16D12">
      <w:pPr>
        <w:spacing w:after="200" w:line="276" w:lineRule="auto"/>
        <w:jc w:val="both"/>
        <w:rPr>
          <w:rFonts w:ascii="Cambria" w:hAnsi="Cambria" w:cs="Calibri"/>
          <w:sz w:val="22"/>
          <w:szCs w:val="22"/>
        </w:rPr>
      </w:pPr>
    </w:p>
    <w:p w14:paraId="2EA95F2B" w14:textId="77777777" w:rsidR="00E16D12" w:rsidRPr="00C17031" w:rsidRDefault="00E16D12" w:rsidP="00E16D12">
      <w:pPr>
        <w:spacing w:line="276" w:lineRule="auto"/>
        <w:jc w:val="both"/>
        <w:rPr>
          <w:rFonts w:ascii="Cambria" w:hAnsi="Cambria" w:cs="Calibri"/>
          <w:sz w:val="22"/>
          <w:szCs w:val="22"/>
        </w:rPr>
      </w:pPr>
      <w:r>
        <w:rPr>
          <w:rFonts w:ascii="Cambria" w:hAnsi="Cambria"/>
          <w:sz w:val="22"/>
        </w:rPr>
        <w:t>Les impôts différés passifs reflètent principalement les effets fiscaux des ajustements positifs de la conversion IAS/IFRS. Pour plus de détails sur les impôts différés, se référer au commentaire sur les impôts sur le revenu.</w:t>
      </w:r>
    </w:p>
    <w:p w14:paraId="047476F4" w14:textId="77777777" w:rsidR="00CE13BD" w:rsidRPr="003F166F" w:rsidRDefault="00CE13BD" w:rsidP="003F166F">
      <w:pPr>
        <w:rPr>
          <w:i/>
        </w:rPr>
      </w:pPr>
    </w:p>
    <w:p w14:paraId="7635C32E" w14:textId="794DBED9" w:rsidR="00E16D12" w:rsidRDefault="00CE13BD">
      <w:pPr>
        <w:pStyle w:val="Titolo2"/>
        <w:numPr>
          <w:ilvl w:val="0"/>
          <w:numId w:val="6"/>
        </w:numPr>
        <w:spacing w:line="240" w:lineRule="auto"/>
        <w:ind w:left="357" w:right="0" w:hanging="357"/>
        <w:jc w:val="left"/>
        <w:rPr>
          <w:i w:val="0"/>
        </w:rPr>
      </w:pPr>
      <w:bookmarkStart w:id="149" w:name="_Toc112768681"/>
      <w:r>
        <w:rPr>
          <w:i w:val="0"/>
        </w:rPr>
        <w:lastRenderedPageBreak/>
        <w:t>Dettes envers des banques et portions à court terme de prêts</w:t>
      </w:r>
      <w:bookmarkEnd w:id="149"/>
    </w:p>
    <w:p w14:paraId="369F79CD" w14:textId="77777777" w:rsidR="00CE13BD" w:rsidRPr="003F166F" w:rsidRDefault="00CE13BD" w:rsidP="00CE13BD"/>
    <w:p w14:paraId="078D9FAB" w14:textId="45E3D3D3" w:rsidR="00E16D12" w:rsidRDefault="00E16D12" w:rsidP="00E16D12">
      <w:pPr>
        <w:spacing w:after="200" w:line="276" w:lineRule="auto"/>
        <w:jc w:val="both"/>
        <w:rPr>
          <w:rFonts w:ascii="Cambria" w:hAnsi="Cambria"/>
          <w:sz w:val="22"/>
          <w:szCs w:val="22"/>
        </w:rPr>
      </w:pPr>
      <w:r>
        <w:rPr>
          <w:rFonts w:ascii="Cambria" w:hAnsi="Cambria"/>
          <w:sz w:val="22"/>
        </w:rPr>
        <w:t>La ventilation du poste « Dettes envers les banques et part à court terme des prêts à long terme » au 30 juin 2021, par rapport aux mêmes valeurs au 31 décembre 2020, est présentée ci-dessous :</w:t>
      </w:r>
    </w:p>
    <w:tbl>
      <w:tblPr>
        <w:tblW w:w="5000" w:type="pct"/>
        <w:tblCellMar>
          <w:left w:w="70" w:type="dxa"/>
          <w:right w:w="70" w:type="dxa"/>
        </w:tblCellMar>
        <w:tblLook w:val="04A0" w:firstRow="1" w:lastRow="0" w:firstColumn="1" w:lastColumn="0" w:noHBand="0" w:noVBand="1"/>
      </w:tblPr>
      <w:tblGrid>
        <w:gridCol w:w="5209"/>
        <w:gridCol w:w="1477"/>
        <w:gridCol w:w="1477"/>
        <w:gridCol w:w="1475"/>
      </w:tblGrid>
      <w:tr w:rsidR="001D1481" w14:paraId="00B895F9" w14:textId="77777777" w:rsidTr="001D1481">
        <w:trPr>
          <w:trHeight w:val="495"/>
        </w:trPr>
        <w:tc>
          <w:tcPr>
            <w:tcW w:w="2703" w:type="pct"/>
            <w:tcBorders>
              <w:top w:val="single" w:sz="4" w:space="0" w:color="0070C0"/>
              <w:left w:val="nil"/>
              <w:bottom w:val="single" w:sz="8" w:space="0" w:color="0070C0"/>
              <w:right w:val="nil"/>
            </w:tcBorders>
            <w:shd w:val="clear" w:color="auto" w:fill="auto"/>
            <w:noWrap/>
            <w:vAlign w:val="bottom"/>
            <w:hideMark/>
          </w:tcPr>
          <w:p w14:paraId="4A2B5B10" w14:textId="77777777" w:rsidR="001D1481" w:rsidRDefault="001D1481">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766" w:type="pct"/>
            <w:tcBorders>
              <w:top w:val="single" w:sz="4" w:space="0" w:color="0070C0"/>
              <w:left w:val="nil"/>
              <w:bottom w:val="single" w:sz="8" w:space="0" w:color="0070C0"/>
              <w:right w:val="nil"/>
            </w:tcBorders>
            <w:shd w:val="clear" w:color="auto" w:fill="auto"/>
            <w:vAlign w:val="bottom"/>
            <w:hideMark/>
          </w:tcPr>
          <w:p w14:paraId="14BD8071" w14:textId="77777777" w:rsidR="001D1481" w:rsidRDefault="001D1481">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 xml:space="preserve">Au 30 juin </w:t>
            </w:r>
          </w:p>
          <w:p w14:paraId="7C514C1A" w14:textId="0DE491E4" w:rsidR="001D1481" w:rsidRDefault="001D1481">
            <w:pPr>
              <w:jc w:val="center"/>
              <w:rPr>
                <w:rFonts w:ascii="Cambria" w:hAnsi="Cambria" w:cs="Arial"/>
                <w:b/>
                <w:bCs/>
                <w:color w:val="000000"/>
                <w:sz w:val="18"/>
                <w:szCs w:val="18"/>
              </w:rPr>
            </w:pPr>
            <w:r>
              <w:rPr>
                <w:rFonts w:ascii="Cambria" w:hAnsi="Cambria"/>
                <w:b/>
                <w:color w:val="000000"/>
                <w:sz w:val="18"/>
              </w:rPr>
              <w:t>2021</w:t>
            </w:r>
          </w:p>
        </w:tc>
        <w:tc>
          <w:tcPr>
            <w:tcW w:w="766" w:type="pct"/>
            <w:tcBorders>
              <w:top w:val="single" w:sz="4" w:space="0" w:color="0070C0"/>
              <w:left w:val="nil"/>
              <w:bottom w:val="single" w:sz="8" w:space="0" w:color="0070C0"/>
              <w:right w:val="nil"/>
            </w:tcBorders>
            <w:shd w:val="clear" w:color="auto" w:fill="auto"/>
            <w:vAlign w:val="bottom"/>
            <w:hideMark/>
          </w:tcPr>
          <w:p w14:paraId="55E172BC" w14:textId="77777777" w:rsidR="001D1481" w:rsidRDefault="001D1481">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c>
          <w:tcPr>
            <w:tcW w:w="766" w:type="pct"/>
            <w:tcBorders>
              <w:top w:val="single" w:sz="4" w:space="0" w:color="0070C0"/>
              <w:left w:val="nil"/>
              <w:bottom w:val="single" w:sz="8" w:space="0" w:color="0070C0"/>
              <w:right w:val="nil"/>
            </w:tcBorders>
            <w:shd w:val="clear" w:color="auto" w:fill="auto"/>
            <w:vAlign w:val="bottom"/>
            <w:hideMark/>
          </w:tcPr>
          <w:p w14:paraId="44FB88B6" w14:textId="77777777" w:rsidR="001D1481" w:rsidRDefault="001D1481">
            <w:pPr>
              <w:jc w:val="center"/>
              <w:rPr>
                <w:rFonts w:ascii="Cambria" w:hAnsi="Cambria" w:cs="Arial"/>
                <w:b/>
                <w:bCs/>
                <w:color w:val="000000"/>
                <w:sz w:val="18"/>
                <w:szCs w:val="18"/>
              </w:rPr>
            </w:pPr>
            <w:r>
              <w:rPr>
                <w:rFonts w:ascii="Cambria" w:hAnsi="Cambria"/>
                <w:b/>
                <w:color w:val="000000"/>
                <w:sz w:val="18"/>
              </w:rPr>
              <w:t>Variations</w:t>
            </w:r>
          </w:p>
        </w:tc>
      </w:tr>
      <w:tr w:rsidR="001D1481" w14:paraId="7457E7AB" w14:textId="77777777" w:rsidTr="001D1481">
        <w:trPr>
          <w:trHeight w:val="240"/>
        </w:trPr>
        <w:tc>
          <w:tcPr>
            <w:tcW w:w="2703" w:type="pct"/>
            <w:tcBorders>
              <w:top w:val="nil"/>
              <w:left w:val="nil"/>
              <w:bottom w:val="nil"/>
              <w:right w:val="nil"/>
            </w:tcBorders>
            <w:shd w:val="clear" w:color="auto" w:fill="auto"/>
            <w:noWrap/>
            <w:vAlign w:val="bottom"/>
            <w:hideMark/>
          </w:tcPr>
          <w:p w14:paraId="445E1B7E" w14:textId="77777777" w:rsidR="001D1481" w:rsidRPr="00DC792B" w:rsidRDefault="001D1481">
            <w:pPr>
              <w:rPr>
                <w:rFonts w:ascii="Cambria" w:hAnsi="Cambria" w:cs="Arial"/>
                <w:color w:val="000000"/>
                <w:sz w:val="18"/>
                <w:szCs w:val="18"/>
                <w:lang w:val="it-IT"/>
              </w:rPr>
            </w:pPr>
            <w:r w:rsidRPr="00DC792B">
              <w:rPr>
                <w:rFonts w:ascii="Cambria" w:hAnsi="Cambria"/>
                <w:color w:val="000000"/>
                <w:sz w:val="18"/>
                <w:lang w:val="it-IT"/>
              </w:rPr>
              <w:t xml:space="preserve">Intesa Sanpaolo Spa import </w:t>
            </w:r>
            <w:proofErr w:type="spellStart"/>
            <w:r w:rsidRPr="00DC792B">
              <w:rPr>
                <w:rFonts w:ascii="Cambria" w:hAnsi="Cambria"/>
                <w:color w:val="000000"/>
                <w:sz w:val="18"/>
                <w:lang w:val="it-IT"/>
              </w:rPr>
              <w:t>finan</w:t>
            </w:r>
            <w:proofErr w:type="spellEnd"/>
            <w:r w:rsidRPr="00DC792B">
              <w:rPr>
                <w:rFonts w:ascii="Cambria" w:hAnsi="Cambria"/>
                <w:color w:val="000000"/>
                <w:sz w:val="18"/>
                <w:lang w:val="it-IT"/>
              </w:rPr>
              <w:t>.</w:t>
            </w:r>
          </w:p>
        </w:tc>
        <w:tc>
          <w:tcPr>
            <w:tcW w:w="766" w:type="pct"/>
            <w:tcBorders>
              <w:top w:val="nil"/>
              <w:left w:val="nil"/>
              <w:bottom w:val="nil"/>
              <w:right w:val="nil"/>
            </w:tcBorders>
            <w:shd w:val="clear" w:color="auto" w:fill="auto"/>
            <w:noWrap/>
            <w:vAlign w:val="bottom"/>
            <w:hideMark/>
          </w:tcPr>
          <w:p w14:paraId="695186CA" w14:textId="77777777" w:rsidR="001D1481" w:rsidRDefault="001D1481">
            <w:pPr>
              <w:jc w:val="right"/>
              <w:rPr>
                <w:rFonts w:ascii="Cambria" w:hAnsi="Cambria" w:cs="Arial"/>
                <w:color w:val="000000"/>
                <w:sz w:val="18"/>
                <w:szCs w:val="18"/>
              </w:rPr>
            </w:pPr>
            <w:r>
              <w:rPr>
                <w:rFonts w:ascii="Cambria" w:hAnsi="Cambria"/>
                <w:color w:val="000000"/>
                <w:sz w:val="18"/>
              </w:rPr>
              <w:t>506 346</w:t>
            </w:r>
          </w:p>
        </w:tc>
        <w:tc>
          <w:tcPr>
            <w:tcW w:w="766" w:type="pct"/>
            <w:tcBorders>
              <w:top w:val="nil"/>
              <w:left w:val="nil"/>
              <w:bottom w:val="nil"/>
              <w:right w:val="nil"/>
            </w:tcBorders>
            <w:shd w:val="clear" w:color="auto" w:fill="auto"/>
            <w:noWrap/>
            <w:vAlign w:val="bottom"/>
            <w:hideMark/>
          </w:tcPr>
          <w:p w14:paraId="77ACECC3" w14:textId="77777777" w:rsidR="001D1481" w:rsidRDefault="001D1481">
            <w:pPr>
              <w:rPr>
                <w:rFonts w:ascii="Cambria" w:hAnsi="Cambria" w:cs="Arial"/>
                <w:color w:val="000000"/>
                <w:sz w:val="18"/>
                <w:szCs w:val="18"/>
              </w:rPr>
            </w:pPr>
            <w:r>
              <w:rPr>
                <w:rFonts w:ascii="Cambria" w:hAnsi="Cambria"/>
                <w:color w:val="000000"/>
                <w:sz w:val="18"/>
              </w:rPr>
              <w:t xml:space="preserve">                    83 483   </w:t>
            </w:r>
          </w:p>
        </w:tc>
        <w:tc>
          <w:tcPr>
            <w:tcW w:w="766" w:type="pct"/>
            <w:tcBorders>
              <w:top w:val="nil"/>
              <w:left w:val="nil"/>
              <w:bottom w:val="nil"/>
              <w:right w:val="nil"/>
            </w:tcBorders>
            <w:shd w:val="clear" w:color="auto" w:fill="auto"/>
            <w:noWrap/>
            <w:vAlign w:val="bottom"/>
            <w:hideMark/>
          </w:tcPr>
          <w:p w14:paraId="4003FEEF" w14:textId="77777777" w:rsidR="001D1481" w:rsidRDefault="001D1481">
            <w:pPr>
              <w:jc w:val="right"/>
              <w:rPr>
                <w:rFonts w:ascii="Cambria" w:hAnsi="Cambria" w:cs="Arial"/>
                <w:color w:val="000000"/>
                <w:sz w:val="18"/>
                <w:szCs w:val="18"/>
              </w:rPr>
            </w:pPr>
            <w:r>
              <w:rPr>
                <w:rFonts w:ascii="Cambria" w:hAnsi="Cambria"/>
                <w:color w:val="000000"/>
                <w:sz w:val="18"/>
              </w:rPr>
              <w:t>422 863</w:t>
            </w:r>
          </w:p>
        </w:tc>
      </w:tr>
      <w:tr w:rsidR="001D1481" w14:paraId="69FE47E9" w14:textId="77777777" w:rsidTr="001D1481">
        <w:trPr>
          <w:trHeight w:val="240"/>
        </w:trPr>
        <w:tc>
          <w:tcPr>
            <w:tcW w:w="2703" w:type="pct"/>
            <w:tcBorders>
              <w:top w:val="nil"/>
              <w:left w:val="nil"/>
              <w:bottom w:val="nil"/>
              <w:right w:val="nil"/>
            </w:tcBorders>
            <w:shd w:val="clear" w:color="auto" w:fill="auto"/>
            <w:noWrap/>
            <w:vAlign w:val="bottom"/>
            <w:hideMark/>
          </w:tcPr>
          <w:p w14:paraId="6B5F8AF2" w14:textId="77777777" w:rsidR="001D1481" w:rsidRDefault="001D1481">
            <w:pPr>
              <w:rPr>
                <w:rFonts w:ascii="Cambria" w:hAnsi="Cambria" w:cs="Arial"/>
                <w:color w:val="000000"/>
                <w:sz w:val="18"/>
                <w:szCs w:val="18"/>
              </w:rPr>
            </w:pPr>
            <w:proofErr w:type="spellStart"/>
            <w:r>
              <w:rPr>
                <w:rFonts w:ascii="Cambria" w:hAnsi="Cambria"/>
                <w:color w:val="000000"/>
                <w:sz w:val="18"/>
              </w:rPr>
              <w:t>Intesa</w:t>
            </w:r>
            <w:proofErr w:type="spellEnd"/>
            <w:r>
              <w:rPr>
                <w:rFonts w:ascii="Cambria" w:hAnsi="Cambria"/>
                <w:color w:val="000000"/>
                <w:sz w:val="18"/>
              </w:rPr>
              <w:t xml:space="preserve"> </w:t>
            </w:r>
            <w:proofErr w:type="spellStart"/>
            <w:r>
              <w:rPr>
                <w:rFonts w:ascii="Cambria" w:hAnsi="Cambria"/>
                <w:color w:val="000000"/>
                <w:sz w:val="18"/>
              </w:rPr>
              <w:t>Sanpaolo</w:t>
            </w:r>
            <w:proofErr w:type="spellEnd"/>
            <w:r>
              <w:rPr>
                <w:rFonts w:ascii="Cambria" w:hAnsi="Cambria"/>
                <w:color w:val="000000"/>
                <w:sz w:val="18"/>
              </w:rPr>
              <w:t xml:space="preserve"> spa </w:t>
            </w:r>
            <w:proofErr w:type="spellStart"/>
            <w:r>
              <w:rPr>
                <w:rFonts w:ascii="Cambria" w:hAnsi="Cambria"/>
                <w:color w:val="000000"/>
                <w:sz w:val="18"/>
              </w:rPr>
              <w:t>confirming</w:t>
            </w:r>
            <w:proofErr w:type="spellEnd"/>
          </w:p>
        </w:tc>
        <w:tc>
          <w:tcPr>
            <w:tcW w:w="766" w:type="pct"/>
            <w:tcBorders>
              <w:top w:val="nil"/>
              <w:left w:val="nil"/>
              <w:bottom w:val="nil"/>
              <w:right w:val="nil"/>
            </w:tcBorders>
            <w:shd w:val="clear" w:color="auto" w:fill="auto"/>
            <w:noWrap/>
            <w:vAlign w:val="bottom"/>
            <w:hideMark/>
          </w:tcPr>
          <w:p w14:paraId="4B62619F" w14:textId="77777777" w:rsidR="001D1481" w:rsidRDefault="001D1481">
            <w:pPr>
              <w:jc w:val="right"/>
              <w:rPr>
                <w:rFonts w:ascii="Cambria" w:hAnsi="Cambria" w:cs="Arial"/>
                <w:color w:val="000000"/>
                <w:sz w:val="18"/>
                <w:szCs w:val="18"/>
              </w:rPr>
            </w:pPr>
            <w:r>
              <w:rPr>
                <w:rFonts w:ascii="Cambria" w:hAnsi="Cambria"/>
                <w:color w:val="000000"/>
                <w:sz w:val="18"/>
              </w:rPr>
              <w:t>651 470</w:t>
            </w:r>
          </w:p>
        </w:tc>
        <w:tc>
          <w:tcPr>
            <w:tcW w:w="766" w:type="pct"/>
            <w:tcBorders>
              <w:top w:val="nil"/>
              <w:left w:val="nil"/>
              <w:bottom w:val="nil"/>
              <w:right w:val="nil"/>
            </w:tcBorders>
            <w:shd w:val="clear" w:color="auto" w:fill="auto"/>
            <w:noWrap/>
            <w:vAlign w:val="bottom"/>
            <w:hideMark/>
          </w:tcPr>
          <w:p w14:paraId="1847E668" w14:textId="77777777" w:rsidR="001D1481" w:rsidRDefault="001D1481">
            <w:pPr>
              <w:rPr>
                <w:rFonts w:ascii="Cambria" w:hAnsi="Cambria" w:cs="Arial"/>
                <w:color w:val="000000"/>
                <w:sz w:val="18"/>
                <w:szCs w:val="18"/>
              </w:rPr>
            </w:pPr>
            <w:r>
              <w:rPr>
                <w:rFonts w:ascii="Cambria" w:hAnsi="Cambria"/>
                <w:color w:val="000000"/>
                <w:sz w:val="18"/>
              </w:rPr>
              <w:t xml:space="preserve">                 268 687   </w:t>
            </w:r>
          </w:p>
        </w:tc>
        <w:tc>
          <w:tcPr>
            <w:tcW w:w="766" w:type="pct"/>
            <w:tcBorders>
              <w:top w:val="nil"/>
              <w:left w:val="nil"/>
              <w:bottom w:val="nil"/>
              <w:right w:val="nil"/>
            </w:tcBorders>
            <w:shd w:val="clear" w:color="auto" w:fill="auto"/>
            <w:noWrap/>
            <w:vAlign w:val="bottom"/>
            <w:hideMark/>
          </w:tcPr>
          <w:p w14:paraId="195EEEDD" w14:textId="77777777" w:rsidR="001D1481" w:rsidRDefault="001D1481">
            <w:pPr>
              <w:jc w:val="right"/>
              <w:rPr>
                <w:rFonts w:ascii="Cambria" w:hAnsi="Cambria" w:cs="Arial"/>
                <w:color w:val="000000"/>
                <w:sz w:val="18"/>
                <w:szCs w:val="18"/>
              </w:rPr>
            </w:pPr>
            <w:r>
              <w:rPr>
                <w:rFonts w:ascii="Cambria" w:hAnsi="Cambria"/>
                <w:color w:val="000000"/>
                <w:sz w:val="18"/>
              </w:rPr>
              <w:t>382 784</w:t>
            </w:r>
          </w:p>
        </w:tc>
      </w:tr>
      <w:tr w:rsidR="001D1481" w14:paraId="14D3DE17" w14:textId="77777777" w:rsidTr="001D1481">
        <w:trPr>
          <w:trHeight w:val="240"/>
        </w:trPr>
        <w:tc>
          <w:tcPr>
            <w:tcW w:w="2703" w:type="pct"/>
            <w:tcBorders>
              <w:top w:val="nil"/>
              <w:left w:val="nil"/>
              <w:bottom w:val="nil"/>
              <w:right w:val="nil"/>
            </w:tcBorders>
            <w:shd w:val="clear" w:color="auto" w:fill="auto"/>
            <w:noWrap/>
            <w:vAlign w:val="bottom"/>
            <w:hideMark/>
          </w:tcPr>
          <w:p w14:paraId="5B199540" w14:textId="77777777" w:rsidR="001D1481" w:rsidRDefault="001D1481">
            <w:pPr>
              <w:rPr>
                <w:rFonts w:ascii="Cambria" w:hAnsi="Cambria" w:cs="Arial"/>
                <w:color w:val="000000"/>
                <w:sz w:val="18"/>
                <w:szCs w:val="18"/>
              </w:rPr>
            </w:pPr>
            <w:r>
              <w:rPr>
                <w:rFonts w:ascii="Cambria" w:hAnsi="Cambria"/>
                <w:color w:val="000000"/>
                <w:sz w:val="18"/>
              </w:rPr>
              <w:t>Prêt de la BCC - portion à court terme</w:t>
            </w:r>
          </w:p>
        </w:tc>
        <w:tc>
          <w:tcPr>
            <w:tcW w:w="766" w:type="pct"/>
            <w:tcBorders>
              <w:top w:val="nil"/>
              <w:left w:val="nil"/>
              <w:bottom w:val="nil"/>
              <w:right w:val="nil"/>
            </w:tcBorders>
            <w:shd w:val="clear" w:color="auto" w:fill="auto"/>
            <w:noWrap/>
            <w:vAlign w:val="bottom"/>
            <w:hideMark/>
          </w:tcPr>
          <w:p w14:paraId="7F7FAFC2" w14:textId="77777777" w:rsidR="001D1481" w:rsidRDefault="001D1481">
            <w:pPr>
              <w:jc w:val="right"/>
              <w:rPr>
                <w:rFonts w:ascii="Cambria" w:hAnsi="Cambria" w:cs="Arial"/>
                <w:color w:val="000000"/>
                <w:sz w:val="18"/>
                <w:szCs w:val="18"/>
              </w:rPr>
            </w:pPr>
            <w:r>
              <w:rPr>
                <w:rFonts w:ascii="Cambria" w:hAnsi="Cambria"/>
                <w:color w:val="000000"/>
                <w:sz w:val="18"/>
              </w:rPr>
              <w:t>96 635</w:t>
            </w:r>
          </w:p>
        </w:tc>
        <w:tc>
          <w:tcPr>
            <w:tcW w:w="766" w:type="pct"/>
            <w:tcBorders>
              <w:top w:val="nil"/>
              <w:left w:val="nil"/>
              <w:bottom w:val="nil"/>
              <w:right w:val="nil"/>
            </w:tcBorders>
            <w:shd w:val="clear" w:color="auto" w:fill="auto"/>
            <w:noWrap/>
            <w:vAlign w:val="bottom"/>
            <w:hideMark/>
          </w:tcPr>
          <w:p w14:paraId="60869AD0" w14:textId="77777777" w:rsidR="001D1481" w:rsidRDefault="001D1481">
            <w:pPr>
              <w:rPr>
                <w:rFonts w:ascii="Cambria" w:hAnsi="Cambria" w:cs="Arial"/>
                <w:color w:val="000000"/>
                <w:sz w:val="18"/>
                <w:szCs w:val="18"/>
              </w:rPr>
            </w:pPr>
            <w:r>
              <w:rPr>
                <w:rFonts w:ascii="Cambria" w:hAnsi="Cambria"/>
                <w:color w:val="000000"/>
                <w:sz w:val="18"/>
              </w:rPr>
              <w:t xml:space="preserve">                 103 206   </w:t>
            </w:r>
          </w:p>
        </w:tc>
        <w:tc>
          <w:tcPr>
            <w:tcW w:w="766" w:type="pct"/>
            <w:tcBorders>
              <w:top w:val="nil"/>
              <w:left w:val="nil"/>
              <w:bottom w:val="nil"/>
              <w:right w:val="nil"/>
            </w:tcBorders>
            <w:shd w:val="clear" w:color="auto" w:fill="auto"/>
            <w:noWrap/>
            <w:vAlign w:val="bottom"/>
            <w:hideMark/>
          </w:tcPr>
          <w:p w14:paraId="26EE08C9" w14:textId="77777777" w:rsidR="001D1481" w:rsidRDefault="001D1481">
            <w:pPr>
              <w:jc w:val="right"/>
              <w:rPr>
                <w:rFonts w:ascii="Cambria" w:hAnsi="Cambria" w:cs="Arial"/>
                <w:color w:val="000000"/>
                <w:sz w:val="18"/>
                <w:szCs w:val="18"/>
              </w:rPr>
            </w:pPr>
            <w:r>
              <w:rPr>
                <w:rFonts w:ascii="Cambria" w:hAnsi="Cambria"/>
                <w:color w:val="000000"/>
                <w:sz w:val="18"/>
              </w:rPr>
              <w:t>(6 571)</w:t>
            </w:r>
          </w:p>
        </w:tc>
      </w:tr>
      <w:tr w:rsidR="001D1481" w14:paraId="79650549" w14:textId="77777777" w:rsidTr="001D1481">
        <w:trPr>
          <w:trHeight w:val="240"/>
        </w:trPr>
        <w:tc>
          <w:tcPr>
            <w:tcW w:w="2703" w:type="pct"/>
            <w:tcBorders>
              <w:top w:val="nil"/>
              <w:left w:val="nil"/>
              <w:bottom w:val="nil"/>
              <w:right w:val="nil"/>
            </w:tcBorders>
            <w:shd w:val="clear" w:color="auto" w:fill="auto"/>
            <w:noWrap/>
            <w:vAlign w:val="bottom"/>
            <w:hideMark/>
          </w:tcPr>
          <w:p w14:paraId="1EFBCE62" w14:textId="77777777" w:rsidR="001D1481" w:rsidRDefault="001D1481">
            <w:pPr>
              <w:rPr>
                <w:rFonts w:ascii="Cambria" w:hAnsi="Cambria" w:cs="Arial"/>
                <w:color w:val="000000"/>
                <w:sz w:val="18"/>
                <w:szCs w:val="18"/>
              </w:rPr>
            </w:pPr>
            <w:r>
              <w:rPr>
                <w:rFonts w:ascii="Cambria" w:hAnsi="Cambria"/>
                <w:color w:val="000000"/>
                <w:sz w:val="18"/>
              </w:rPr>
              <w:t>Prêt de la BPB - portion à court terme</w:t>
            </w:r>
          </w:p>
        </w:tc>
        <w:tc>
          <w:tcPr>
            <w:tcW w:w="766" w:type="pct"/>
            <w:tcBorders>
              <w:top w:val="nil"/>
              <w:left w:val="nil"/>
              <w:bottom w:val="nil"/>
              <w:right w:val="nil"/>
            </w:tcBorders>
            <w:shd w:val="clear" w:color="auto" w:fill="auto"/>
            <w:noWrap/>
            <w:vAlign w:val="bottom"/>
            <w:hideMark/>
          </w:tcPr>
          <w:p w14:paraId="3D2937A7" w14:textId="77777777" w:rsidR="001D1481" w:rsidRDefault="001D1481">
            <w:pPr>
              <w:jc w:val="right"/>
              <w:rPr>
                <w:rFonts w:ascii="Cambria" w:hAnsi="Cambria" w:cs="Arial"/>
                <w:color w:val="000000"/>
                <w:sz w:val="18"/>
                <w:szCs w:val="18"/>
              </w:rPr>
            </w:pPr>
            <w:r>
              <w:rPr>
                <w:rFonts w:ascii="Cambria" w:hAnsi="Cambria"/>
                <w:color w:val="000000"/>
                <w:sz w:val="18"/>
              </w:rPr>
              <w:t>243 274</w:t>
            </w:r>
          </w:p>
        </w:tc>
        <w:tc>
          <w:tcPr>
            <w:tcW w:w="766" w:type="pct"/>
            <w:tcBorders>
              <w:top w:val="nil"/>
              <w:left w:val="nil"/>
              <w:bottom w:val="nil"/>
              <w:right w:val="nil"/>
            </w:tcBorders>
            <w:shd w:val="clear" w:color="auto" w:fill="auto"/>
            <w:noWrap/>
            <w:vAlign w:val="bottom"/>
            <w:hideMark/>
          </w:tcPr>
          <w:p w14:paraId="7148E864" w14:textId="77777777" w:rsidR="001D1481" w:rsidRDefault="001D1481">
            <w:pPr>
              <w:rPr>
                <w:rFonts w:ascii="Cambria" w:hAnsi="Cambria" w:cs="Arial"/>
                <w:color w:val="000000"/>
                <w:sz w:val="18"/>
                <w:szCs w:val="18"/>
              </w:rPr>
            </w:pPr>
            <w:r>
              <w:rPr>
                <w:rFonts w:ascii="Cambria" w:hAnsi="Cambria"/>
                <w:color w:val="000000"/>
                <w:sz w:val="18"/>
              </w:rPr>
              <w:t xml:space="preserve">                 263 271   </w:t>
            </w:r>
          </w:p>
        </w:tc>
        <w:tc>
          <w:tcPr>
            <w:tcW w:w="766" w:type="pct"/>
            <w:tcBorders>
              <w:top w:val="nil"/>
              <w:left w:val="nil"/>
              <w:bottom w:val="nil"/>
              <w:right w:val="nil"/>
            </w:tcBorders>
            <w:shd w:val="clear" w:color="auto" w:fill="auto"/>
            <w:noWrap/>
            <w:vAlign w:val="bottom"/>
            <w:hideMark/>
          </w:tcPr>
          <w:p w14:paraId="150845A8" w14:textId="77777777" w:rsidR="001D1481" w:rsidRDefault="001D1481">
            <w:pPr>
              <w:jc w:val="right"/>
              <w:rPr>
                <w:rFonts w:ascii="Cambria" w:hAnsi="Cambria" w:cs="Arial"/>
                <w:color w:val="000000"/>
                <w:sz w:val="18"/>
                <w:szCs w:val="18"/>
              </w:rPr>
            </w:pPr>
            <w:r>
              <w:rPr>
                <w:rFonts w:ascii="Cambria" w:hAnsi="Cambria"/>
                <w:color w:val="000000"/>
                <w:sz w:val="18"/>
              </w:rPr>
              <w:t>(19 997)</w:t>
            </w:r>
          </w:p>
        </w:tc>
      </w:tr>
      <w:tr w:rsidR="001D1481" w14:paraId="3994A210" w14:textId="77777777" w:rsidTr="001D1481">
        <w:trPr>
          <w:trHeight w:val="240"/>
        </w:trPr>
        <w:tc>
          <w:tcPr>
            <w:tcW w:w="2703" w:type="pct"/>
            <w:tcBorders>
              <w:top w:val="nil"/>
              <w:left w:val="nil"/>
              <w:bottom w:val="nil"/>
              <w:right w:val="nil"/>
            </w:tcBorders>
            <w:shd w:val="clear" w:color="auto" w:fill="auto"/>
            <w:noWrap/>
            <w:vAlign w:val="bottom"/>
            <w:hideMark/>
          </w:tcPr>
          <w:p w14:paraId="3388B7C2" w14:textId="77777777" w:rsidR="001D1481" w:rsidRDefault="001D1481">
            <w:pPr>
              <w:rPr>
                <w:rFonts w:ascii="Cambria" w:hAnsi="Cambria" w:cs="Arial"/>
                <w:color w:val="000000"/>
                <w:sz w:val="18"/>
                <w:szCs w:val="18"/>
              </w:rPr>
            </w:pPr>
            <w:r>
              <w:rPr>
                <w:rFonts w:ascii="Cambria" w:hAnsi="Cambria"/>
                <w:color w:val="000000"/>
                <w:sz w:val="18"/>
              </w:rPr>
              <w:t xml:space="preserve">Prêt de la </w:t>
            </w:r>
            <w:proofErr w:type="spellStart"/>
            <w:r>
              <w:rPr>
                <w:rFonts w:ascii="Cambria" w:hAnsi="Cambria"/>
                <w:color w:val="000000"/>
                <w:sz w:val="18"/>
              </w:rPr>
              <w:t>Sanpaolo</w:t>
            </w:r>
            <w:proofErr w:type="spellEnd"/>
            <w:r>
              <w:rPr>
                <w:rFonts w:ascii="Cambria" w:hAnsi="Cambria"/>
                <w:color w:val="000000"/>
                <w:sz w:val="18"/>
              </w:rPr>
              <w:t xml:space="preserve"> - portion à court terme</w:t>
            </w:r>
          </w:p>
        </w:tc>
        <w:tc>
          <w:tcPr>
            <w:tcW w:w="766" w:type="pct"/>
            <w:tcBorders>
              <w:top w:val="nil"/>
              <w:left w:val="nil"/>
              <w:bottom w:val="nil"/>
              <w:right w:val="nil"/>
            </w:tcBorders>
            <w:shd w:val="clear" w:color="auto" w:fill="auto"/>
            <w:noWrap/>
            <w:vAlign w:val="bottom"/>
            <w:hideMark/>
          </w:tcPr>
          <w:p w14:paraId="1EFE593B" w14:textId="77777777" w:rsidR="001D1481" w:rsidRDefault="001D1481">
            <w:pPr>
              <w:jc w:val="right"/>
              <w:rPr>
                <w:rFonts w:ascii="Cambria" w:hAnsi="Cambria" w:cs="Arial"/>
                <w:color w:val="000000"/>
                <w:sz w:val="18"/>
                <w:szCs w:val="18"/>
              </w:rPr>
            </w:pPr>
            <w:r>
              <w:rPr>
                <w:rFonts w:ascii="Cambria" w:hAnsi="Cambria"/>
                <w:color w:val="000000"/>
                <w:sz w:val="18"/>
              </w:rPr>
              <w:t>0</w:t>
            </w:r>
          </w:p>
        </w:tc>
        <w:tc>
          <w:tcPr>
            <w:tcW w:w="766" w:type="pct"/>
            <w:tcBorders>
              <w:top w:val="nil"/>
              <w:left w:val="nil"/>
              <w:bottom w:val="nil"/>
              <w:right w:val="nil"/>
            </w:tcBorders>
            <w:shd w:val="clear" w:color="auto" w:fill="auto"/>
            <w:noWrap/>
            <w:vAlign w:val="bottom"/>
            <w:hideMark/>
          </w:tcPr>
          <w:p w14:paraId="1EB1F86A" w14:textId="77777777" w:rsidR="001D1481" w:rsidRDefault="001D1481">
            <w:pPr>
              <w:rPr>
                <w:rFonts w:ascii="Cambria" w:hAnsi="Cambria" w:cs="Arial"/>
                <w:color w:val="000000"/>
                <w:sz w:val="18"/>
                <w:szCs w:val="18"/>
              </w:rPr>
            </w:pPr>
            <w:r>
              <w:rPr>
                <w:rFonts w:ascii="Cambria" w:hAnsi="Cambria"/>
                <w:color w:val="000000"/>
                <w:sz w:val="18"/>
              </w:rPr>
              <w:t xml:space="preserve">                 125 371   </w:t>
            </w:r>
          </w:p>
        </w:tc>
        <w:tc>
          <w:tcPr>
            <w:tcW w:w="766" w:type="pct"/>
            <w:tcBorders>
              <w:top w:val="nil"/>
              <w:left w:val="nil"/>
              <w:bottom w:val="nil"/>
              <w:right w:val="nil"/>
            </w:tcBorders>
            <w:shd w:val="clear" w:color="auto" w:fill="auto"/>
            <w:noWrap/>
            <w:vAlign w:val="bottom"/>
            <w:hideMark/>
          </w:tcPr>
          <w:p w14:paraId="2C93B507" w14:textId="77777777" w:rsidR="001D1481" w:rsidRDefault="001D1481">
            <w:pPr>
              <w:jc w:val="right"/>
              <w:rPr>
                <w:rFonts w:ascii="Cambria" w:hAnsi="Cambria" w:cs="Arial"/>
                <w:color w:val="000000"/>
                <w:sz w:val="18"/>
                <w:szCs w:val="18"/>
              </w:rPr>
            </w:pPr>
            <w:r>
              <w:rPr>
                <w:rFonts w:ascii="Cambria" w:hAnsi="Cambria"/>
                <w:color w:val="000000"/>
                <w:sz w:val="18"/>
              </w:rPr>
              <w:t>(125 371)</w:t>
            </w:r>
          </w:p>
        </w:tc>
      </w:tr>
      <w:tr w:rsidR="001D1481" w14:paraId="69266B60" w14:textId="77777777" w:rsidTr="001D1481">
        <w:trPr>
          <w:trHeight w:val="240"/>
        </w:trPr>
        <w:tc>
          <w:tcPr>
            <w:tcW w:w="2703" w:type="pct"/>
            <w:tcBorders>
              <w:top w:val="nil"/>
              <w:left w:val="nil"/>
              <w:bottom w:val="nil"/>
              <w:right w:val="nil"/>
            </w:tcBorders>
            <w:shd w:val="clear" w:color="auto" w:fill="auto"/>
            <w:noWrap/>
            <w:vAlign w:val="bottom"/>
            <w:hideMark/>
          </w:tcPr>
          <w:p w14:paraId="161A1575" w14:textId="77777777" w:rsidR="001D1481" w:rsidRDefault="001D1481">
            <w:pPr>
              <w:rPr>
                <w:rFonts w:ascii="Cambria" w:hAnsi="Cambria" w:cs="Arial"/>
                <w:color w:val="000000"/>
                <w:sz w:val="18"/>
                <w:szCs w:val="18"/>
              </w:rPr>
            </w:pPr>
            <w:r>
              <w:rPr>
                <w:rFonts w:ascii="Cambria" w:hAnsi="Cambria"/>
                <w:color w:val="000000"/>
                <w:sz w:val="18"/>
              </w:rPr>
              <w:t>Prêt de la BCC 2 - portion à court terme</w:t>
            </w:r>
          </w:p>
        </w:tc>
        <w:tc>
          <w:tcPr>
            <w:tcW w:w="766" w:type="pct"/>
            <w:tcBorders>
              <w:top w:val="nil"/>
              <w:left w:val="nil"/>
              <w:bottom w:val="nil"/>
              <w:right w:val="nil"/>
            </w:tcBorders>
            <w:shd w:val="clear" w:color="auto" w:fill="auto"/>
            <w:noWrap/>
            <w:vAlign w:val="bottom"/>
            <w:hideMark/>
          </w:tcPr>
          <w:p w14:paraId="01B5F496" w14:textId="77777777" w:rsidR="001D1481" w:rsidRDefault="001D1481">
            <w:pPr>
              <w:jc w:val="right"/>
              <w:rPr>
                <w:rFonts w:ascii="Cambria" w:hAnsi="Cambria" w:cs="Arial"/>
                <w:color w:val="000000"/>
                <w:sz w:val="18"/>
                <w:szCs w:val="18"/>
              </w:rPr>
            </w:pPr>
            <w:r>
              <w:rPr>
                <w:rFonts w:ascii="Cambria" w:hAnsi="Cambria"/>
                <w:color w:val="000000"/>
                <w:sz w:val="18"/>
              </w:rPr>
              <w:t>117 989</w:t>
            </w:r>
          </w:p>
        </w:tc>
        <w:tc>
          <w:tcPr>
            <w:tcW w:w="766" w:type="pct"/>
            <w:tcBorders>
              <w:top w:val="nil"/>
              <w:left w:val="nil"/>
              <w:bottom w:val="nil"/>
              <w:right w:val="nil"/>
            </w:tcBorders>
            <w:shd w:val="clear" w:color="auto" w:fill="auto"/>
            <w:noWrap/>
            <w:vAlign w:val="bottom"/>
            <w:hideMark/>
          </w:tcPr>
          <w:p w14:paraId="3C74D21E" w14:textId="77777777" w:rsidR="001D1481" w:rsidRDefault="001D1481">
            <w:pPr>
              <w:rPr>
                <w:rFonts w:ascii="Cambria" w:hAnsi="Cambria" w:cs="Arial"/>
                <w:color w:val="000000"/>
                <w:sz w:val="18"/>
                <w:szCs w:val="18"/>
              </w:rPr>
            </w:pPr>
            <w:r>
              <w:rPr>
                <w:rFonts w:ascii="Cambria" w:hAnsi="Cambria"/>
                <w:color w:val="000000"/>
                <w:sz w:val="18"/>
              </w:rPr>
              <w:t xml:space="preserve">                 127 251   </w:t>
            </w:r>
          </w:p>
        </w:tc>
        <w:tc>
          <w:tcPr>
            <w:tcW w:w="766" w:type="pct"/>
            <w:tcBorders>
              <w:top w:val="nil"/>
              <w:left w:val="nil"/>
              <w:bottom w:val="nil"/>
              <w:right w:val="nil"/>
            </w:tcBorders>
            <w:shd w:val="clear" w:color="auto" w:fill="auto"/>
            <w:noWrap/>
            <w:vAlign w:val="bottom"/>
            <w:hideMark/>
          </w:tcPr>
          <w:p w14:paraId="68ADA882" w14:textId="77777777" w:rsidR="001D1481" w:rsidRDefault="001D1481">
            <w:pPr>
              <w:jc w:val="right"/>
              <w:rPr>
                <w:rFonts w:ascii="Cambria" w:hAnsi="Cambria" w:cs="Arial"/>
                <w:color w:val="000000"/>
                <w:sz w:val="18"/>
                <w:szCs w:val="18"/>
              </w:rPr>
            </w:pPr>
            <w:r>
              <w:rPr>
                <w:rFonts w:ascii="Cambria" w:hAnsi="Cambria"/>
                <w:color w:val="000000"/>
                <w:sz w:val="18"/>
              </w:rPr>
              <w:t>(9 262)</w:t>
            </w:r>
          </w:p>
        </w:tc>
      </w:tr>
      <w:tr w:rsidR="001D1481" w14:paraId="7C84FD2B" w14:textId="77777777" w:rsidTr="001D1481">
        <w:trPr>
          <w:trHeight w:val="240"/>
        </w:trPr>
        <w:tc>
          <w:tcPr>
            <w:tcW w:w="2703" w:type="pct"/>
            <w:tcBorders>
              <w:top w:val="nil"/>
              <w:left w:val="nil"/>
              <w:bottom w:val="nil"/>
              <w:right w:val="nil"/>
            </w:tcBorders>
            <w:shd w:val="clear" w:color="auto" w:fill="auto"/>
            <w:noWrap/>
            <w:vAlign w:val="bottom"/>
            <w:hideMark/>
          </w:tcPr>
          <w:p w14:paraId="01F22E27" w14:textId="77777777" w:rsidR="001D1481" w:rsidRDefault="001D1481">
            <w:pPr>
              <w:rPr>
                <w:rFonts w:ascii="Cambria" w:hAnsi="Cambria" w:cs="Arial"/>
                <w:color w:val="000000"/>
                <w:sz w:val="18"/>
                <w:szCs w:val="18"/>
              </w:rPr>
            </w:pPr>
            <w:r>
              <w:rPr>
                <w:rFonts w:ascii="Cambria" w:hAnsi="Cambria"/>
                <w:color w:val="000000"/>
                <w:sz w:val="18"/>
              </w:rPr>
              <w:t xml:space="preserve">Prêt de la </w:t>
            </w:r>
            <w:proofErr w:type="spellStart"/>
            <w:r>
              <w:rPr>
                <w:rFonts w:ascii="Cambria" w:hAnsi="Cambria"/>
                <w:color w:val="000000"/>
                <w:sz w:val="18"/>
              </w:rPr>
              <w:t>Sanpaolo</w:t>
            </w:r>
            <w:proofErr w:type="spellEnd"/>
            <w:r>
              <w:rPr>
                <w:rFonts w:ascii="Cambria" w:hAnsi="Cambria"/>
                <w:color w:val="000000"/>
                <w:sz w:val="18"/>
              </w:rPr>
              <w:t xml:space="preserve"> 2 - portion à court terme</w:t>
            </w:r>
          </w:p>
        </w:tc>
        <w:tc>
          <w:tcPr>
            <w:tcW w:w="766" w:type="pct"/>
            <w:tcBorders>
              <w:top w:val="nil"/>
              <w:left w:val="nil"/>
              <w:bottom w:val="nil"/>
              <w:right w:val="nil"/>
            </w:tcBorders>
            <w:shd w:val="clear" w:color="auto" w:fill="auto"/>
            <w:noWrap/>
            <w:vAlign w:val="bottom"/>
            <w:hideMark/>
          </w:tcPr>
          <w:p w14:paraId="42E12D57" w14:textId="77777777" w:rsidR="001D1481" w:rsidRDefault="001D1481">
            <w:pPr>
              <w:jc w:val="right"/>
              <w:rPr>
                <w:rFonts w:ascii="Cambria" w:hAnsi="Cambria" w:cs="Arial"/>
                <w:color w:val="000000"/>
                <w:sz w:val="18"/>
                <w:szCs w:val="18"/>
              </w:rPr>
            </w:pPr>
            <w:r>
              <w:rPr>
                <w:rFonts w:ascii="Cambria" w:hAnsi="Cambria"/>
                <w:color w:val="000000"/>
                <w:sz w:val="18"/>
              </w:rPr>
              <w:t>456 579</w:t>
            </w:r>
          </w:p>
        </w:tc>
        <w:tc>
          <w:tcPr>
            <w:tcW w:w="766" w:type="pct"/>
            <w:tcBorders>
              <w:top w:val="nil"/>
              <w:left w:val="nil"/>
              <w:bottom w:val="nil"/>
              <w:right w:val="nil"/>
            </w:tcBorders>
            <w:shd w:val="clear" w:color="auto" w:fill="auto"/>
            <w:noWrap/>
            <w:vAlign w:val="bottom"/>
            <w:hideMark/>
          </w:tcPr>
          <w:p w14:paraId="53952BA9" w14:textId="77777777" w:rsidR="001D1481" w:rsidRDefault="001D1481">
            <w:pPr>
              <w:rPr>
                <w:rFonts w:ascii="Cambria" w:hAnsi="Cambria" w:cs="Arial"/>
                <w:color w:val="000000"/>
                <w:sz w:val="18"/>
                <w:szCs w:val="18"/>
              </w:rPr>
            </w:pPr>
            <w:r>
              <w:rPr>
                <w:rFonts w:ascii="Cambria" w:hAnsi="Cambria"/>
                <w:color w:val="000000"/>
                <w:sz w:val="18"/>
              </w:rPr>
              <w:t xml:space="preserve">                 296 639   </w:t>
            </w:r>
          </w:p>
        </w:tc>
        <w:tc>
          <w:tcPr>
            <w:tcW w:w="766" w:type="pct"/>
            <w:tcBorders>
              <w:top w:val="nil"/>
              <w:left w:val="nil"/>
              <w:bottom w:val="nil"/>
              <w:right w:val="nil"/>
            </w:tcBorders>
            <w:shd w:val="clear" w:color="auto" w:fill="auto"/>
            <w:noWrap/>
            <w:vAlign w:val="bottom"/>
            <w:hideMark/>
          </w:tcPr>
          <w:p w14:paraId="1CB8E70F" w14:textId="77777777" w:rsidR="001D1481" w:rsidRDefault="001D1481">
            <w:pPr>
              <w:jc w:val="right"/>
              <w:rPr>
                <w:rFonts w:ascii="Cambria" w:hAnsi="Cambria" w:cs="Arial"/>
                <w:color w:val="000000"/>
                <w:sz w:val="18"/>
                <w:szCs w:val="18"/>
              </w:rPr>
            </w:pPr>
            <w:r>
              <w:rPr>
                <w:rFonts w:ascii="Cambria" w:hAnsi="Cambria"/>
                <w:color w:val="000000"/>
                <w:sz w:val="18"/>
              </w:rPr>
              <w:t>159 940</w:t>
            </w:r>
          </w:p>
        </w:tc>
      </w:tr>
      <w:tr w:rsidR="001D1481" w14:paraId="2D4CC1AE" w14:textId="77777777" w:rsidTr="001D1481">
        <w:trPr>
          <w:trHeight w:val="240"/>
        </w:trPr>
        <w:tc>
          <w:tcPr>
            <w:tcW w:w="2703" w:type="pct"/>
            <w:tcBorders>
              <w:top w:val="nil"/>
              <w:left w:val="nil"/>
              <w:bottom w:val="nil"/>
              <w:right w:val="nil"/>
            </w:tcBorders>
            <w:shd w:val="clear" w:color="auto" w:fill="auto"/>
            <w:noWrap/>
            <w:vAlign w:val="bottom"/>
            <w:hideMark/>
          </w:tcPr>
          <w:p w14:paraId="14F148D8" w14:textId="77777777" w:rsidR="001D1481" w:rsidRDefault="001D1481">
            <w:pPr>
              <w:rPr>
                <w:rFonts w:ascii="Cambria" w:hAnsi="Cambria" w:cs="Arial"/>
                <w:color w:val="000000"/>
                <w:sz w:val="18"/>
                <w:szCs w:val="18"/>
              </w:rPr>
            </w:pPr>
            <w:r>
              <w:rPr>
                <w:rFonts w:ascii="Cambria" w:hAnsi="Cambria"/>
                <w:color w:val="000000"/>
                <w:sz w:val="18"/>
              </w:rPr>
              <w:t>Prêt de la BPM - portion à court terme</w:t>
            </w:r>
          </w:p>
        </w:tc>
        <w:tc>
          <w:tcPr>
            <w:tcW w:w="766" w:type="pct"/>
            <w:tcBorders>
              <w:top w:val="nil"/>
              <w:left w:val="nil"/>
              <w:bottom w:val="nil"/>
              <w:right w:val="nil"/>
            </w:tcBorders>
            <w:shd w:val="clear" w:color="auto" w:fill="auto"/>
            <w:noWrap/>
            <w:vAlign w:val="bottom"/>
            <w:hideMark/>
          </w:tcPr>
          <w:p w14:paraId="07844171" w14:textId="77777777" w:rsidR="001D1481" w:rsidRDefault="001D1481">
            <w:pPr>
              <w:jc w:val="right"/>
              <w:rPr>
                <w:rFonts w:ascii="Cambria" w:hAnsi="Cambria" w:cs="Arial"/>
                <w:color w:val="000000"/>
                <w:sz w:val="18"/>
                <w:szCs w:val="18"/>
              </w:rPr>
            </w:pPr>
            <w:r>
              <w:rPr>
                <w:rFonts w:ascii="Cambria" w:hAnsi="Cambria"/>
                <w:color w:val="000000"/>
                <w:sz w:val="18"/>
              </w:rPr>
              <w:t>123 479</w:t>
            </w:r>
          </w:p>
        </w:tc>
        <w:tc>
          <w:tcPr>
            <w:tcW w:w="766" w:type="pct"/>
            <w:tcBorders>
              <w:top w:val="nil"/>
              <w:left w:val="nil"/>
              <w:bottom w:val="nil"/>
              <w:right w:val="nil"/>
            </w:tcBorders>
            <w:shd w:val="clear" w:color="auto" w:fill="auto"/>
            <w:noWrap/>
            <w:vAlign w:val="bottom"/>
            <w:hideMark/>
          </w:tcPr>
          <w:p w14:paraId="77CF3DA6" w14:textId="77777777" w:rsidR="001D1481" w:rsidRDefault="001D1481">
            <w:pPr>
              <w:rPr>
                <w:rFonts w:ascii="Cambria" w:hAnsi="Cambria" w:cs="Arial"/>
                <w:color w:val="000000"/>
                <w:sz w:val="18"/>
                <w:szCs w:val="18"/>
              </w:rPr>
            </w:pPr>
            <w:r>
              <w:rPr>
                <w:rFonts w:ascii="Cambria" w:hAnsi="Cambria"/>
                <w:color w:val="000000"/>
                <w:sz w:val="18"/>
              </w:rPr>
              <w:t xml:space="preserve">                    27 189   </w:t>
            </w:r>
          </w:p>
        </w:tc>
        <w:tc>
          <w:tcPr>
            <w:tcW w:w="766" w:type="pct"/>
            <w:tcBorders>
              <w:top w:val="nil"/>
              <w:left w:val="nil"/>
              <w:bottom w:val="nil"/>
              <w:right w:val="nil"/>
            </w:tcBorders>
            <w:shd w:val="clear" w:color="auto" w:fill="auto"/>
            <w:noWrap/>
            <w:vAlign w:val="bottom"/>
            <w:hideMark/>
          </w:tcPr>
          <w:p w14:paraId="647D12F2" w14:textId="77777777" w:rsidR="001D1481" w:rsidRDefault="001D1481">
            <w:pPr>
              <w:jc w:val="right"/>
              <w:rPr>
                <w:rFonts w:ascii="Cambria" w:hAnsi="Cambria" w:cs="Arial"/>
                <w:color w:val="000000"/>
                <w:sz w:val="18"/>
                <w:szCs w:val="18"/>
              </w:rPr>
            </w:pPr>
            <w:r>
              <w:rPr>
                <w:rFonts w:ascii="Cambria" w:hAnsi="Cambria"/>
                <w:color w:val="000000"/>
                <w:sz w:val="18"/>
              </w:rPr>
              <w:t>96 290</w:t>
            </w:r>
          </w:p>
        </w:tc>
      </w:tr>
      <w:tr w:rsidR="001D1481" w14:paraId="6732B611" w14:textId="77777777" w:rsidTr="001D1481">
        <w:trPr>
          <w:trHeight w:val="240"/>
        </w:trPr>
        <w:tc>
          <w:tcPr>
            <w:tcW w:w="2703" w:type="pct"/>
            <w:tcBorders>
              <w:top w:val="nil"/>
              <w:left w:val="nil"/>
              <w:bottom w:val="nil"/>
              <w:right w:val="nil"/>
            </w:tcBorders>
            <w:shd w:val="clear" w:color="auto" w:fill="auto"/>
            <w:noWrap/>
            <w:vAlign w:val="bottom"/>
            <w:hideMark/>
          </w:tcPr>
          <w:p w14:paraId="74AEFC09" w14:textId="77777777" w:rsidR="001D1481" w:rsidRDefault="001D1481">
            <w:pPr>
              <w:rPr>
                <w:rFonts w:ascii="Cambria" w:hAnsi="Cambria" w:cs="Arial"/>
                <w:color w:val="000000"/>
                <w:sz w:val="18"/>
                <w:szCs w:val="18"/>
              </w:rPr>
            </w:pPr>
            <w:r>
              <w:rPr>
                <w:rFonts w:ascii="Cambria" w:hAnsi="Cambria"/>
                <w:color w:val="000000"/>
                <w:sz w:val="18"/>
              </w:rPr>
              <w:t>Prêt de la BPB 2 - portion à court terme</w:t>
            </w:r>
          </w:p>
        </w:tc>
        <w:tc>
          <w:tcPr>
            <w:tcW w:w="766" w:type="pct"/>
            <w:tcBorders>
              <w:top w:val="nil"/>
              <w:left w:val="nil"/>
              <w:bottom w:val="nil"/>
              <w:right w:val="nil"/>
            </w:tcBorders>
            <w:shd w:val="clear" w:color="auto" w:fill="auto"/>
            <w:noWrap/>
            <w:vAlign w:val="bottom"/>
            <w:hideMark/>
          </w:tcPr>
          <w:p w14:paraId="7807DE93" w14:textId="77777777" w:rsidR="001D1481" w:rsidRDefault="001D1481">
            <w:pPr>
              <w:jc w:val="right"/>
              <w:rPr>
                <w:rFonts w:ascii="Cambria" w:hAnsi="Cambria" w:cs="Arial"/>
                <w:color w:val="000000"/>
                <w:sz w:val="18"/>
                <w:szCs w:val="18"/>
              </w:rPr>
            </w:pPr>
            <w:r>
              <w:rPr>
                <w:rFonts w:ascii="Cambria" w:hAnsi="Cambria"/>
                <w:color w:val="000000"/>
                <w:sz w:val="18"/>
              </w:rPr>
              <w:t>89 770</w:t>
            </w:r>
          </w:p>
        </w:tc>
        <w:tc>
          <w:tcPr>
            <w:tcW w:w="766" w:type="pct"/>
            <w:tcBorders>
              <w:top w:val="nil"/>
              <w:left w:val="nil"/>
              <w:bottom w:val="nil"/>
              <w:right w:val="nil"/>
            </w:tcBorders>
            <w:shd w:val="clear" w:color="auto" w:fill="auto"/>
            <w:noWrap/>
            <w:vAlign w:val="bottom"/>
            <w:hideMark/>
          </w:tcPr>
          <w:p w14:paraId="60F2B09A" w14:textId="77777777" w:rsidR="001D1481" w:rsidRDefault="001D1481">
            <w:pPr>
              <w:rPr>
                <w:rFonts w:ascii="Cambria" w:hAnsi="Cambria" w:cs="Arial"/>
                <w:color w:val="000000"/>
                <w:sz w:val="18"/>
                <w:szCs w:val="18"/>
              </w:rPr>
            </w:pPr>
            <w:r>
              <w:rPr>
                <w:rFonts w:ascii="Cambria" w:hAnsi="Cambria"/>
                <w:color w:val="000000"/>
                <w:sz w:val="18"/>
              </w:rPr>
              <w:t xml:space="preserve">                    25 555   </w:t>
            </w:r>
          </w:p>
        </w:tc>
        <w:tc>
          <w:tcPr>
            <w:tcW w:w="766" w:type="pct"/>
            <w:tcBorders>
              <w:top w:val="nil"/>
              <w:left w:val="nil"/>
              <w:bottom w:val="nil"/>
              <w:right w:val="nil"/>
            </w:tcBorders>
            <w:shd w:val="clear" w:color="auto" w:fill="auto"/>
            <w:noWrap/>
            <w:vAlign w:val="bottom"/>
            <w:hideMark/>
          </w:tcPr>
          <w:p w14:paraId="596DDFE2" w14:textId="77777777" w:rsidR="001D1481" w:rsidRDefault="001D1481">
            <w:pPr>
              <w:jc w:val="right"/>
              <w:rPr>
                <w:rFonts w:ascii="Cambria" w:hAnsi="Cambria" w:cs="Arial"/>
                <w:color w:val="000000"/>
                <w:sz w:val="18"/>
                <w:szCs w:val="18"/>
              </w:rPr>
            </w:pPr>
            <w:r>
              <w:rPr>
                <w:rFonts w:ascii="Cambria" w:hAnsi="Cambria"/>
                <w:color w:val="000000"/>
                <w:sz w:val="18"/>
              </w:rPr>
              <w:t>64 215</w:t>
            </w:r>
          </w:p>
        </w:tc>
      </w:tr>
      <w:tr w:rsidR="001D1481" w14:paraId="0775E513" w14:textId="77777777" w:rsidTr="001D1481">
        <w:trPr>
          <w:trHeight w:val="240"/>
        </w:trPr>
        <w:tc>
          <w:tcPr>
            <w:tcW w:w="2703" w:type="pct"/>
            <w:tcBorders>
              <w:top w:val="nil"/>
              <w:left w:val="nil"/>
              <w:bottom w:val="nil"/>
              <w:right w:val="nil"/>
            </w:tcBorders>
            <w:shd w:val="clear" w:color="auto" w:fill="auto"/>
            <w:noWrap/>
            <w:vAlign w:val="bottom"/>
            <w:hideMark/>
          </w:tcPr>
          <w:p w14:paraId="1F7FA9A2" w14:textId="77777777" w:rsidR="001D1481" w:rsidRDefault="001D1481">
            <w:pPr>
              <w:rPr>
                <w:rFonts w:ascii="Cambria" w:hAnsi="Cambria" w:cs="Arial"/>
                <w:color w:val="000000"/>
                <w:sz w:val="18"/>
                <w:szCs w:val="18"/>
              </w:rPr>
            </w:pPr>
            <w:r>
              <w:rPr>
                <w:rFonts w:ascii="Cambria" w:hAnsi="Cambria"/>
                <w:color w:val="000000"/>
                <w:sz w:val="18"/>
              </w:rPr>
              <w:t>Prêt de la BDF - portion à court terme</w:t>
            </w:r>
          </w:p>
        </w:tc>
        <w:tc>
          <w:tcPr>
            <w:tcW w:w="766" w:type="pct"/>
            <w:tcBorders>
              <w:top w:val="nil"/>
              <w:left w:val="nil"/>
              <w:bottom w:val="nil"/>
              <w:right w:val="nil"/>
            </w:tcBorders>
            <w:shd w:val="clear" w:color="auto" w:fill="auto"/>
            <w:noWrap/>
            <w:vAlign w:val="bottom"/>
            <w:hideMark/>
          </w:tcPr>
          <w:p w14:paraId="7F9B5E33" w14:textId="77777777" w:rsidR="001D1481" w:rsidRDefault="001D1481">
            <w:pPr>
              <w:jc w:val="right"/>
              <w:rPr>
                <w:rFonts w:ascii="Cambria" w:hAnsi="Cambria" w:cs="Arial"/>
                <w:color w:val="000000"/>
                <w:sz w:val="18"/>
                <w:szCs w:val="18"/>
              </w:rPr>
            </w:pPr>
            <w:r>
              <w:rPr>
                <w:rFonts w:ascii="Cambria" w:hAnsi="Cambria"/>
                <w:color w:val="000000"/>
                <w:sz w:val="18"/>
              </w:rPr>
              <w:t>144 524</w:t>
            </w:r>
          </w:p>
        </w:tc>
        <w:tc>
          <w:tcPr>
            <w:tcW w:w="766" w:type="pct"/>
            <w:tcBorders>
              <w:top w:val="nil"/>
              <w:left w:val="nil"/>
              <w:bottom w:val="nil"/>
              <w:right w:val="nil"/>
            </w:tcBorders>
            <w:shd w:val="clear" w:color="auto" w:fill="auto"/>
            <w:noWrap/>
            <w:vAlign w:val="bottom"/>
            <w:hideMark/>
          </w:tcPr>
          <w:p w14:paraId="0679CD22" w14:textId="77777777" w:rsidR="001D1481" w:rsidRDefault="001D1481">
            <w:pPr>
              <w:rPr>
                <w:rFonts w:ascii="Cambria" w:hAnsi="Cambria" w:cs="Arial"/>
                <w:color w:val="000000"/>
                <w:sz w:val="18"/>
                <w:szCs w:val="18"/>
              </w:rPr>
            </w:pPr>
            <w:r>
              <w:rPr>
                <w:rFonts w:ascii="Cambria" w:hAnsi="Cambria"/>
                <w:color w:val="000000"/>
                <w:sz w:val="18"/>
              </w:rPr>
              <w:t xml:space="preserve">                 156 408   </w:t>
            </w:r>
          </w:p>
        </w:tc>
        <w:tc>
          <w:tcPr>
            <w:tcW w:w="766" w:type="pct"/>
            <w:tcBorders>
              <w:top w:val="nil"/>
              <w:left w:val="nil"/>
              <w:bottom w:val="nil"/>
              <w:right w:val="nil"/>
            </w:tcBorders>
            <w:shd w:val="clear" w:color="auto" w:fill="auto"/>
            <w:noWrap/>
            <w:vAlign w:val="bottom"/>
            <w:hideMark/>
          </w:tcPr>
          <w:p w14:paraId="09BF358C" w14:textId="77777777" w:rsidR="001D1481" w:rsidRDefault="001D1481">
            <w:pPr>
              <w:jc w:val="right"/>
              <w:rPr>
                <w:rFonts w:ascii="Cambria" w:hAnsi="Cambria" w:cs="Arial"/>
                <w:color w:val="000000"/>
                <w:sz w:val="18"/>
                <w:szCs w:val="18"/>
              </w:rPr>
            </w:pPr>
            <w:r>
              <w:rPr>
                <w:rFonts w:ascii="Cambria" w:hAnsi="Cambria"/>
                <w:color w:val="000000"/>
                <w:sz w:val="18"/>
              </w:rPr>
              <w:t>(11 884)</w:t>
            </w:r>
          </w:p>
        </w:tc>
      </w:tr>
      <w:tr w:rsidR="001D1481" w14:paraId="250AC150" w14:textId="77777777" w:rsidTr="001D1481">
        <w:trPr>
          <w:trHeight w:val="240"/>
        </w:trPr>
        <w:tc>
          <w:tcPr>
            <w:tcW w:w="2703" w:type="pct"/>
            <w:tcBorders>
              <w:top w:val="nil"/>
              <w:left w:val="nil"/>
              <w:bottom w:val="nil"/>
              <w:right w:val="nil"/>
            </w:tcBorders>
            <w:shd w:val="clear" w:color="auto" w:fill="auto"/>
            <w:noWrap/>
            <w:vAlign w:val="bottom"/>
            <w:hideMark/>
          </w:tcPr>
          <w:p w14:paraId="50E1B9A2" w14:textId="77777777" w:rsidR="001D1481" w:rsidRDefault="001D1481">
            <w:pPr>
              <w:rPr>
                <w:rFonts w:ascii="Cambria" w:hAnsi="Cambria" w:cs="Arial"/>
                <w:color w:val="000000"/>
                <w:sz w:val="18"/>
                <w:szCs w:val="18"/>
              </w:rPr>
            </w:pPr>
            <w:r>
              <w:rPr>
                <w:rFonts w:ascii="Cambria" w:hAnsi="Cambria"/>
                <w:color w:val="000000"/>
                <w:sz w:val="18"/>
              </w:rPr>
              <w:t xml:space="preserve">Prêt de la </w:t>
            </w:r>
            <w:proofErr w:type="spellStart"/>
            <w:r>
              <w:rPr>
                <w:rFonts w:ascii="Cambria" w:hAnsi="Cambria"/>
                <w:color w:val="000000"/>
                <w:sz w:val="18"/>
              </w:rPr>
              <w:t>Sanpaolo</w:t>
            </w:r>
            <w:proofErr w:type="spellEnd"/>
            <w:r>
              <w:rPr>
                <w:rFonts w:ascii="Cambria" w:hAnsi="Cambria"/>
                <w:color w:val="000000"/>
                <w:sz w:val="18"/>
              </w:rPr>
              <w:t xml:space="preserve"> 3 - portion à court terme</w:t>
            </w:r>
          </w:p>
        </w:tc>
        <w:tc>
          <w:tcPr>
            <w:tcW w:w="766" w:type="pct"/>
            <w:tcBorders>
              <w:top w:val="nil"/>
              <w:left w:val="nil"/>
              <w:bottom w:val="nil"/>
              <w:right w:val="nil"/>
            </w:tcBorders>
            <w:shd w:val="clear" w:color="auto" w:fill="auto"/>
            <w:noWrap/>
            <w:vAlign w:val="bottom"/>
            <w:hideMark/>
          </w:tcPr>
          <w:p w14:paraId="7E9B4A5F" w14:textId="77777777" w:rsidR="001D1481" w:rsidRDefault="001D1481">
            <w:pPr>
              <w:jc w:val="right"/>
              <w:rPr>
                <w:rFonts w:ascii="Cambria" w:hAnsi="Cambria" w:cs="Arial"/>
                <w:color w:val="000000"/>
                <w:sz w:val="18"/>
                <w:szCs w:val="18"/>
              </w:rPr>
            </w:pPr>
            <w:r>
              <w:rPr>
                <w:rFonts w:ascii="Cambria" w:hAnsi="Cambria"/>
                <w:color w:val="000000"/>
                <w:sz w:val="18"/>
              </w:rPr>
              <w:t>30 963</w:t>
            </w:r>
          </w:p>
        </w:tc>
        <w:tc>
          <w:tcPr>
            <w:tcW w:w="766" w:type="pct"/>
            <w:tcBorders>
              <w:top w:val="nil"/>
              <w:left w:val="nil"/>
              <w:bottom w:val="nil"/>
              <w:right w:val="nil"/>
            </w:tcBorders>
            <w:shd w:val="clear" w:color="auto" w:fill="auto"/>
            <w:noWrap/>
            <w:vAlign w:val="bottom"/>
            <w:hideMark/>
          </w:tcPr>
          <w:p w14:paraId="26812C81" w14:textId="036FCA65" w:rsidR="001D1481" w:rsidRDefault="00BB2062">
            <w:pPr>
              <w:jc w:val="right"/>
              <w:rPr>
                <w:rFonts w:ascii="Cambria" w:hAnsi="Cambria" w:cs="Arial"/>
                <w:color w:val="000000"/>
                <w:sz w:val="18"/>
                <w:szCs w:val="18"/>
              </w:rPr>
            </w:pPr>
            <w:r>
              <w:rPr>
                <w:rFonts w:ascii="Cambria" w:hAnsi="Cambria"/>
                <w:color w:val="000000"/>
                <w:sz w:val="18"/>
              </w:rPr>
              <w:t>0</w:t>
            </w:r>
          </w:p>
        </w:tc>
        <w:tc>
          <w:tcPr>
            <w:tcW w:w="766" w:type="pct"/>
            <w:tcBorders>
              <w:top w:val="nil"/>
              <w:left w:val="nil"/>
              <w:bottom w:val="nil"/>
              <w:right w:val="nil"/>
            </w:tcBorders>
            <w:shd w:val="clear" w:color="auto" w:fill="auto"/>
            <w:noWrap/>
            <w:vAlign w:val="bottom"/>
            <w:hideMark/>
          </w:tcPr>
          <w:p w14:paraId="44950C6E" w14:textId="77777777" w:rsidR="001D1481" w:rsidRDefault="001D1481">
            <w:pPr>
              <w:jc w:val="right"/>
              <w:rPr>
                <w:rFonts w:ascii="Cambria" w:hAnsi="Cambria" w:cs="Arial"/>
                <w:color w:val="000000"/>
                <w:sz w:val="18"/>
                <w:szCs w:val="18"/>
              </w:rPr>
            </w:pPr>
            <w:r>
              <w:rPr>
                <w:rFonts w:ascii="Cambria" w:hAnsi="Cambria"/>
                <w:color w:val="000000"/>
                <w:sz w:val="18"/>
              </w:rPr>
              <w:t>30 963</w:t>
            </w:r>
          </w:p>
        </w:tc>
      </w:tr>
      <w:tr w:rsidR="001D1481" w14:paraId="73DB356C" w14:textId="77777777" w:rsidTr="001D1481">
        <w:trPr>
          <w:trHeight w:val="495"/>
        </w:trPr>
        <w:tc>
          <w:tcPr>
            <w:tcW w:w="2703" w:type="pct"/>
            <w:tcBorders>
              <w:top w:val="nil"/>
              <w:left w:val="nil"/>
              <w:bottom w:val="nil"/>
              <w:right w:val="nil"/>
            </w:tcBorders>
            <w:shd w:val="clear" w:color="auto" w:fill="auto"/>
            <w:vAlign w:val="center"/>
            <w:hideMark/>
          </w:tcPr>
          <w:p w14:paraId="28A6DC60" w14:textId="4D467239" w:rsidR="001D1481" w:rsidRDefault="001D1481">
            <w:pPr>
              <w:rPr>
                <w:rFonts w:ascii="Cambria" w:hAnsi="Cambria" w:cs="Arial"/>
                <w:b/>
                <w:bCs/>
                <w:color w:val="000000"/>
                <w:sz w:val="18"/>
                <w:szCs w:val="18"/>
              </w:rPr>
            </w:pPr>
            <w:r>
              <w:rPr>
                <w:rFonts w:ascii="Cambria" w:hAnsi="Cambria"/>
                <w:b/>
                <w:color w:val="000000"/>
                <w:sz w:val="18"/>
              </w:rPr>
              <w:t xml:space="preserve">Total Dettes envers des banques et portions à court terme de prêts </w:t>
            </w:r>
          </w:p>
        </w:tc>
        <w:tc>
          <w:tcPr>
            <w:tcW w:w="766" w:type="pct"/>
            <w:tcBorders>
              <w:top w:val="single" w:sz="4" w:space="0" w:color="auto"/>
              <w:left w:val="nil"/>
              <w:bottom w:val="single" w:sz="8" w:space="0" w:color="auto"/>
              <w:right w:val="nil"/>
            </w:tcBorders>
            <w:shd w:val="clear" w:color="auto" w:fill="auto"/>
            <w:noWrap/>
            <w:vAlign w:val="center"/>
            <w:hideMark/>
          </w:tcPr>
          <w:p w14:paraId="24611F33" w14:textId="77777777" w:rsidR="001D1481" w:rsidRDefault="001D1481">
            <w:pPr>
              <w:jc w:val="right"/>
              <w:rPr>
                <w:rFonts w:ascii="Cambria" w:hAnsi="Cambria" w:cs="Arial"/>
                <w:b/>
                <w:bCs/>
                <w:color w:val="000000"/>
                <w:sz w:val="18"/>
                <w:szCs w:val="18"/>
              </w:rPr>
            </w:pPr>
            <w:r>
              <w:rPr>
                <w:rFonts w:ascii="Cambria" w:hAnsi="Cambria"/>
                <w:b/>
                <w:color w:val="000000"/>
                <w:sz w:val="18"/>
              </w:rPr>
              <w:t>2 461 030</w:t>
            </w:r>
          </w:p>
        </w:tc>
        <w:tc>
          <w:tcPr>
            <w:tcW w:w="766" w:type="pct"/>
            <w:tcBorders>
              <w:top w:val="single" w:sz="4" w:space="0" w:color="auto"/>
              <w:left w:val="nil"/>
              <w:bottom w:val="single" w:sz="8" w:space="0" w:color="auto"/>
              <w:right w:val="nil"/>
            </w:tcBorders>
            <w:shd w:val="clear" w:color="auto" w:fill="auto"/>
            <w:noWrap/>
            <w:vAlign w:val="center"/>
            <w:hideMark/>
          </w:tcPr>
          <w:p w14:paraId="3CF6B694" w14:textId="77777777" w:rsidR="001D1481" w:rsidRDefault="001D1481">
            <w:pPr>
              <w:jc w:val="right"/>
              <w:rPr>
                <w:rFonts w:ascii="Cambria" w:hAnsi="Cambria" w:cs="Arial"/>
                <w:b/>
                <w:bCs/>
                <w:color w:val="000000"/>
                <w:sz w:val="18"/>
                <w:szCs w:val="18"/>
              </w:rPr>
            </w:pPr>
            <w:r>
              <w:rPr>
                <w:rFonts w:ascii="Cambria" w:hAnsi="Cambria"/>
                <w:b/>
                <w:color w:val="000000"/>
                <w:sz w:val="18"/>
              </w:rPr>
              <w:t>1 477 061</w:t>
            </w:r>
          </w:p>
        </w:tc>
        <w:tc>
          <w:tcPr>
            <w:tcW w:w="766" w:type="pct"/>
            <w:tcBorders>
              <w:top w:val="single" w:sz="4" w:space="0" w:color="auto"/>
              <w:left w:val="nil"/>
              <w:bottom w:val="single" w:sz="8" w:space="0" w:color="auto"/>
              <w:right w:val="nil"/>
            </w:tcBorders>
            <w:shd w:val="clear" w:color="auto" w:fill="auto"/>
            <w:noWrap/>
            <w:vAlign w:val="center"/>
            <w:hideMark/>
          </w:tcPr>
          <w:p w14:paraId="5FC71771" w14:textId="77777777" w:rsidR="001D1481" w:rsidRDefault="001D1481">
            <w:pPr>
              <w:jc w:val="right"/>
              <w:rPr>
                <w:rFonts w:ascii="Cambria" w:hAnsi="Cambria" w:cs="Arial"/>
                <w:b/>
                <w:bCs/>
                <w:color w:val="000000"/>
                <w:sz w:val="18"/>
                <w:szCs w:val="18"/>
              </w:rPr>
            </w:pPr>
            <w:r>
              <w:rPr>
                <w:rFonts w:ascii="Cambria" w:hAnsi="Cambria"/>
                <w:b/>
                <w:color w:val="000000"/>
                <w:sz w:val="18"/>
              </w:rPr>
              <w:t>983 969</w:t>
            </w:r>
          </w:p>
        </w:tc>
      </w:tr>
    </w:tbl>
    <w:p w14:paraId="29484F74" w14:textId="161856F8" w:rsidR="00B11D49" w:rsidRDefault="00B11D49" w:rsidP="00E16D12">
      <w:pPr>
        <w:spacing w:after="200" w:line="276" w:lineRule="auto"/>
        <w:jc w:val="both"/>
        <w:rPr>
          <w:rFonts w:ascii="Cambria" w:hAnsi="Cambria"/>
          <w:sz w:val="22"/>
          <w:szCs w:val="22"/>
        </w:rPr>
      </w:pPr>
    </w:p>
    <w:p w14:paraId="6F6858DE" w14:textId="02B54754" w:rsidR="00E16D12" w:rsidRDefault="00E16D12" w:rsidP="00E16D12">
      <w:pPr>
        <w:spacing w:after="200" w:line="276" w:lineRule="auto"/>
        <w:jc w:val="both"/>
        <w:rPr>
          <w:rFonts w:ascii="Cambria" w:hAnsi="Cambria"/>
          <w:sz w:val="22"/>
          <w:szCs w:val="22"/>
        </w:rPr>
      </w:pPr>
      <w:r>
        <w:rPr>
          <w:rFonts w:ascii="Cambria" w:hAnsi="Cambria"/>
          <w:sz w:val="22"/>
        </w:rPr>
        <w:t>Au 30 juin 2021, le poste se réfère à la partie à court terme des prêts bancaires ; en ce qui concerne les commentaires, se référer à la note 18 « Prêts à moyen/long terme », ainsi qu'au montant des dettes dues aux institutions bancaires pour les avances à l'importation.</w:t>
      </w:r>
    </w:p>
    <w:p w14:paraId="33364B47" w14:textId="77777777" w:rsidR="00B11D49" w:rsidRDefault="00B11D49" w:rsidP="00E16D12">
      <w:pPr>
        <w:spacing w:after="200" w:line="276" w:lineRule="auto"/>
        <w:jc w:val="both"/>
        <w:rPr>
          <w:rFonts w:ascii="Cambria" w:hAnsi="Cambria"/>
          <w:sz w:val="22"/>
          <w:szCs w:val="22"/>
        </w:rPr>
      </w:pPr>
    </w:p>
    <w:p w14:paraId="11262554" w14:textId="77777777" w:rsidR="00E16D12" w:rsidRPr="005B2120" w:rsidRDefault="00E16D12" w:rsidP="00E16D12">
      <w:pPr>
        <w:pStyle w:val="Titolo2"/>
        <w:numPr>
          <w:ilvl w:val="0"/>
          <w:numId w:val="6"/>
        </w:numPr>
        <w:spacing w:line="240" w:lineRule="auto"/>
        <w:ind w:left="357" w:right="0" w:hanging="357"/>
        <w:jc w:val="left"/>
        <w:rPr>
          <w:i w:val="0"/>
        </w:rPr>
      </w:pPr>
      <w:bookmarkStart w:id="150" w:name="_Toc112768682"/>
      <w:r>
        <w:rPr>
          <w:i w:val="0"/>
        </w:rPr>
        <w:t>Autres passifs financiers exigibles</w:t>
      </w:r>
      <w:bookmarkEnd w:id="150"/>
    </w:p>
    <w:p w14:paraId="7F72B18C" w14:textId="77777777" w:rsidR="00E16D12" w:rsidRPr="00C17031" w:rsidRDefault="00E16D12" w:rsidP="00E16D12">
      <w:pPr>
        <w:jc w:val="both"/>
        <w:rPr>
          <w:rFonts w:ascii="Cambria" w:hAnsi="Cambria"/>
          <w:sz w:val="22"/>
          <w:szCs w:val="22"/>
        </w:rPr>
      </w:pPr>
    </w:p>
    <w:p w14:paraId="6E12443D" w14:textId="23D3ED31" w:rsidR="00E16D12" w:rsidRDefault="00E16D12" w:rsidP="00E16D12">
      <w:pPr>
        <w:spacing w:after="200" w:line="276" w:lineRule="auto"/>
        <w:jc w:val="both"/>
        <w:rPr>
          <w:rFonts w:ascii="Cambria" w:hAnsi="Cambria"/>
          <w:sz w:val="22"/>
          <w:szCs w:val="22"/>
        </w:rPr>
      </w:pPr>
      <w:r>
        <w:rPr>
          <w:rFonts w:ascii="Cambria" w:hAnsi="Cambria"/>
          <w:sz w:val="22"/>
        </w:rPr>
        <w:t>La ventilation du poste « Autres passifs financiers à court terme » au 30 juin 2021, par rapport aux mêmes valeurs au 31 décembre 2020, est la suivante :</w:t>
      </w:r>
    </w:p>
    <w:tbl>
      <w:tblPr>
        <w:tblW w:w="5000" w:type="pct"/>
        <w:tblCellMar>
          <w:left w:w="70" w:type="dxa"/>
          <w:right w:w="70" w:type="dxa"/>
        </w:tblCellMar>
        <w:tblLook w:val="04A0" w:firstRow="1" w:lastRow="0" w:firstColumn="1" w:lastColumn="0" w:noHBand="0" w:noVBand="1"/>
      </w:tblPr>
      <w:tblGrid>
        <w:gridCol w:w="4629"/>
        <w:gridCol w:w="1670"/>
        <w:gridCol w:w="1670"/>
        <w:gridCol w:w="1669"/>
      </w:tblGrid>
      <w:tr w:rsidR="00C304C4" w14:paraId="6D604EDE" w14:textId="77777777" w:rsidTr="00C304C4">
        <w:trPr>
          <w:trHeight w:val="495"/>
        </w:trPr>
        <w:tc>
          <w:tcPr>
            <w:tcW w:w="2401" w:type="pct"/>
            <w:tcBorders>
              <w:top w:val="single" w:sz="4" w:space="0" w:color="0070C0"/>
              <w:left w:val="nil"/>
              <w:bottom w:val="single" w:sz="8" w:space="0" w:color="0070C0"/>
              <w:right w:val="nil"/>
            </w:tcBorders>
            <w:shd w:val="clear" w:color="auto" w:fill="auto"/>
            <w:noWrap/>
            <w:vAlign w:val="bottom"/>
            <w:hideMark/>
          </w:tcPr>
          <w:p w14:paraId="2B708E2C" w14:textId="77777777" w:rsidR="00C304C4" w:rsidRDefault="00C304C4">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866" w:type="pct"/>
            <w:tcBorders>
              <w:top w:val="single" w:sz="4" w:space="0" w:color="0070C0"/>
              <w:left w:val="nil"/>
              <w:bottom w:val="single" w:sz="8" w:space="0" w:color="0070C0"/>
              <w:right w:val="nil"/>
            </w:tcBorders>
            <w:shd w:val="clear" w:color="auto" w:fill="auto"/>
            <w:vAlign w:val="bottom"/>
            <w:hideMark/>
          </w:tcPr>
          <w:p w14:paraId="180AE5E2" w14:textId="77777777" w:rsidR="00C304C4" w:rsidRDefault="00C304C4">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866" w:type="pct"/>
            <w:tcBorders>
              <w:top w:val="single" w:sz="4" w:space="0" w:color="0070C0"/>
              <w:left w:val="nil"/>
              <w:bottom w:val="single" w:sz="8" w:space="0" w:color="0070C0"/>
              <w:right w:val="nil"/>
            </w:tcBorders>
            <w:shd w:val="clear" w:color="auto" w:fill="auto"/>
            <w:vAlign w:val="bottom"/>
            <w:hideMark/>
          </w:tcPr>
          <w:p w14:paraId="7521D5E8" w14:textId="77777777" w:rsidR="00C304C4" w:rsidRDefault="00C304C4">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c>
          <w:tcPr>
            <w:tcW w:w="866" w:type="pct"/>
            <w:tcBorders>
              <w:top w:val="single" w:sz="4" w:space="0" w:color="0070C0"/>
              <w:left w:val="nil"/>
              <w:bottom w:val="single" w:sz="8" w:space="0" w:color="0070C0"/>
              <w:right w:val="nil"/>
            </w:tcBorders>
            <w:shd w:val="clear" w:color="auto" w:fill="auto"/>
            <w:vAlign w:val="bottom"/>
            <w:hideMark/>
          </w:tcPr>
          <w:p w14:paraId="2E181813" w14:textId="77777777" w:rsidR="00C304C4" w:rsidRDefault="00C304C4">
            <w:pPr>
              <w:jc w:val="center"/>
              <w:rPr>
                <w:rFonts w:ascii="Cambria" w:hAnsi="Cambria" w:cs="Arial"/>
                <w:b/>
                <w:bCs/>
                <w:color w:val="000000"/>
                <w:sz w:val="18"/>
                <w:szCs w:val="18"/>
              </w:rPr>
            </w:pPr>
            <w:r>
              <w:rPr>
                <w:rFonts w:ascii="Cambria" w:hAnsi="Cambria"/>
                <w:b/>
                <w:color w:val="000000"/>
                <w:sz w:val="18"/>
              </w:rPr>
              <w:t>Variation</w:t>
            </w:r>
          </w:p>
        </w:tc>
      </w:tr>
      <w:tr w:rsidR="00C304C4" w14:paraId="0B25C195" w14:textId="77777777" w:rsidTr="00C304C4">
        <w:trPr>
          <w:trHeight w:val="240"/>
        </w:trPr>
        <w:tc>
          <w:tcPr>
            <w:tcW w:w="2401" w:type="pct"/>
            <w:tcBorders>
              <w:top w:val="nil"/>
              <w:left w:val="nil"/>
              <w:bottom w:val="nil"/>
              <w:right w:val="nil"/>
            </w:tcBorders>
            <w:shd w:val="clear" w:color="auto" w:fill="auto"/>
            <w:noWrap/>
            <w:vAlign w:val="bottom"/>
            <w:hideMark/>
          </w:tcPr>
          <w:p w14:paraId="22BE7CCE" w14:textId="77777777" w:rsidR="00C304C4" w:rsidRDefault="00C304C4">
            <w:pPr>
              <w:rPr>
                <w:rFonts w:ascii="Cambria" w:hAnsi="Cambria" w:cs="Arial"/>
                <w:color w:val="000000"/>
                <w:sz w:val="18"/>
                <w:szCs w:val="18"/>
              </w:rPr>
            </w:pPr>
            <w:r>
              <w:rPr>
                <w:rFonts w:ascii="Cambria" w:hAnsi="Cambria"/>
                <w:color w:val="000000"/>
                <w:sz w:val="18"/>
              </w:rPr>
              <w:t>Dettes pour Leasing - portion à court terme</w:t>
            </w:r>
          </w:p>
        </w:tc>
        <w:tc>
          <w:tcPr>
            <w:tcW w:w="866" w:type="pct"/>
            <w:tcBorders>
              <w:top w:val="nil"/>
              <w:left w:val="nil"/>
              <w:bottom w:val="nil"/>
              <w:right w:val="nil"/>
            </w:tcBorders>
            <w:shd w:val="clear" w:color="auto" w:fill="auto"/>
            <w:noWrap/>
            <w:vAlign w:val="bottom"/>
            <w:hideMark/>
          </w:tcPr>
          <w:p w14:paraId="00C6C2E2" w14:textId="77777777" w:rsidR="00C304C4" w:rsidRDefault="00C304C4">
            <w:pPr>
              <w:jc w:val="right"/>
              <w:rPr>
                <w:rFonts w:ascii="Cambria" w:hAnsi="Cambria" w:cs="Arial"/>
                <w:color w:val="000000"/>
                <w:sz w:val="18"/>
                <w:szCs w:val="18"/>
              </w:rPr>
            </w:pPr>
            <w:r>
              <w:rPr>
                <w:rFonts w:ascii="Cambria" w:hAnsi="Cambria"/>
                <w:color w:val="000000"/>
                <w:sz w:val="18"/>
              </w:rPr>
              <w:t>2 857 966</w:t>
            </w:r>
          </w:p>
        </w:tc>
        <w:tc>
          <w:tcPr>
            <w:tcW w:w="866" w:type="pct"/>
            <w:tcBorders>
              <w:top w:val="nil"/>
              <w:left w:val="nil"/>
              <w:bottom w:val="nil"/>
              <w:right w:val="nil"/>
            </w:tcBorders>
            <w:shd w:val="clear" w:color="auto" w:fill="auto"/>
            <w:noWrap/>
            <w:vAlign w:val="bottom"/>
            <w:hideMark/>
          </w:tcPr>
          <w:p w14:paraId="642EF59F" w14:textId="77777777" w:rsidR="00C304C4" w:rsidRDefault="00C304C4">
            <w:pPr>
              <w:jc w:val="right"/>
              <w:rPr>
                <w:rFonts w:ascii="Cambria" w:hAnsi="Cambria" w:cs="Arial"/>
                <w:color w:val="000000"/>
                <w:sz w:val="18"/>
                <w:szCs w:val="18"/>
              </w:rPr>
            </w:pPr>
            <w:r>
              <w:rPr>
                <w:rFonts w:ascii="Cambria" w:hAnsi="Cambria"/>
                <w:color w:val="000000"/>
                <w:sz w:val="18"/>
              </w:rPr>
              <w:t>1 483 823</w:t>
            </w:r>
          </w:p>
        </w:tc>
        <w:tc>
          <w:tcPr>
            <w:tcW w:w="866" w:type="pct"/>
            <w:tcBorders>
              <w:top w:val="nil"/>
              <w:left w:val="nil"/>
              <w:bottom w:val="nil"/>
              <w:right w:val="nil"/>
            </w:tcBorders>
            <w:shd w:val="clear" w:color="auto" w:fill="auto"/>
            <w:noWrap/>
            <w:vAlign w:val="bottom"/>
            <w:hideMark/>
          </w:tcPr>
          <w:p w14:paraId="7891C454" w14:textId="77777777" w:rsidR="00C304C4" w:rsidRDefault="00C304C4">
            <w:pPr>
              <w:jc w:val="right"/>
              <w:rPr>
                <w:rFonts w:ascii="Cambria" w:hAnsi="Cambria" w:cs="Arial"/>
                <w:color w:val="000000"/>
                <w:sz w:val="18"/>
                <w:szCs w:val="18"/>
              </w:rPr>
            </w:pPr>
            <w:r>
              <w:rPr>
                <w:rFonts w:ascii="Cambria" w:hAnsi="Cambria"/>
                <w:color w:val="000000"/>
                <w:sz w:val="18"/>
              </w:rPr>
              <w:t>1 374 142</w:t>
            </w:r>
          </w:p>
        </w:tc>
      </w:tr>
      <w:tr w:rsidR="00C304C4" w14:paraId="772CB621" w14:textId="77777777" w:rsidTr="00C304C4">
        <w:trPr>
          <w:trHeight w:val="255"/>
        </w:trPr>
        <w:tc>
          <w:tcPr>
            <w:tcW w:w="2401" w:type="pct"/>
            <w:tcBorders>
              <w:top w:val="nil"/>
              <w:left w:val="nil"/>
              <w:bottom w:val="nil"/>
              <w:right w:val="nil"/>
            </w:tcBorders>
            <w:shd w:val="clear" w:color="auto" w:fill="auto"/>
            <w:noWrap/>
            <w:vAlign w:val="bottom"/>
            <w:hideMark/>
          </w:tcPr>
          <w:p w14:paraId="4280165E" w14:textId="77777777" w:rsidR="00C304C4" w:rsidRDefault="00C304C4">
            <w:pPr>
              <w:rPr>
                <w:rFonts w:ascii="Cambria" w:hAnsi="Cambria" w:cs="Arial"/>
                <w:b/>
                <w:bCs/>
                <w:color w:val="000000"/>
                <w:sz w:val="18"/>
                <w:szCs w:val="18"/>
              </w:rPr>
            </w:pPr>
            <w:r>
              <w:rPr>
                <w:rFonts w:ascii="Cambria" w:hAnsi="Cambria"/>
                <w:b/>
                <w:color w:val="000000"/>
                <w:sz w:val="18"/>
              </w:rPr>
              <w:t>Total Autres passifs financiers à court terme</w:t>
            </w:r>
          </w:p>
        </w:tc>
        <w:tc>
          <w:tcPr>
            <w:tcW w:w="866" w:type="pct"/>
            <w:tcBorders>
              <w:top w:val="single" w:sz="4" w:space="0" w:color="auto"/>
              <w:left w:val="nil"/>
              <w:bottom w:val="single" w:sz="8" w:space="0" w:color="auto"/>
              <w:right w:val="nil"/>
            </w:tcBorders>
            <w:shd w:val="clear" w:color="auto" w:fill="auto"/>
            <w:noWrap/>
            <w:vAlign w:val="bottom"/>
            <w:hideMark/>
          </w:tcPr>
          <w:p w14:paraId="46E6F88D" w14:textId="77777777" w:rsidR="00C304C4" w:rsidRDefault="00C304C4">
            <w:pPr>
              <w:jc w:val="right"/>
              <w:rPr>
                <w:rFonts w:ascii="Cambria" w:hAnsi="Cambria" w:cs="Arial"/>
                <w:b/>
                <w:bCs/>
                <w:color w:val="000000"/>
                <w:sz w:val="18"/>
                <w:szCs w:val="18"/>
              </w:rPr>
            </w:pPr>
            <w:r>
              <w:rPr>
                <w:rFonts w:ascii="Cambria" w:hAnsi="Cambria"/>
                <w:b/>
                <w:color w:val="000000"/>
                <w:sz w:val="18"/>
              </w:rPr>
              <w:t>2 857 966</w:t>
            </w:r>
          </w:p>
        </w:tc>
        <w:tc>
          <w:tcPr>
            <w:tcW w:w="866" w:type="pct"/>
            <w:tcBorders>
              <w:top w:val="single" w:sz="4" w:space="0" w:color="auto"/>
              <w:left w:val="nil"/>
              <w:bottom w:val="single" w:sz="8" w:space="0" w:color="auto"/>
              <w:right w:val="nil"/>
            </w:tcBorders>
            <w:shd w:val="clear" w:color="auto" w:fill="auto"/>
            <w:noWrap/>
            <w:vAlign w:val="bottom"/>
            <w:hideMark/>
          </w:tcPr>
          <w:p w14:paraId="25DA2259" w14:textId="77777777" w:rsidR="00C304C4" w:rsidRDefault="00C304C4">
            <w:pPr>
              <w:jc w:val="right"/>
              <w:rPr>
                <w:rFonts w:ascii="Cambria" w:hAnsi="Cambria" w:cs="Arial"/>
                <w:b/>
                <w:bCs/>
                <w:color w:val="000000"/>
                <w:sz w:val="18"/>
                <w:szCs w:val="18"/>
              </w:rPr>
            </w:pPr>
            <w:r>
              <w:rPr>
                <w:rFonts w:ascii="Cambria" w:hAnsi="Cambria"/>
                <w:b/>
                <w:color w:val="000000"/>
                <w:sz w:val="18"/>
              </w:rPr>
              <w:t>1 483 823</w:t>
            </w:r>
          </w:p>
        </w:tc>
        <w:tc>
          <w:tcPr>
            <w:tcW w:w="866" w:type="pct"/>
            <w:tcBorders>
              <w:top w:val="single" w:sz="4" w:space="0" w:color="auto"/>
              <w:left w:val="nil"/>
              <w:bottom w:val="single" w:sz="8" w:space="0" w:color="auto"/>
              <w:right w:val="nil"/>
            </w:tcBorders>
            <w:shd w:val="clear" w:color="auto" w:fill="auto"/>
            <w:noWrap/>
            <w:vAlign w:val="bottom"/>
            <w:hideMark/>
          </w:tcPr>
          <w:p w14:paraId="3C64841A" w14:textId="77777777" w:rsidR="00C304C4" w:rsidRDefault="00C304C4">
            <w:pPr>
              <w:jc w:val="right"/>
              <w:rPr>
                <w:rFonts w:ascii="Cambria" w:hAnsi="Cambria" w:cs="Arial"/>
                <w:b/>
                <w:bCs/>
                <w:color w:val="000000"/>
                <w:sz w:val="18"/>
                <w:szCs w:val="18"/>
              </w:rPr>
            </w:pPr>
            <w:r>
              <w:rPr>
                <w:rFonts w:ascii="Cambria" w:hAnsi="Cambria"/>
                <w:b/>
                <w:color w:val="000000"/>
                <w:sz w:val="18"/>
              </w:rPr>
              <w:t>1 374 142</w:t>
            </w:r>
          </w:p>
        </w:tc>
      </w:tr>
    </w:tbl>
    <w:p w14:paraId="2CDCDFD0" w14:textId="14668661" w:rsidR="00B11D49" w:rsidRDefault="00B11D49" w:rsidP="00E16D12">
      <w:pPr>
        <w:spacing w:after="200" w:line="276" w:lineRule="auto"/>
        <w:jc w:val="both"/>
        <w:rPr>
          <w:rFonts w:ascii="Cambria" w:hAnsi="Cambria"/>
          <w:sz w:val="22"/>
          <w:szCs w:val="22"/>
        </w:rPr>
      </w:pPr>
    </w:p>
    <w:p w14:paraId="2929CD0F" w14:textId="77777777" w:rsidR="00BD4E87" w:rsidRDefault="00BD4E87" w:rsidP="00BD4E87">
      <w:pPr>
        <w:spacing w:after="200" w:line="276" w:lineRule="auto"/>
        <w:jc w:val="both"/>
        <w:rPr>
          <w:rFonts w:ascii="Cambria" w:hAnsi="Cambria"/>
          <w:sz w:val="22"/>
          <w:szCs w:val="22"/>
        </w:rPr>
      </w:pPr>
      <w:r>
        <w:rPr>
          <w:rFonts w:ascii="Cambria" w:hAnsi="Cambria"/>
          <w:sz w:val="22"/>
        </w:rPr>
        <w:t>Il s'agit principalement des dettes résiduelles à court terme pour les contrats de location relatifs aux locaux commerciaux des points de vente.</w:t>
      </w:r>
    </w:p>
    <w:p w14:paraId="43AC7B83" w14:textId="77777777" w:rsidR="00B25D36" w:rsidRPr="00C17031" w:rsidRDefault="00B25D36" w:rsidP="00BD4E87">
      <w:pPr>
        <w:spacing w:after="200" w:line="276" w:lineRule="auto"/>
        <w:jc w:val="both"/>
        <w:rPr>
          <w:rFonts w:ascii="Cambria" w:hAnsi="Cambria"/>
          <w:sz w:val="22"/>
          <w:szCs w:val="22"/>
        </w:rPr>
      </w:pPr>
    </w:p>
    <w:p w14:paraId="4B0B19DF" w14:textId="77777777" w:rsidR="00E16D12" w:rsidRPr="005B2120" w:rsidRDefault="00E16D12" w:rsidP="00E16D12">
      <w:pPr>
        <w:pStyle w:val="Titolo2"/>
        <w:numPr>
          <w:ilvl w:val="0"/>
          <w:numId w:val="6"/>
        </w:numPr>
        <w:spacing w:line="240" w:lineRule="auto"/>
        <w:ind w:left="357" w:right="0" w:hanging="357"/>
        <w:jc w:val="left"/>
        <w:rPr>
          <w:i w:val="0"/>
        </w:rPr>
      </w:pPr>
      <w:bookmarkStart w:id="151" w:name="_Toc112768683"/>
      <w:r>
        <w:rPr>
          <w:i w:val="0"/>
        </w:rPr>
        <w:t>Dettes commerciales</w:t>
      </w:r>
      <w:bookmarkEnd w:id="151"/>
    </w:p>
    <w:p w14:paraId="03EC4C38" w14:textId="77777777" w:rsidR="00E16D12" w:rsidRPr="00C17031" w:rsidRDefault="00E16D12" w:rsidP="00E16D12">
      <w:pPr>
        <w:jc w:val="both"/>
        <w:rPr>
          <w:rFonts w:ascii="Cambria" w:hAnsi="Cambria"/>
          <w:sz w:val="22"/>
          <w:szCs w:val="22"/>
        </w:rPr>
      </w:pPr>
    </w:p>
    <w:p w14:paraId="1B34A968" w14:textId="7E1A28DD" w:rsidR="00A625F2" w:rsidRDefault="00E16D12" w:rsidP="00E16D12">
      <w:pPr>
        <w:spacing w:after="200" w:line="276" w:lineRule="auto"/>
        <w:jc w:val="both"/>
        <w:rPr>
          <w:rFonts w:ascii="Cambria" w:hAnsi="Cambria"/>
          <w:sz w:val="22"/>
        </w:rPr>
      </w:pPr>
      <w:r>
        <w:rPr>
          <w:rFonts w:ascii="Cambria" w:hAnsi="Cambria"/>
          <w:sz w:val="22"/>
        </w:rPr>
        <w:t>La composition du poste « Dettes commerciales » au 30 juin 2021, par rapport aux mêmes valeurs au 31 décembre 2020, est présentée ci-dessous :</w:t>
      </w:r>
    </w:p>
    <w:p w14:paraId="4C9EB09A" w14:textId="77777777" w:rsidR="00454EE7" w:rsidRDefault="00454EE7" w:rsidP="00E16D12">
      <w:pPr>
        <w:spacing w:after="200" w:line="276" w:lineRule="auto"/>
        <w:jc w:val="both"/>
        <w:rPr>
          <w:rFonts w:ascii="Cambria" w:hAnsi="Cambria"/>
          <w:sz w:val="22"/>
          <w:szCs w:val="22"/>
        </w:rPr>
      </w:pPr>
    </w:p>
    <w:tbl>
      <w:tblPr>
        <w:tblW w:w="5000" w:type="pct"/>
        <w:tblCellMar>
          <w:left w:w="70" w:type="dxa"/>
          <w:right w:w="70" w:type="dxa"/>
        </w:tblCellMar>
        <w:tblLook w:val="04A0" w:firstRow="1" w:lastRow="0" w:firstColumn="1" w:lastColumn="0" w:noHBand="0" w:noVBand="1"/>
      </w:tblPr>
      <w:tblGrid>
        <w:gridCol w:w="3562"/>
        <w:gridCol w:w="2026"/>
        <w:gridCol w:w="2026"/>
        <w:gridCol w:w="2024"/>
      </w:tblGrid>
      <w:tr w:rsidR="00CE13BD" w14:paraId="5474BBE1" w14:textId="77777777" w:rsidTr="00C304C4">
        <w:trPr>
          <w:trHeight w:val="495"/>
        </w:trPr>
        <w:tc>
          <w:tcPr>
            <w:tcW w:w="1848" w:type="pct"/>
            <w:tcBorders>
              <w:top w:val="single" w:sz="4" w:space="0" w:color="0070C0"/>
              <w:left w:val="nil"/>
              <w:bottom w:val="single" w:sz="8" w:space="0" w:color="0070C0"/>
              <w:right w:val="nil"/>
            </w:tcBorders>
            <w:shd w:val="clear" w:color="auto" w:fill="auto"/>
            <w:noWrap/>
            <w:vAlign w:val="bottom"/>
            <w:hideMark/>
          </w:tcPr>
          <w:p w14:paraId="28B1C628" w14:textId="77777777" w:rsidR="00C304C4" w:rsidRDefault="00C304C4" w:rsidP="00454EE7">
            <w:pPr>
              <w:spacing w:line="18" w:lineRule="atLeast"/>
              <w:rPr>
                <w:rFonts w:ascii="Cambria" w:hAnsi="Cambria" w:cs="Arial"/>
                <w:color w:val="000000"/>
                <w:sz w:val="18"/>
                <w:szCs w:val="18"/>
              </w:rPr>
            </w:pPr>
            <w:r>
              <w:rPr>
                <w:rFonts w:ascii="Cambria" w:hAnsi="Cambria"/>
                <w:color w:val="000000"/>
                <w:sz w:val="18"/>
              </w:rPr>
              <w:lastRenderedPageBreak/>
              <w:t>(</w:t>
            </w:r>
            <w:proofErr w:type="gramStart"/>
            <w:r>
              <w:rPr>
                <w:rFonts w:ascii="Cambria" w:hAnsi="Cambria"/>
                <w:color w:val="000000"/>
                <w:sz w:val="18"/>
              </w:rPr>
              <w:t>en</w:t>
            </w:r>
            <w:proofErr w:type="gramEnd"/>
            <w:r>
              <w:rPr>
                <w:rFonts w:ascii="Cambria" w:hAnsi="Cambria"/>
                <w:color w:val="000000"/>
                <w:sz w:val="18"/>
              </w:rPr>
              <w:t xml:space="preserve"> euros)</w:t>
            </w:r>
          </w:p>
        </w:tc>
        <w:tc>
          <w:tcPr>
            <w:tcW w:w="1051" w:type="pct"/>
            <w:tcBorders>
              <w:top w:val="single" w:sz="4" w:space="0" w:color="0070C0"/>
              <w:left w:val="nil"/>
              <w:bottom w:val="single" w:sz="8" w:space="0" w:color="0070C0"/>
              <w:right w:val="nil"/>
            </w:tcBorders>
            <w:shd w:val="clear" w:color="auto" w:fill="auto"/>
            <w:vAlign w:val="bottom"/>
            <w:hideMark/>
          </w:tcPr>
          <w:p w14:paraId="470BABEC" w14:textId="77777777" w:rsidR="00C304C4" w:rsidRDefault="00C304C4" w:rsidP="00454EE7">
            <w:pPr>
              <w:spacing w:line="18" w:lineRule="atLeast"/>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1051" w:type="pct"/>
            <w:tcBorders>
              <w:top w:val="single" w:sz="4" w:space="0" w:color="0070C0"/>
              <w:left w:val="nil"/>
              <w:bottom w:val="single" w:sz="8" w:space="0" w:color="0070C0"/>
              <w:right w:val="nil"/>
            </w:tcBorders>
            <w:shd w:val="clear" w:color="auto" w:fill="auto"/>
            <w:vAlign w:val="bottom"/>
            <w:hideMark/>
          </w:tcPr>
          <w:p w14:paraId="25CF49D6" w14:textId="77777777" w:rsidR="00C304C4" w:rsidRDefault="00C304C4" w:rsidP="00454EE7">
            <w:pPr>
              <w:spacing w:line="18" w:lineRule="atLeast"/>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c>
          <w:tcPr>
            <w:tcW w:w="1051" w:type="pct"/>
            <w:tcBorders>
              <w:top w:val="single" w:sz="4" w:space="0" w:color="0070C0"/>
              <w:left w:val="nil"/>
              <w:bottom w:val="single" w:sz="8" w:space="0" w:color="0070C0"/>
              <w:right w:val="nil"/>
            </w:tcBorders>
            <w:shd w:val="clear" w:color="auto" w:fill="auto"/>
            <w:vAlign w:val="bottom"/>
            <w:hideMark/>
          </w:tcPr>
          <w:p w14:paraId="1C506D10" w14:textId="77777777" w:rsidR="00C304C4" w:rsidRDefault="00C304C4" w:rsidP="00454EE7">
            <w:pPr>
              <w:spacing w:line="18" w:lineRule="atLeast"/>
              <w:jc w:val="center"/>
              <w:rPr>
                <w:rFonts w:ascii="Cambria" w:hAnsi="Cambria" w:cs="Arial"/>
                <w:b/>
                <w:bCs/>
                <w:color w:val="000000"/>
                <w:sz w:val="18"/>
                <w:szCs w:val="18"/>
              </w:rPr>
            </w:pPr>
            <w:r>
              <w:rPr>
                <w:rFonts w:ascii="Cambria" w:hAnsi="Cambria"/>
                <w:b/>
                <w:color w:val="000000"/>
                <w:sz w:val="18"/>
              </w:rPr>
              <w:t>Variations</w:t>
            </w:r>
          </w:p>
        </w:tc>
      </w:tr>
      <w:tr w:rsidR="00CE13BD" w14:paraId="6BC0CF89" w14:textId="77777777" w:rsidTr="00C304C4">
        <w:trPr>
          <w:trHeight w:val="240"/>
        </w:trPr>
        <w:tc>
          <w:tcPr>
            <w:tcW w:w="1848" w:type="pct"/>
            <w:tcBorders>
              <w:top w:val="nil"/>
              <w:left w:val="nil"/>
              <w:bottom w:val="nil"/>
              <w:right w:val="nil"/>
            </w:tcBorders>
            <w:shd w:val="clear" w:color="auto" w:fill="auto"/>
            <w:noWrap/>
            <w:vAlign w:val="bottom"/>
            <w:hideMark/>
          </w:tcPr>
          <w:p w14:paraId="1D588201" w14:textId="77777777" w:rsidR="00C304C4" w:rsidRDefault="00C304C4" w:rsidP="00454EE7">
            <w:pPr>
              <w:spacing w:line="18" w:lineRule="atLeast"/>
              <w:rPr>
                <w:rFonts w:ascii="Cambria" w:hAnsi="Cambria" w:cs="Arial"/>
                <w:color w:val="000000"/>
                <w:sz w:val="18"/>
                <w:szCs w:val="18"/>
              </w:rPr>
            </w:pPr>
            <w:r>
              <w:rPr>
                <w:rFonts w:ascii="Cambria" w:hAnsi="Cambria"/>
                <w:color w:val="000000"/>
                <w:sz w:val="18"/>
              </w:rPr>
              <w:t>Dettes fournisseurs</w:t>
            </w:r>
          </w:p>
        </w:tc>
        <w:tc>
          <w:tcPr>
            <w:tcW w:w="1051" w:type="pct"/>
            <w:tcBorders>
              <w:top w:val="nil"/>
              <w:left w:val="nil"/>
              <w:bottom w:val="nil"/>
              <w:right w:val="nil"/>
            </w:tcBorders>
            <w:shd w:val="clear" w:color="auto" w:fill="auto"/>
            <w:noWrap/>
            <w:vAlign w:val="bottom"/>
            <w:hideMark/>
          </w:tcPr>
          <w:p w14:paraId="67801CFA"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900 028</w:t>
            </w:r>
          </w:p>
        </w:tc>
        <w:tc>
          <w:tcPr>
            <w:tcW w:w="1051" w:type="pct"/>
            <w:tcBorders>
              <w:top w:val="nil"/>
              <w:left w:val="nil"/>
              <w:bottom w:val="nil"/>
              <w:right w:val="nil"/>
            </w:tcBorders>
            <w:shd w:val="clear" w:color="auto" w:fill="auto"/>
            <w:noWrap/>
            <w:vAlign w:val="bottom"/>
            <w:hideMark/>
          </w:tcPr>
          <w:p w14:paraId="38E4A100"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2 688 344</w:t>
            </w:r>
          </w:p>
        </w:tc>
        <w:tc>
          <w:tcPr>
            <w:tcW w:w="1051" w:type="pct"/>
            <w:tcBorders>
              <w:top w:val="nil"/>
              <w:left w:val="nil"/>
              <w:bottom w:val="nil"/>
              <w:right w:val="nil"/>
            </w:tcBorders>
            <w:shd w:val="clear" w:color="auto" w:fill="auto"/>
            <w:noWrap/>
            <w:vAlign w:val="bottom"/>
            <w:hideMark/>
          </w:tcPr>
          <w:p w14:paraId="36015258"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(1 788 316)</w:t>
            </w:r>
          </w:p>
        </w:tc>
      </w:tr>
      <w:tr w:rsidR="00CE13BD" w14:paraId="24A57A2E" w14:textId="77777777" w:rsidTr="00C304C4">
        <w:trPr>
          <w:trHeight w:val="240"/>
        </w:trPr>
        <w:tc>
          <w:tcPr>
            <w:tcW w:w="1848" w:type="pct"/>
            <w:tcBorders>
              <w:top w:val="nil"/>
              <w:left w:val="nil"/>
              <w:bottom w:val="nil"/>
              <w:right w:val="nil"/>
            </w:tcBorders>
            <w:shd w:val="clear" w:color="auto" w:fill="auto"/>
            <w:noWrap/>
            <w:vAlign w:val="bottom"/>
            <w:hideMark/>
          </w:tcPr>
          <w:p w14:paraId="5EE6A53E" w14:textId="77777777" w:rsidR="00C304C4" w:rsidRDefault="00C304C4" w:rsidP="00454EE7">
            <w:pPr>
              <w:spacing w:line="18" w:lineRule="atLeast"/>
              <w:rPr>
                <w:rFonts w:ascii="Cambria" w:hAnsi="Cambria" w:cs="Arial"/>
                <w:color w:val="000000"/>
                <w:sz w:val="18"/>
                <w:szCs w:val="18"/>
              </w:rPr>
            </w:pPr>
            <w:r>
              <w:rPr>
                <w:rFonts w:ascii="Cambria" w:hAnsi="Cambria"/>
                <w:color w:val="000000"/>
                <w:sz w:val="18"/>
              </w:rPr>
              <w:t>Factures à recevoir</w:t>
            </w:r>
          </w:p>
        </w:tc>
        <w:tc>
          <w:tcPr>
            <w:tcW w:w="1051" w:type="pct"/>
            <w:tcBorders>
              <w:top w:val="nil"/>
              <w:left w:val="nil"/>
              <w:bottom w:val="nil"/>
              <w:right w:val="nil"/>
            </w:tcBorders>
            <w:shd w:val="clear" w:color="auto" w:fill="auto"/>
            <w:noWrap/>
            <w:vAlign w:val="bottom"/>
            <w:hideMark/>
          </w:tcPr>
          <w:p w14:paraId="515E19B5"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162 774</w:t>
            </w:r>
          </w:p>
        </w:tc>
        <w:tc>
          <w:tcPr>
            <w:tcW w:w="1051" w:type="pct"/>
            <w:tcBorders>
              <w:top w:val="nil"/>
              <w:left w:val="nil"/>
              <w:bottom w:val="nil"/>
              <w:right w:val="nil"/>
            </w:tcBorders>
            <w:shd w:val="clear" w:color="auto" w:fill="auto"/>
            <w:noWrap/>
            <w:vAlign w:val="bottom"/>
            <w:hideMark/>
          </w:tcPr>
          <w:p w14:paraId="220D1AF5"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98 717</w:t>
            </w:r>
          </w:p>
        </w:tc>
        <w:tc>
          <w:tcPr>
            <w:tcW w:w="1051" w:type="pct"/>
            <w:tcBorders>
              <w:top w:val="nil"/>
              <w:left w:val="nil"/>
              <w:bottom w:val="nil"/>
              <w:right w:val="nil"/>
            </w:tcBorders>
            <w:shd w:val="clear" w:color="auto" w:fill="auto"/>
            <w:noWrap/>
            <w:vAlign w:val="bottom"/>
            <w:hideMark/>
          </w:tcPr>
          <w:p w14:paraId="6BCFF98D"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64 057</w:t>
            </w:r>
          </w:p>
        </w:tc>
      </w:tr>
      <w:tr w:rsidR="00CE13BD" w14:paraId="1B6C3EB5" w14:textId="77777777" w:rsidTr="00C304C4">
        <w:trPr>
          <w:trHeight w:val="240"/>
        </w:trPr>
        <w:tc>
          <w:tcPr>
            <w:tcW w:w="1848" w:type="pct"/>
            <w:tcBorders>
              <w:top w:val="nil"/>
              <w:left w:val="nil"/>
              <w:bottom w:val="nil"/>
              <w:right w:val="nil"/>
            </w:tcBorders>
            <w:shd w:val="clear" w:color="auto" w:fill="auto"/>
            <w:noWrap/>
            <w:vAlign w:val="bottom"/>
            <w:hideMark/>
          </w:tcPr>
          <w:p w14:paraId="7B4CF62C" w14:textId="5E913BFE" w:rsidR="00C304C4" w:rsidRDefault="00CE13BD" w:rsidP="00454EE7">
            <w:pPr>
              <w:spacing w:line="18" w:lineRule="atLeast"/>
              <w:rPr>
                <w:rFonts w:ascii="Cambria" w:hAnsi="Cambria" w:cs="Arial"/>
                <w:color w:val="000000"/>
                <w:sz w:val="18"/>
                <w:szCs w:val="18"/>
              </w:rPr>
            </w:pPr>
            <w:r>
              <w:rPr>
                <w:rFonts w:ascii="Cambria" w:hAnsi="Cambria"/>
                <w:color w:val="000000"/>
                <w:sz w:val="18"/>
              </w:rPr>
              <w:t>Dettes commerciales transférées</w:t>
            </w:r>
          </w:p>
        </w:tc>
        <w:tc>
          <w:tcPr>
            <w:tcW w:w="1051" w:type="pct"/>
            <w:tcBorders>
              <w:top w:val="nil"/>
              <w:left w:val="nil"/>
              <w:bottom w:val="nil"/>
              <w:right w:val="nil"/>
            </w:tcBorders>
            <w:shd w:val="clear" w:color="auto" w:fill="auto"/>
            <w:noWrap/>
            <w:vAlign w:val="bottom"/>
            <w:hideMark/>
          </w:tcPr>
          <w:p w14:paraId="528CF06B"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74 937</w:t>
            </w:r>
          </w:p>
        </w:tc>
        <w:tc>
          <w:tcPr>
            <w:tcW w:w="1051" w:type="pct"/>
            <w:tcBorders>
              <w:top w:val="nil"/>
              <w:left w:val="nil"/>
              <w:bottom w:val="nil"/>
              <w:right w:val="nil"/>
            </w:tcBorders>
            <w:shd w:val="clear" w:color="auto" w:fill="auto"/>
            <w:noWrap/>
            <w:vAlign w:val="bottom"/>
            <w:hideMark/>
          </w:tcPr>
          <w:p w14:paraId="03F00B39"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1 058 346</w:t>
            </w:r>
          </w:p>
        </w:tc>
        <w:tc>
          <w:tcPr>
            <w:tcW w:w="1051" w:type="pct"/>
            <w:tcBorders>
              <w:top w:val="nil"/>
              <w:left w:val="nil"/>
              <w:bottom w:val="nil"/>
              <w:right w:val="nil"/>
            </w:tcBorders>
            <w:shd w:val="clear" w:color="auto" w:fill="auto"/>
            <w:noWrap/>
            <w:vAlign w:val="bottom"/>
            <w:hideMark/>
          </w:tcPr>
          <w:p w14:paraId="2AEB2EB9"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(983 409)</w:t>
            </w:r>
          </w:p>
        </w:tc>
      </w:tr>
      <w:tr w:rsidR="00CE13BD" w14:paraId="71485419" w14:textId="77777777" w:rsidTr="00C304C4">
        <w:trPr>
          <w:trHeight w:val="240"/>
        </w:trPr>
        <w:tc>
          <w:tcPr>
            <w:tcW w:w="1848" w:type="pct"/>
            <w:tcBorders>
              <w:top w:val="nil"/>
              <w:left w:val="nil"/>
              <w:bottom w:val="nil"/>
              <w:right w:val="nil"/>
            </w:tcBorders>
            <w:shd w:val="clear" w:color="auto" w:fill="auto"/>
            <w:noWrap/>
            <w:vAlign w:val="bottom"/>
            <w:hideMark/>
          </w:tcPr>
          <w:p w14:paraId="22AE74E1" w14:textId="77777777" w:rsidR="00C304C4" w:rsidRDefault="00C304C4" w:rsidP="00454EE7">
            <w:pPr>
              <w:spacing w:line="18" w:lineRule="atLeast"/>
              <w:rPr>
                <w:rFonts w:ascii="Cambria" w:hAnsi="Cambria" w:cs="Arial"/>
                <w:color w:val="000000"/>
                <w:sz w:val="18"/>
                <w:szCs w:val="18"/>
              </w:rPr>
            </w:pPr>
            <w:r>
              <w:rPr>
                <w:rFonts w:ascii="Cambria" w:hAnsi="Cambria"/>
                <w:color w:val="000000"/>
                <w:sz w:val="18"/>
              </w:rPr>
              <w:t>Notes de crédit à recevoir</w:t>
            </w:r>
          </w:p>
        </w:tc>
        <w:tc>
          <w:tcPr>
            <w:tcW w:w="1051" w:type="pct"/>
            <w:tcBorders>
              <w:top w:val="nil"/>
              <w:left w:val="nil"/>
              <w:bottom w:val="nil"/>
              <w:right w:val="nil"/>
            </w:tcBorders>
            <w:shd w:val="clear" w:color="auto" w:fill="auto"/>
            <w:noWrap/>
            <w:vAlign w:val="bottom"/>
            <w:hideMark/>
          </w:tcPr>
          <w:p w14:paraId="19C6AE63"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(127)</w:t>
            </w:r>
          </w:p>
        </w:tc>
        <w:tc>
          <w:tcPr>
            <w:tcW w:w="1051" w:type="pct"/>
            <w:tcBorders>
              <w:top w:val="nil"/>
              <w:left w:val="nil"/>
              <w:bottom w:val="nil"/>
              <w:right w:val="nil"/>
            </w:tcBorders>
            <w:shd w:val="clear" w:color="auto" w:fill="auto"/>
            <w:noWrap/>
            <w:vAlign w:val="bottom"/>
            <w:hideMark/>
          </w:tcPr>
          <w:p w14:paraId="761CCCDA"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(7 951)</w:t>
            </w:r>
          </w:p>
        </w:tc>
        <w:tc>
          <w:tcPr>
            <w:tcW w:w="1051" w:type="pct"/>
            <w:tcBorders>
              <w:top w:val="nil"/>
              <w:left w:val="nil"/>
              <w:bottom w:val="nil"/>
              <w:right w:val="nil"/>
            </w:tcBorders>
            <w:shd w:val="clear" w:color="auto" w:fill="auto"/>
            <w:noWrap/>
            <w:vAlign w:val="bottom"/>
            <w:hideMark/>
          </w:tcPr>
          <w:p w14:paraId="49EBAC93"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7 824</w:t>
            </w:r>
          </w:p>
        </w:tc>
      </w:tr>
      <w:tr w:rsidR="00CE13BD" w14:paraId="6D853694" w14:textId="77777777" w:rsidTr="00C304C4">
        <w:trPr>
          <w:trHeight w:val="240"/>
        </w:trPr>
        <w:tc>
          <w:tcPr>
            <w:tcW w:w="1848" w:type="pct"/>
            <w:tcBorders>
              <w:top w:val="nil"/>
              <w:left w:val="nil"/>
              <w:bottom w:val="nil"/>
              <w:right w:val="nil"/>
            </w:tcBorders>
            <w:shd w:val="clear" w:color="auto" w:fill="auto"/>
            <w:noWrap/>
            <w:vAlign w:val="bottom"/>
            <w:hideMark/>
          </w:tcPr>
          <w:p w14:paraId="7ECF34F8" w14:textId="77777777" w:rsidR="00C304C4" w:rsidRDefault="00C304C4" w:rsidP="00454EE7">
            <w:pPr>
              <w:spacing w:line="18" w:lineRule="atLeast"/>
              <w:rPr>
                <w:rFonts w:ascii="Cambria" w:hAnsi="Cambria" w:cs="Arial"/>
                <w:color w:val="000000"/>
                <w:sz w:val="18"/>
                <w:szCs w:val="18"/>
              </w:rPr>
            </w:pPr>
            <w:r>
              <w:rPr>
                <w:rFonts w:ascii="Cambria" w:hAnsi="Cambria"/>
                <w:color w:val="000000"/>
                <w:sz w:val="18"/>
              </w:rPr>
              <w:t>Biens pour les achats pendant déplacement</w:t>
            </w:r>
          </w:p>
        </w:tc>
        <w:tc>
          <w:tcPr>
            <w:tcW w:w="1051" w:type="pct"/>
            <w:tcBorders>
              <w:top w:val="nil"/>
              <w:left w:val="nil"/>
              <w:bottom w:val="nil"/>
              <w:right w:val="nil"/>
            </w:tcBorders>
            <w:shd w:val="clear" w:color="auto" w:fill="auto"/>
            <w:noWrap/>
            <w:vAlign w:val="bottom"/>
            <w:hideMark/>
          </w:tcPr>
          <w:p w14:paraId="6E3011E4"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389 501</w:t>
            </w:r>
          </w:p>
        </w:tc>
        <w:tc>
          <w:tcPr>
            <w:tcW w:w="1051" w:type="pct"/>
            <w:tcBorders>
              <w:top w:val="nil"/>
              <w:left w:val="nil"/>
              <w:bottom w:val="nil"/>
              <w:right w:val="nil"/>
            </w:tcBorders>
            <w:shd w:val="clear" w:color="auto" w:fill="auto"/>
            <w:noWrap/>
            <w:vAlign w:val="bottom"/>
            <w:hideMark/>
          </w:tcPr>
          <w:p w14:paraId="452B4526"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132 341</w:t>
            </w:r>
          </w:p>
        </w:tc>
        <w:tc>
          <w:tcPr>
            <w:tcW w:w="1051" w:type="pct"/>
            <w:tcBorders>
              <w:top w:val="nil"/>
              <w:left w:val="nil"/>
              <w:bottom w:val="nil"/>
              <w:right w:val="nil"/>
            </w:tcBorders>
            <w:shd w:val="clear" w:color="auto" w:fill="auto"/>
            <w:noWrap/>
            <w:vAlign w:val="bottom"/>
            <w:hideMark/>
          </w:tcPr>
          <w:p w14:paraId="28089D3F"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257 160</w:t>
            </w:r>
          </w:p>
        </w:tc>
      </w:tr>
      <w:tr w:rsidR="00CE13BD" w14:paraId="4D9BB5CC" w14:textId="77777777" w:rsidTr="00C304C4">
        <w:trPr>
          <w:trHeight w:val="240"/>
        </w:trPr>
        <w:tc>
          <w:tcPr>
            <w:tcW w:w="1848" w:type="pct"/>
            <w:tcBorders>
              <w:top w:val="nil"/>
              <w:left w:val="nil"/>
              <w:bottom w:val="nil"/>
              <w:right w:val="nil"/>
            </w:tcBorders>
            <w:shd w:val="clear" w:color="auto" w:fill="auto"/>
            <w:noWrap/>
            <w:vAlign w:val="bottom"/>
            <w:hideMark/>
          </w:tcPr>
          <w:p w14:paraId="2A8BAA8D" w14:textId="77777777" w:rsidR="00C304C4" w:rsidRDefault="00C304C4" w:rsidP="00454EE7">
            <w:pPr>
              <w:spacing w:line="18" w:lineRule="atLeast"/>
              <w:rPr>
                <w:rFonts w:ascii="Cambria" w:hAnsi="Cambria" w:cs="Arial"/>
                <w:color w:val="000000"/>
                <w:sz w:val="18"/>
                <w:szCs w:val="18"/>
              </w:rPr>
            </w:pPr>
            <w:r>
              <w:rPr>
                <w:rFonts w:ascii="Cambria" w:hAnsi="Cambria"/>
                <w:color w:val="000000"/>
                <w:sz w:val="18"/>
              </w:rPr>
              <w:t>Contentieux avec fournisseurs</w:t>
            </w:r>
          </w:p>
        </w:tc>
        <w:tc>
          <w:tcPr>
            <w:tcW w:w="1051" w:type="pct"/>
            <w:tcBorders>
              <w:top w:val="nil"/>
              <w:left w:val="nil"/>
              <w:bottom w:val="nil"/>
              <w:right w:val="nil"/>
            </w:tcBorders>
            <w:shd w:val="clear" w:color="auto" w:fill="auto"/>
            <w:noWrap/>
            <w:vAlign w:val="bottom"/>
            <w:hideMark/>
          </w:tcPr>
          <w:p w14:paraId="4B1AB485"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2 621 570</w:t>
            </w:r>
          </w:p>
        </w:tc>
        <w:tc>
          <w:tcPr>
            <w:tcW w:w="1051" w:type="pct"/>
            <w:tcBorders>
              <w:top w:val="nil"/>
              <w:left w:val="nil"/>
              <w:bottom w:val="nil"/>
              <w:right w:val="nil"/>
            </w:tcBorders>
            <w:shd w:val="clear" w:color="auto" w:fill="auto"/>
            <w:noWrap/>
            <w:vAlign w:val="bottom"/>
            <w:hideMark/>
          </w:tcPr>
          <w:p w14:paraId="5A8C2F3A"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2 621 570</w:t>
            </w:r>
          </w:p>
        </w:tc>
        <w:tc>
          <w:tcPr>
            <w:tcW w:w="1051" w:type="pct"/>
            <w:tcBorders>
              <w:top w:val="nil"/>
              <w:left w:val="nil"/>
              <w:bottom w:val="nil"/>
              <w:right w:val="nil"/>
            </w:tcBorders>
            <w:shd w:val="clear" w:color="auto" w:fill="auto"/>
            <w:noWrap/>
            <w:vAlign w:val="bottom"/>
            <w:hideMark/>
          </w:tcPr>
          <w:p w14:paraId="4EFCA6E6"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0</w:t>
            </w:r>
          </w:p>
        </w:tc>
      </w:tr>
      <w:tr w:rsidR="00CE13BD" w14:paraId="0A92D68A" w14:textId="77777777" w:rsidTr="00C304C4">
        <w:trPr>
          <w:trHeight w:val="255"/>
        </w:trPr>
        <w:tc>
          <w:tcPr>
            <w:tcW w:w="1848" w:type="pct"/>
            <w:tcBorders>
              <w:top w:val="nil"/>
              <w:left w:val="nil"/>
              <w:bottom w:val="nil"/>
              <w:right w:val="nil"/>
            </w:tcBorders>
            <w:shd w:val="clear" w:color="auto" w:fill="auto"/>
            <w:noWrap/>
            <w:vAlign w:val="bottom"/>
            <w:hideMark/>
          </w:tcPr>
          <w:p w14:paraId="699A30B1" w14:textId="77777777" w:rsidR="00C304C4" w:rsidRDefault="00C304C4" w:rsidP="00454EE7">
            <w:pPr>
              <w:spacing w:line="18" w:lineRule="atLeast"/>
              <w:rPr>
                <w:rFonts w:ascii="Cambria" w:hAnsi="Cambria" w:cs="Arial"/>
                <w:b/>
                <w:bCs/>
                <w:color w:val="000000"/>
                <w:sz w:val="18"/>
                <w:szCs w:val="18"/>
              </w:rPr>
            </w:pPr>
            <w:r>
              <w:rPr>
                <w:rFonts w:ascii="Cambria" w:hAnsi="Cambria"/>
                <w:b/>
                <w:color w:val="000000"/>
                <w:sz w:val="18"/>
              </w:rPr>
              <w:t>Total Dettes commerciales</w:t>
            </w:r>
          </w:p>
        </w:tc>
        <w:tc>
          <w:tcPr>
            <w:tcW w:w="1051" w:type="pct"/>
            <w:tcBorders>
              <w:top w:val="single" w:sz="4" w:space="0" w:color="auto"/>
              <w:left w:val="nil"/>
              <w:bottom w:val="single" w:sz="8" w:space="0" w:color="auto"/>
              <w:right w:val="nil"/>
            </w:tcBorders>
            <w:shd w:val="clear" w:color="auto" w:fill="auto"/>
            <w:noWrap/>
            <w:vAlign w:val="bottom"/>
            <w:hideMark/>
          </w:tcPr>
          <w:p w14:paraId="5B4AF17B" w14:textId="77777777" w:rsidR="00C304C4" w:rsidRDefault="00C304C4" w:rsidP="00454EE7">
            <w:pPr>
              <w:spacing w:line="18" w:lineRule="atLeast"/>
              <w:jc w:val="right"/>
              <w:rPr>
                <w:rFonts w:ascii="Cambria" w:hAnsi="Cambria" w:cs="Arial"/>
                <w:b/>
                <w:bCs/>
                <w:color w:val="000000"/>
                <w:sz w:val="18"/>
                <w:szCs w:val="18"/>
              </w:rPr>
            </w:pPr>
            <w:r>
              <w:rPr>
                <w:rFonts w:ascii="Cambria" w:hAnsi="Cambria"/>
                <w:b/>
                <w:color w:val="000000"/>
                <w:sz w:val="18"/>
              </w:rPr>
              <w:t>4 148 683</w:t>
            </w:r>
          </w:p>
        </w:tc>
        <w:tc>
          <w:tcPr>
            <w:tcW w:w="1051" w:type="pct"/>
            <w:tcBorders>
              <w:top w:val="single" w:sz="4" w:space="0" w:color="auto"/>
              <w:left w:val="nil"/>
              <w:bottom w:val="single" w:sz="8" w:space="0" w:color="auto"/>
              <w:right w:val="nil"/>
            </w:tcBorders>
            <w:shd w:val="clear" w:color="auto" w:fill="auto"/>
            <w:noWrap/>
            <w:vAlign w:val="bottom"/>
            <w:hideMark/>
          </w:tcPr>
          <w:p w14:paraId="651EED33" w14:textId="77777777" w:rsidR="00C304C4" w:rsidRDefault="00C304C4" w:rsidP="00454EE7">
            <w:pPr>
              <w:spacing w:line="18" w:lineRule="atLeast"/>
              <w:jc w:val="right"/>
              <w:rPr>
                <w:rFonts w:ascii="Cambria" w:hAnsi="Cambria" w:cs="Arial"/>
                <w:b/>
                <w:bCs/>
                <w:color w:val="000000"/>
                <w:sz w:val="18"/>
                <w:szCs w:val="18"/>
              </w:rPr>
            </w:pPr>
            <w:r>
              <w:rPr>
                <w:rFonts w:ascii="Cambria" w:hAnsi="Cambria"/>
                <w:b/>
                <w:color w:val="000000"/>
                <w:sz w:val="18"/>
              </w:rPr>
              <w:t>6 591 368</w:t>
            </w:r>
          </w:p>
        </w:tc>
        <w:tc>
          <w:tcPr>
            <w:tcW w:w="1051" w:type="pct"/>
            <w:tcBorders>
              <w:top w:val="single" w:sz="4" w:space="0" w:color="auto"/>
              <w:left w:val="nil"/>
              <w:bottom w:val="single" w:sz="8" w:space="0" w:color="auto"/>
              <w:right w:val="nil"/>
            </w:tcBorders>
            <w:shd w:val="clear" w:color="auto" w:fill="auto"/>
            <w:noWrap/>
            <w:vAlign w:val="bottom"/>
            <w:hideMark/>
          </w:tcPr>
          <w:p w14:paraId="6E7E9E7B" w14:textId="77777777" w:rsidR="00C304C4" w:rsidRDefault="00C304C4" w:rsidP="00454EE7">
            <w:pPr>
              <w:spacing w:line="18" w:lineRule="atLeast"/>
              <w:jc w:val="right"/>
              <w:rPr>
                <w:rFonts w:ascii="Cambria" w:hAnsi="Cambria" w:cs="Arial"/>
                <w:b/>
                <w:bCs/>
                <w:color w:val="000000"/>
                <w:sz w:val="18"/>
                <w:szCs w:val="18"/>
              </w:rPr>
            </w:pPr>
            <w:r>
              <w:rPr>
                <w:rFonts w:ascii="Cambria" w:hAnsi="Cambria"/>
                <w:b/>
                <w:color w:val="000000"/>
                <w:sz w:val="18"/>
              </w:rPr>
              <w:t>(2 442 684)</w:t>
            </w:r>
          </w:p>
        </w:tc>
      </w:tr>
    </w:tbl>
    <w:p w14:paraId="4E0359AD" w14:textId="712D4363" w:rsidR="00B11D49" w:rsidRDefault="00B11D49" w:rsidP="00454EE7">
      <w:pPr>
        <w:spacing w:after="200" w:line="18" w:lineRule="atLeast"/>
        <w:jc w:val="both"/>
        <w:rPr>
          <w:rFonts w:ascii="Cambria" w:hAnsi="Cambria"/>
          <w:sz w:val="22"/>
          <w:szCs w:val="22"/>
        </w:rPr>
      </w:pPr>
    </w:p>
    <w:p w14:paraId="182D5ABD" w14:textId="73940FEF" w:rsidR="00BD4E87" w:rsidRDefault="00E87353" w:rsidP="00454EE7">
      <w:pPr>
        <w:spacing w:line="18" w:lineRule="atLeast"/>
        <w:jc w:val="both"/>
        <w:rPr>
          <w:rFonts w:ascii="Cambria" w:hAnsi="Cambria"/>
          <w:sz w:val="22"/>
          <w:szCs w:val="22"/>
        </w:rPr>
      </w:pPr>
      <w:r>
        <w:rPr>
          <w:rFonts w:ascii="Cambria" w:hAnsi="Cambria"/>
          <w:sz w:val="22"/>
        </w:rPr>
        <w:t>Les dettes commerciales font référence aux dettes encourues pour l'achat de biens destinés à être revendus. Les dettes commerciales vendues se réfèrent aux positions vendues par les fournisseurs aux sociétés d'affacturage et notifiées à la société.</w:t>
      </w:r>
    </w:p>
    <w:p w14:paraId="71F61E56" w14:textId="04B75838" w:rsidR="00C304C4" w:rsidRPr="00C17031" w:rsidRDefault="00C304C4" w:rsidP="00454EE7">
      <w:pPr>
        <w:spacing w:line="18" w:lineRule="atLeast"/>
        <w:jc w:val="both"/>
        <w:rPr>
          <w:rFonts w:ascii="Cambria" w:hAnsi="Cambria"/>
          <w:sz w:val="22"/>
          <w:szCs w:val="22"/>
        </w:rPr>
      </w:pPr>
      <w:r>
        <w:rPr>
          <w:rFonts w:ascii="Cambria" w:hAnsi="Cambria"/>
          <w:sz w:val="22"/>
        </w:rPr>
        <w:t xml:space="preserve">Il convient de noter le montant de 2 622 000 euros provenant de fournisseurs avec lesquels un contentieux est en cours pour la fourniture de marchandises non conformes. </w:t>
      </w:r>
    </w:p>
    <w:p w14:paraId="1EFEC075" w14:textId="77777777" w:rsidR="00614647" w:rsidRPr="00C17031" w:rsidRDefault="00614647" w:rsidP="00454EE7">
      <w:pPr>
        <w:spacing w:after="200" w:line="18" w:lineRule="atLeast"/>
        <w:jc w:val="both"/>
        <w:rPr>
          <w:rFonts w:ascii="Cambria" w:hAnsi="Cambria"/>
          <w:sz w:val="22"/>
          <w:szCs w:val="22"/>
        </w:rPr>
      </w:pPr>
    </w:p>
    <w:p w14:paraId="2E29FA08" w14:textId="3BA91277" w:rsidR="004A06AD" w:rsidRDefault="00C27B6F" w:rsidP="00454EE7">
      <w:pPr>
        <w:pStyle w:val="Titolo2"/>
        <w:numPr>
          <w:ilvl w:val="0"/>
          <w:numId w:val="6"/>
        </w:numPr>
        <w:spacing w:line="18" w:lineRule="atLeast"/>
        <w:ind w:left="357" w:right="0" w:hanging="357"/>
        <w:jc w:val="left"/>
        <w:rPr>
          <w:i w:val="0"/>
        </w:rPr>
      </w:pPr>
      <w:bookmarkStart w:id="152" w:name="_Toc112768684"/>
      <w:r>
        <w:rPr>
          <w:i w:val="0"/>
        </w:rPr>
        <w:t>Dettes pour les retours</w:t>
      </w:r>
      <w:bookmarkEnd w:id="152"/>
    </w:p>
    <w:p w14:paraId="1B69E138" w14:textId="77777777" w:rsidR="004A06AD" w:rsidRDefault="004A06AD" w:rsidP="00454EE7">
      <w:pPr>
        <w:spacing w:line="18" w:lineRule="atLeast"/>
        <w:ind w:left="357"/>
      </w:pPr>
    </w:p>
    <w:p w14:paraId="47F1F2CA" w14:textId="73D690AB" w:rsidR="004A06AD" w:rsidRDefault="004A06AD" w:rsidP="00454EE7">
      <w:pPr>
        <w:spacing w:after="200" w:line="18" w:lineRule="atLeast"/>
        <w:jc w:val="both"/>
        <w:rPr>
          <w:rFonts w:ascii="Cambria" w:hAnsi="Cambria"/>
          <w:sz w:val="22"/>
          <w:szCs w:val="22"/>
        </w:rPr>
      </w:pPr>
      <w:r>
        <w:rPr>
          <w:rFonts w:ascii="Cambria" w:hAnsi="Cambria"/>
          <w:sz w:val="22"/>
        </w:rPr>
        <w:t>La ventilation du poste « Dettes pour les retours » au 30 juin 2021, par rapport aux mêmes valeurs au 31 décembre 2020, est la suivante :</w:t>
      </w:r>
    </w:p>
    <w:tbl>
      <w:tblPr>
        <w:tblW w:w="5000" w:type="pct"/>
        <w:tblCellMar>
          <w:left w:w="70" w:type="dxa"/>
          <w:right w:w="70" w:type="dxa"/>
        </w:tblCellMar>
        <w:tblLook w:val="04A0" w:firstRow="1" w:lastRow="0" w:firstColumn="1" w:lastColumn="0" w:noHBand="0" w:noVBand="1"/>
      </w:tblPr>
      <w:tblGrid>
        <w:gridCol w:w="3843"/>
        <w:gridCol w:w="1932"/>
        <w:gridCol w:w="1932"/>
        <w:gridCol w:w="1931"/>
      </w:tblGrid>
      <w:tr w:rsidR="00C304C4" w14:paraId="5D472BD3" w14:textId="77777777" w:rsidTr="00C304C4">
        <w:trPr>
          <w:trHeight w:val="495"/>
        </w:trPr>
        <w:tc>
          <w:tcPr>
            <w:tcW w:w="1993" w:type="pct"/>
            <w:tcBorders>
              <w:top w:val="single" w:sz="4" w:space="0" w:color="0070C0"/>
              <w:left w:val="nil"/>
              <w:bottom w:val="single" w:sz="8" w:space="0" w:color="0070C0"/>
              <w:right w:val="nil"/>
            </w:tcBorders>
            <w:shd w:val="clear" w:color="auto" w:fill="auto"/>
            <w:noWrap/>
            <w:vAlign w:val="bottom"/>
            <w:hideMark/>
          </w:tcPr>
          <w:p w14:paraId="37380A75" w14:textId="77777777" w:rsidR="00C304C4" w:rsidRDefault="00C304C4" w:rsidP="00454EE7">
            <w:pPr>
              <w:spacing w:line="18" w:lineRule="atLeast"/>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002" w:type="pct"/>
            <w:tcBorders>
              <w:top w:val="single" w:sz="4" w:space="0" w:color="0070C0"/>
              <w:left w:val="nil"/>
              <w:bottom w:val="single" w:sz="8" w:space="0" w:color="0070C0"/>
              <w:right w:val="nil"/>
            </w:tcBorders>
            <w:shd w:val="clear" w:color="auto" w:fill="auto"/>
            <w:vAlign w:val="bottom"/>
            <w:hideMark/>
          </w:tcPr>
          <w:p w14:paraId="7BF60E3B" w14:textId="77777777" w:rsidR="00C304C4" w:rsidRDefault="00C304C4" w:rsidP="00454EE7">
            <w:pPr>
              <w:spacing w:line="18" w:lineRule="atLeast"/>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1002" w:type="pct"/>
            <w:tcBorders>
              <w:top w:val="single" w:sz="4" w:space="0" w:color="0070C0"/>
              <w:left w:val="nil"/>
              <w:bottom w:val="single" w:sz="8" w:space="0" w:color="0070C0"/>
              <w:right w:val="nil"/>
            </w:tcBorders>
            <w:shd w:val="clear" w:color="auto" w:fill="auto"/>
            <w:vAlign w:val="bottom"/>
            <w:hideMark/>
          </w:tcPr>
          <w:p w14:paraId="298CE492" w14:textId="77777777" w:rsidR="00C304C4" w:rsidRDefault="00C304C4" w:rsidP="00454EE7">
            <w:pPr>
              <w:spacing w:line="18" w:lineRule="atLeast"/>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c>
          <w:tcPr>
            <w:tcW w:w="1002" w:type="pct"/>
            <w:tcBorders>
              <w:top w:val="single" w:sz="4" w:space="0" w:color="0070C0"/>
              <w:left w:val="nil"/>
              <w:bottom w:val="single" w:sz="8" w:space="0" w:color="0070C0"/>
              <w:right w:val="nil"/>
            </w:tcBorders>
            <w:shd w:val="clear" w:color="auto" w:fill="auto"/>
            <w:vAlign w:val="bottom"/>
            <w:hideMark/>
          </w:tcPr>
          <w:p w14:paraId="1D2987B0" w14:textId="77777777" w:rsidR="00C304C4" w:rsidRDefault="00C304C4" w:rsidP="00454EE7">
            <w:pPr>
              <w:spacing w:line="18" w:lineRule="atLeast"/>
              <w:jc w:val="center"/>
              <w:rPr>
                <w:rFonts w:ascii="Cambria" w:hAnsi="Cambria" w:cs="Arial"/>
                <w:b/>
                <w:bCs/>
                <w:color w:val="000000"/>
                <w:sz w:val="18"/>
                <w:szCs w:val="18"/>
              </w:rPr>
            </w:pPr>
            <w:r>
              <w:rPr>
                <w:rFonts w:ascii="Cambria" w:hAnsi="Cambria"/>
                <w:b/>
                <w:color w:val="000000"/>
                <w:sz w:val="18"/>
              </w:rPr>
              <w:t>Variations</w:t>
            </w:r>
          </w:p>
        </w:tc>
      </w:tr>
      <w:tr w:rsidR="00C304C4" w14:paraId="28189D43" w14:textId="77777777" w:rsidTr="00C304C4">
        <w:trPr>
          <w:trHeight w:val="240"/>
        </w:trPr>
        <w:tc>
          <w:tcPr>
            <w:tcW w:w="1993" w:type="pct"/>
            <w:tcBorders>
              <w:top w:val="nil"/>
              <w:left w:val="nil"/>
              <w:bottom w:val="nil"/>
              <w:right w:val="nil"/>
            </w:tcBorders>
            <w:shd w:val="clear" w:color="auto" w:fill="auto"/>
            <w:noWrap/>
            <w:vAlign w:val="bottom"/>
            <w:hideMark/>
          </w:tcPr>
          <w:p w14:paraId="0E692309" w14:textId="77777777" w:rsidR="00C304C4" w:rsidRDefault="00C304C4" w:rsidP="00454EE7">
            <w:pPr>
              <w:spacing w:line="18" w:lineRule="atLeast"/>
              <w:rPr>
                <w:rFonts w:ascii="Cambria" w:hAnsi="Cambria" w:cs="Arial"/>
                <w:color w:val="000000"/>
                <w:sz w:val="18"/>
                <w:szCs w:val="18"/>
              </w:rPr>
            </w:pPr>
            <w:r>
              <w:rPr>
                <w:rFonts w:ascii="Cambria" w:hAnsi="Cambria"/>
                <w:color w:val="000000"/>
                <w:sz w:val="18"/>
              </w:rPr>
              <w:t>Bons émis</w:t>
            </w:r>
          </w:p>
        </w:tc>
        <w:tc>
          <w:tcPr>
            <w:tcW w:w="1002" w:type="pct"/>
            <w:tcBorders>
              <w:top w:val="nil"/>
              <w:left w:val="nil"/>
              <w:bottom w:val="nil"/>
              <w:right w:val="nil"/>
            </w:tcBorders>
            <w:shd w:val="clear" w:color="auto" w:fill="auto"/>
            <w:noWrap/>
            <w:vAlign w:val="bottom"/>
            <w:hideMark/>
          </w:tcPr>
          <w:p w14:paraId="7271BA87"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26 143</w:t>
            </w:r>
          </w:p>
        </w:tc>
        <w:tc>
          <w:tcPr>
            <w:tcW w:w="1002" w:type="pct"/>
            <w:tcBorders>
              <w:top w:val="nil"/>
              <w:left w:val="nil"/>
              <w:bottom w:val="nil"/>
              <w:right w:val="nil"/>
            </w:tcBorders>
            <w:shd w:val="clear" w:color="auto" w:fill="auto"/>
            <w:noWrap/>
            <w:vAlign w:val="bottom"/>
            <w:hideMark/>
          </w:tcPr>
          <w:p w14:paraId="100DB7F8"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68 246</w:t>
            </w:r>
          </w:p>
        </w:tc>
        <w:tc>
          <w:tcPr>
            <w:tcW w:w="1002" w:type="pct"/>
            <w:tcBorders>
              <w:top w:val="nil"/>
              <w:left w:val="nil"/>
              <w:bottom w:val="nil"/>
              <w:right w:val="nil"/>
            </w:tcBorders>
            <w:shd w:val="clear" w:color="auto" w:fill="auto"/>
            <w:noWrap/>
            <w:vAlign w:val="bottom"/>
            <w:hideMark/>
          </w:tcPr>
          <w:p w14:paraId="7957605C" w14:textId="77777777" w:rsidR="00C304C4" w:rsidRDefault="00C304C4" w:rsidP="00454EE7">
            <w:pPr>
              <w:spacing w:line="18" w:lineRule="atLeast"/>
              <w:jc w:val="right"/>
              <w:rPr>
                <w:rFonts w:ascii="Cambria" w:hAnsi="Cambria" w:cs="Arial"/>
                <w:color w:val="000000"/>
                <w:sz w:val="18"/>
                <w:szCs w:val="18"/>
              </w:rPr>
            </w:pPr>
            <w:r>
              <w:rPr>
                <w:rFonts w:ascii="Cambria" w:hAnsi="Cambria"/>
                <w:color w:val="000000"/>
                <w:sz w:val="18"/>
              </w:rPr>
              <w:t>(42 103)</w:t>
            </w:r>
          </w:p>
        </w:tc>
      </w:tr>
      <w:tr w:rsidR="00C304C4" w14:paraId="66DB0D4E" w14:textId="77777777" w:rsidTr="00C304C4">
        <w:trPr>
          <w:trHeight w:val="255"/>
        </w:trPr>
        <w:tc>
          <w:tcPr>
            <w:tcW w:w="1993" w:type="pct"/>
            <w:tcBorders>
              <w:top w:val="nil"/>
              <w:left w:val="nil"/>
              <w:bottom w:val="nil"/>
              <w:right w:val="nil"/>
            </w:tcBorders>
            <w:shd w:val="clear" w:color="auto" w:fill="auto"/>
            <w:vAlign w:val="center"/>
            <w:hideMark/>
          </w:tcPr>
          <w:p w14:paraId="5355E649" w14:textId="77777777" w:rsidR="00C304C4" w:rsidRDefault="00C304C4" w:rsidP="00454EE7">
            <w:pPr>
              <w:spacing w:line="18" w:lineRule="atLeast"/>
              <w:rPr>
                <w:rFonts w:ascii="Cambria" w:hAnsi="Cambria" w:cs="Arial"/>
                <w:b/>
                <w:bCs/>
                <w:color w:val="000000"/>
                <w:sz w:val="18"/>
                <w:szCs w:val="18"/>
              </w:rPr>
            </w:pPr>
            <w:r>
              <w:rPr>
                <w:rFonts w:ascii="Cambria" w:hAnsi="Cambria"/>
                <w:b/>
                <w:color w:val="000000"/>
                <w:sz w:val="18"/>
              </w:rPr>
              <w:t>Total Dettes pour les retours</w:t>
            </w:r>
          </w:p>
        </w:tc>
        <w:tc>
          <w:tcPr>
            <w:tcW w:w="1002" w:type="pct"/>
            <w:tcBorders>
              <w:top w:val="single" w:sz="4" w:space="0" w:color="auto"/>
              <w:left w:val="nil"/>
              <w:bottom w:val="single" w:sz="8" w:space="0" w:color="auto"/>
              <w:right w:val="nil"/>
            </w:tcBorders>
            <w:shd w:val="clear" w:color="auto" w:fill="auto"/>
            <w:noWrap/>
            <w:vAlign w:val="center"/>
            <w:hideMark/>
          </w:tcPr>
          <w:p w14:paraId="21705B48" w14:textId="77777777" w:rsidR="00C304C4" w:rsidRDefault="00C304C4" w:rsidP="00454EE7">
            <w:pPr>
              <w:spacing w:line="18" w:lineRule="atLeast"/>
              <w:jc w:val="right"/>
              <w:rPr>
                <w:rFonts w:ascii="Cambria" w:hAnsi="Cambria" w:cs="Arial"/>
                <w:b/>
                <w:bCs/>
                <w:color w:val="000000"/>
                <w:sz w:val="18"/>
                <w:szCs w:val="18"/>
              </w:rPr>
            </w:pPr>
            <w:r>
              <w:rPr>
                <w:rFonts w:ascii="Cambria" w:hAnsi="Cambria"/>
                <w:b/>
                <w:color w:val="000000"/>
                <w:sz w:val="18"/>
              </w:rPr>
              <w:t>26 143</w:t>
            </w:r>
          </w:p>
        </w:tc>
        <w:tc>
          <w:tcPr>
            <w:tcW w:w="1002" w:type="pct"/>
            <w:tcBorders>
              <w:top w:val="single" w:sz="4" w:space="0" w:color="auto"/>
              <w:left w:val="nil"/>
              <w:bottom w:val="single" w:sz="8" w:space="0" w:color="auto"/>
              <w:right w:val="nil"/>
            </w:tcBorders>
            <w:shd w:val="clear" w:color="auto" w:fill="auto"/>
            <w:noWrap/>
            <w:vAlign w:val="center"/>
            <w:hideMark/>
          </w:tcPr>
          <w:p w14:paraId="6E6AAE0C" w14:textId="77777777" w:rsidR="00C304C4" w:rsidRDefault="00C304C4" w:rsidP="00454EE7">
            <w:pPr>
              <w:spacing w:line="18" w:lineRule="atLeast"/>
              <w:jc w:val="right"/>
              <w:rPr>
                <w:rFonts w:ascii="Cambria" w:hAnsi="Cambria" w:cs="Arial"/>
                <w:b/>
                <w:bCs/>
                <w:color w:val="000000"/>
                <w:sz w:val="18"/>
                <w:szCs w:val="18"/>
              </w:rPr>
            </w:pPr>
            <w:r>
              <w:rPr>
                <w:rFonts w:ascii="Cambria" w:hAnsi="Cambria"/>
                <w:b/>
                <w:color w:val="000000"/>
                <w:sz w:val="18"/>
              </w:rPr>
              <w:t>68 246</w:t>
            </w:r>
          </w:p>
        </w:tc>
        <w:tc>
          <w:tcPr>
            <w:tcW w:w="1002" w:type="pct"/>
            <w:tcBorders>
              <w:top w:val="single" w:sz="4" w:space="0" w:color="auto"/>
              <w:left w:val="nil"/>
              <w:bottom w:val="single" w:sz="8" w:space="0" w:color="auto"/>
              <w:right w:val="nil"/>
            </w:tcBorders>
            <w:shd w:val="clear" w:color="auto" w:fill="auto"/>
            <w:noWrap/>
            <w:vAlign w:val="center"/>
            <w:hideMark/>
          </w:tcPr>
          <w:p w14:paraId="0DA3FAD9" w14:textId="77777777" w:rsidR="00C304C4" w:rsidRDefault="00C304C4" w:rsidP="00454EE7">
            <w:pPr>
              <w:spacing w:line="18" w:lineRule="atLeast"/>
              <w:jc w:val="right"/>
              <w:rPr>
                <w:rFonts w:ascii="Cambria" w:hAnsi="Cambria" w:cs="Arial"/>
                <w:b/>
                <w:bCs/>
                <w:color w:val="000000"/>
                <w:sz w:val="18"/>
                <w:szCs w:val="18"/>
              </w:rPr>
            </w:pPr>
            <w:r>
              <w:rPr>
                <w:rFonts w:ascii="Cambria" w:hAnsi="Cambria"/>
                <w:b/>
                <w:color w:val="000000"/>
                <w:sz w:val="18"/>
              </w:rPr>
              <w:t>(42 103)</w:t>
            </w:r>
          </w:p>
        </w:tc>
      </w:tr>
    </w:tbl>
    <w:p w14:paraId="4E45C36B" w14:textId="77777777" w:rsidR="00B11D49" w:rsidRDefault="00B11D49" w:rsidP="00454EE7">
      <w:pPr>
        <w:spacing w:after="200" w:line="18" w:lineRule="atLeast"/>
        <w:jc w:val="both"/>
        <w:rPr>
          <w:rFonts w:ascii="Cambria" w:hAnsi="Cambria"/>
          <w:sz w:val="22"/>
          <w:szCs w:val="22"/>
        </w:rPr>
      </w:pPr>
    </w:p>
    <w:p w14:paraId="6845681D" w14:textId="39C178D8" w:rsidR="004A06AD" w:rsidRPr="00C17031" w:rsidRDefault="004A06AD" w:rsidP="00454EE7">
      <w:pPr>
        <w:spacing w:after="200" w:line="18" w:lineRule="atLeast"/>
        <w:jc w:val="both"/>
        <w:rPr>
          <w:rFonts w:ascii="Cambria" w:hAnsi="Cambria"/>
          <w:sz w:val="22"/>
          <w:szCs w:val="22"/>
        </w:rPr>
      </w:pPr>
      <w:r>
        <w:rPr>
          <w:rFonts w:ascii="Cambria" w:hAnsi="Cambria"/>
          <w:sz w:val="22"/>
        </w:rPr>
        <w:t>Le solde concerne les bons émis par les différents points de vente pour les retours effectués par les clients.</w:t>
      </w:r>
    </w:p>
    <w:p w14:paraId="49B7FEB8" w14:textId="77777777" w:rsidR="004A06AD" w:rsidRPr="002B75D8" w:rsidRDefault="004A06AD" w:rsidP="00454EE7">
      <w:pPr>
        <w:spacing w:line="18" w:lineRule="atLeast"/>
      </w:pPr>
    </w:p>
    <w:p w14:paraId="461C3A89" w14:textId="77777777" w:rsidR="00E16D12" w:rsidRPr="005B2120" w:rsidRDefault="00E16D12" w:rsidP="00454EE7">
      <w:pPr>
        <w:pStyle w:val="Titolo2"/>
        <w:numPr>
          <w:ilvl w:val="0"/>
          <w:numId w:val="6"/>
        </w:numPr>
        <w:spacing w:line="18" w:lineRule="atLeast"/>
        <w:ind w:left="357" w:right="0" w:hanging="357"/>
        <w:jc w:val="left"/>
        <w:rPr>
          <w:i w:val="0"/>
        </w:rPr>
      </w:pPr>
      <w:bookmarkStart w:id="153" w:name="_Toc112768685"/>
      <w:r>
        <w:rPr>
          <w:i w:val="0"/>
        </w:rPr>
        <w:t>Dettes fiscales</w:t>
      </w:r>
      <w:bookmarkEnd w:id="153"/>
    </w:p>
    <w:p w14:paraId="43FE7EB3" w14:textId="77777777" w:rsidR="00E16D12" w:rsidRPr="00C17031" w:rsidRDefault="00E16D12" w:rsidP="00454EE7">
      <w:pPr>
        <w:spacing w:line="18" w:lineRule="atLeast"/>
        <w:rPr>
          <w:rFonts w:ascii="Cambria" w:hAnsi="Cambria"/>
        </w:rPr>
      </w:pPr>
    </w:p>
    <w:p w14:paraId="154F6635" w14:textId="08C000C3" w:rsidR="000E31D7" w:rsidRDefault="00E16D12" w:rsidP="00454EE7">
      <w:pPr>
        <w:spacing w:after="200" w:line="18" w:lineRule="atLeast"/>
        <w:jc w:val="both"/>
        <w:rPr>
          <w:rFonts w:ascii="Cambria" w:hAnsi="Cambria"/>
          <w:sz w:val="22"/>
          <w:szCs w:val="22"/>
        </w:rPr>
      </w:pPr>
      <w:r>
        <w:rPr>
          <w:rFonts w:ascii="Cambria" w:hAnsi="Cambria"/>
          <w:sz w:val="22"/>
        </w:rPr>
        <w:t>La composition du poste « Dettes fiscales » au 30 juin 2021, par rapport aux mêmes valeurs au 31 décembre 2020, est présentée ci-dessous :</w:t>
      </w:r>
    </w:p>
    <w:tbl>
      <w:tblPr>
        <w:tblW w:w="5000" w:type="pct"/>
        <w:tblCellMar>
          <w:left w:w="70" w:type="dxa"/>
          <w:right w:w="70" w:type="dxa"/>
        </w:tblCellMar>
        <w:tblLook w:val="04A0" w:firstRow="1" w:lastRow="0" w:firstColumn="1" w:lastColumn="0" w:noHBand="0" w:noVBand="1"/>
      </w:tblPr>
      <w:tblGrid>
        <w:gridCol w:w="5008"/>
        <w:gridCol w:w="1540"/>
        <w:gridCol w:w="1542"/>
        <w:gridCol w:w="1548"/>
      </w:tblGrid>
      <w:tr w:rsidR="008D5971" w14:paraId="3205C4E8" w14:textId="77777777" w:rsidTr="003F166F">
        <w:trPr>
          <w:trHeight w:val="495"/>
        </w:trPr>
        <w:tc>
          <w:tcPr>
            <w:tcW w:w="2319" w:type="pct"/>
            <w:tcBorders>
              <w:top w:val="single" w:sz="4" w:space="0" w:color="0070C0"/>
              <w:left w:val="nil"/>
              <w:bottom w:val="single" w:sz="8" w:space="0" w:color="0070C0"/>
              <w:right w:val="nil"/>
            </w:tcBorders>
            <w:shd w:val="clear" w:color="auto" w:fill="auto"/>
            <w:noWrap/>
            <w:vAlign w:val="bottom"/>
            <w:hideMark/>
          </w:tcPr>
          <w:p w14:paraId="6D5C3406" w14:textId="77777777" w:rsidR="008D5971" w:rsidRDefault="008D5971" w:rsidP="00454EE7">
            <w:pPr>
              <w:spacing w:line="18" w:lineRule="atLeast"/>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892" w:type="pct"/>
            <w:tcBorders>
              <w:top w:val="single" w:sz="4" w:space="0" w:color="0070C0"/>
              <w:left w:val="nil"/>
              <w:bottom w:val="single" w:sz="8" w:space="0" w:color="0070C0"/>
              <w:right w:val="nil"/>
            </w:tcBorders>
            <w:shd w:val="clear" w:color="auto" w:fill="auto"/>
            <w:vAlign w:val="bottom"/>
            <w:hideMark/>
          </w:tcPr>
          <w:p w14:paraId="0544BCE6" w14:textId="77777777" w:rsidR="008D5971" w:rsidRDefault="008D5971" w:rsidP="00454EE7">
            <w:pPr>
              <w:spacing w:line="18" w:lineRule="atLeast"/>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893" w:type="pct"/>
            <w:tcBorders>
              <w:top w:val="single" w:sz="4" w:space="0" w:color="0070C0"/>
              <w:left w:val="nil"/>
              <w:bottom w:val="single" w:sz="8" w:space="0" w:color="0070C0"/>
              <w:right w:val="nil"/>
            </w:tcBorders>
            <w:shd w:val="clear" w:color="auto" w:fill="auto"/>
            <w:vAlign w:val="bottom"/>
            <w:hideMark/>
          </w:tcPr>
          <w:p w14:paraId="390F7AA1" w14:textId="77777777" w:rsidR="008D5971" w:rsidRDefault="008D5971" w:rsidP="00454EE7">
            <w:pPr>
              <w:spacing w:line="18" w:lineRule="atLeast"/>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c>
          <w:tcPr>
            <w:tcW w:w="896" w:type="pct"/>
            <w:tcBorders>
              <w:top w:val="single" w:sz="4" w:space="0" w:color="0070C0"/>
              <w:left w:val="nil"/>
              <w:bottom w:val="single" w:sz="8" w:space="0" w:color="0070C0"/>
              <w:right w:val="nil"/>
            </w:tcBorders>
            <w:shd w:val="clear" w:color="auto" w:fill="auto"/>
            <w:vAlign w:val="bottom"/>
            <w:hideMark/>
          </w:tcPr>
          <w:p w14:paraId="21E0395F" w14:textId="77777777" w:rsidR="008D5971" w:rsidRDefault="008D5971" w:rsidP="00454EE7">
            <w:pPr>
              <w:spacing w:line="18" w:lineRule="atLeast"/>
              <w:jc w:val="center"/>
              <w:rPr>
                <w:rFonts w:ascii="Cambria" w:hAnsi="Cambria" w:cs="Arial"/>
                <w:b/>
                <w:bCs/>
                <w:color w:val="000000"/>
                <w:sz w:val="18"/>
                <w:szCs w:val="18"/>
              </w:rPr>
            </w:pPr>
            <w:r>
              <w:rPr>
                <w:rFonts w:ascii="Cambria" w:hAnsi="Cambria"/>
                <w:b/>
                <w:color w:val="000000"/>
                <w:sz w:val="18"/>
              </w:rPr>
              <w:t>Variations</w:t>
            </w:r>
          </w:p>
        </w:tc>
      </w:tr>
      <w:tr w:rsidR="008D5971" w14:paraId="2CE0D55F" w14:textId="77777777" w:rsidTr="003F166F">
        <w:trPr>
          <w:trHeight w:val="228"/>
        </w:trPr>
        <w:tc>
          <w:tcPr>
            <w:tcW w:w="2319" w:type="pct"/>
            <w:tcBorders>
              <w:top w:val="nil"/>
              <w:left w:val="nil"/>
              <w:bottom w:val="nil"/>
              <w:right w:val="nil"/>
            </w:tcBorders>
            <w:shd w:val="clear" w:color="auto" w:fill="auto"/>
            <w:noWrap/>
            <w:vAlign w:val="bottom"/>
            <w:hideMark/>
          </w:tcPr>
          <w:p w14:paraId="225FD87E" w14:textId="77777777" w:rsidR="008D5971" w:rsidRDefault="008D5971" w:rsidP="00454EE7">
            <w:pPr>
              <w:spacing w:line="18" w:lineRule="atLeast"/>
              <w:rPr>
                <w:rFonts w:ascii="Cambria" w:hAnsi="Cambria" w:cs="Arial"/>
                <w:color w:val="000000"/>
                <w:sz w:val="18"/>
                <w:szCs w:val="18"/>
              </w:rPr>
            </w:pPr>
            <w:r>
              <w:rPr>
                <w:rFonts w:ascii="Cambria" w:hAnsi="Cambria"/>
                <w:color w:val="000000"/>
                <w:sz w:val="18"/>
              </w:rPr>
              <w:t>Retenues sur le travail des salariés et sur le travail indépendant</w:t>
            </w:r>
          </w:p>
        </w:tc>
        <w:tc>
          <w:tcPr>
            <w:tcW w:w="892" w:type="pct"/>
            <w:tcBorders>
              <w:top w:val="nil"/>
              <w:left w:val="nil"/>
              <w:bottom w:val="nil"/>
              <w:right w:val="nil"/>
            </w:tcBorders>
            <w:shd w:val="clear" w:color="auto" w:fill="auto"/>
            <w:noWrap/>
            <w:vAlign w:val="bottom"/>
            <w:hideMark/>
          </w:tcPr>
          <w:p w14:paraId="520115F1"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41 217</w:t>
            </w:r>
          </w:p>
        </w:tc>
        <w:tc>
          <w:tcPr>
            <w:tcW w:w="893" w:type="pct"/>
            <w:tcBorders>
              <w:top w:val="nil"/>
              <w:left w:val="nil"/>
              <w:bottom w:val="nil"/>
              <w:right w:val="nil"/>
            </w:tcBorders>
            <w:shd w:val="clear" w:color="auto" w:fill="auto"/>
            <w:noWrap/>
            <w:vAlign w:val="bottom"/>
            <w:hideMark/>
          </w:tcPr>
          <w:p w14:paraId="0EB392EC"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70 464</w:t>
            </w:r>
          </w:p>
        </w:tc>
        <w:tc>
          <w:tcPr>
            <w:tcW w:w="896" w:type="pct"/>
            <w:tcBorders>
              <w:top w:val="nil"/>
              <w:left w:val="nil"/>
              <w:bottom w:val="nil"/>
              <w:right w:val="nil"/>
            </w:tcBorders>
            <w:shd w:val="clear" w:color="auto" w:fill="auto"/>
            <w:noWrap/>
            <w:vAlign w:val="bottom"/>
            <w:hideMark/>
          </w:tcPr>
          <w:p w14:paraId="1A182F72"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(29 247)</w:t>
            </w:r>
          </w:p>
        </w:tc>
      </w:tr>
      <w:tr w:rsidR="008D5971" w14:paraId="493A3A39" w14:textId="77777777" w:rsidTr="003F166F">
        <w:trPr>
          <w:trHeight w:val="228"/>
        </w:trPr>
        <w:tc>
          <w:tcPr>
            <w:tcW w:w="2319" w:type="pct"/>
            <w:tcBorders>
              <w:top w:val="nil"/>
              <w:left w:val="nil"/>
              <w:bottom w:val="nil"/>
              <w:right w:val="nil"/>
            </w:tcBorders>
            <w:shd w:val="clear" w:color="auto" w:fill="auto"/>
            <w:noWrap/>
            <w:vAlign w:val="bottom"/>
            <w:hideMark/>
          </w:tcPr>
          <w:p w14:paraId="486676C0" w14:textId="77777777" w:rsidR="008D5971" w:rsidRDefault="008D5971" w:rsidP="00454EE7">
            <w:pPr>
              <w:spacing w:line="18" w:lineRule="atLeast"/>
              <w:rPr>
                <w:rFonts w:ascii="Cambria" w:hAnsi="Cambria" w:cs="Arial"/>
                <w:color w:val="000000"/>
                <w:sz w:val="18"/>
                <w:szCs w:val="18"/>
              </w:rPr>
            </w:pPr>
            <w:r>
              <w:rPr>
                <w:rFonts w:ascii="Cambria" w:hAnsi="Cambria"/>
                <w:color w:val="000000"/>
                <w:sz w:val="18"/>
              </w:rPr>
              <w:t>IRES (impôt sur les sociétés)</w:t>
            </w:r>
          </w:p>
        </w:tc>
        <w:tc>
          <w:tcPr>
            <w:tcW w:w="892" w:type="pct"/>
            <w:tcBorders>
              <w:top w:val="nil"/>
              <w:left w:val="nil"/>
              <w:bottom w:val="nil"/>
              <w:right w:val="nil"/>
            </w:tcBorders>
            <w:shd w:val="clear" w:color="auto" w:fill="auto"/>
            <w:noWrap/>
            <w:vAlign w:val="bottom"/>
            <w:hideMark/>
          </w:tcPr>
          <w:p w14:paraId="1DE68A67"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1 764 013</w:t>
            </w:r>
          </w:p>
        </w:tc>
        <w:tc>
          <w:tcPr>
            <w:tcW w:w="893" w:type="pct"/>
            <w:tcBorders>
              <w:top w:val="nil"/>
              <w:left w:val="nil"/>
              <w:bottom w:val="nil"/>
              <w:right w:val="nil"/>
            </w:tcBorders>
            <w:shd w:val="clear" w:color="auto" w:fill="auto"/>
            <w:noWrap/>
            <w:vAlign w:val="bottom"/>
            <w:hideMark/>
          </w:tcPr>
          <w:p w14:paraId="3058656A"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1 081 960</w:t>
            </w:r>
          </w:p>
        </w:tc>
        <w:tc>
          <w:tcPr>
            <w:tcW w:w="896" w:type="pct"/>
            <w:tcBorders>
              <w:top w:val="nil"/>
              <w:left w:val="nil"/>
              <w:bottom w:val="nil"/>
              <w:right w:val="nil"/>
            </w:tcBorders>
            <w:shd w:val="clear" w:color="auto" w:fill="auto"/>
            <w:noWrap/>
            <w:vAlign w:val="bottom"/>
            <w:hideMark/>
          </w:tcPr>
          <w:p w14:paraId="4A375EBC"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682 052</w:t>
            </w:r>
          </w:p>
        </w:tc>
      </w:tr>
      <w:tr w:rsidR="008D5971" w14:paraId="6E83A7D1" w14:textId="77777777" w:rsidTr="003F166F">
        <w:trPr>
          <w:trHeight w:val="228"/>
        </w:trPr>
        <w:tc>
          <w:tcPr>
            <w:tcW w:w="2319" w:type="pct"/>
            <w:tcBorders>
              <w:top w:val="nil"/>
              <w:left w:val="nil"/>
              <w:bottom w:val="nil"/>
              <w:right w:val="nil"/>
            </w:tcBorders>
            <w:shd w:val="clear" w:color="auto" w:fill="auto"/>
            <w:noWrap/>
            <w:vAlign w:val="bottom"/>
            <w:hideMark/>
          </w:tcPr>
          <w:p w14:paraId="59D87412" w14:textId="77777777" w:rsidR="008D5971" w:rsidRDefault="008D5971" w:rsidP="00454EE7">
            <w:pPr>
              <w:spacing w:line="18" w:lineRule="atLeast"/>
              <w:rPr>
                <w:rFonts w:ascii="Cambria" w:hAnsi="Cambria" w:cs="Arial"/>
                <w:color w:val="000000"/>
                <w:sz w:val="18"/>
                <w:szCs w:val="18"/>
              </w:rPr>
            </w:pPr>
            <w:r>
              <w:rPr>
                <w:rFonts w:ascii="Cambria" w:hAnsi="Cambria"/>
                <w:color w:val="000000"/>
                <w:sz w:val="18"/>
              </w:rPr>
              <w:t>IRAP (taxe régionale sur les entreprises)</w:t>
            </w:r>
          </w:p>
        </w:tc>
        <w:tc>
          <w:tcPr>
            <w:tcW w:w="892" w:type="pct"/>
            <w:tcBorders>
              <w:top w:val="nil"/>
              <w:left w:val="nil"/>
              <w:bottom w:val="nil"/>
              <w:right w:val="nil"/>
            </w:tcBorders>
            <w:shd w:val="clear" w:color="auto" w:fill="auto"/>
            <w:noWrap/>
            <w:vAlign w:val="bottom"/>
            <w:hideMark/>
          </w:tcPr>
          <w:p w14:paraId="5FE9CECC"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524 276</w:t>
            </w:r>
          </w:p>
        </w:tc>
        <w:tc>
          <w:tcPr>
            <w:tcW w:w="893" w:type="pct"/>
            <w:tcBorders>
              <w:top w:val="nil"/>
              <w:left w:val="nil"/>
              <w:bottom w:val="nil"/>
              <w:right w:val="nil"/>
            </w:tcBorders>
            <w:shd w:val="clear" w:color="auto" w:fill="auto"/>
            <w:noWrap/>
            <w:vAlign w:val="bottom"/>
            <w:hideMark/>
          </w:tcPr>
          <w:p w14:paraId="27AF5668"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343 888</w:t>
            </w:r>
          </w:p>
        </w:tc>
        <w:tc>
          <w:tcPr>
            <w:tcW w:w="896" w:type="pct"/>
            <w:tcBorders>
              <w:top w:val="nil"/>
              <w:left w:val="nil"/>
              <w:bottom w:val="nil"/>
              <w:right w:val="nil"/>
            </w:tcBorders>
            <w:shd w:val="clear" w:color="auto" w:fill="auto"/>
            <w:noWrap/>
            <w:vAlign w:val="bottom"/>
            <w:hideMark/>
          </w:tcPr>
          <w:p w14:paraId="0C9295A6"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180 388</w:t>
            </w:r>
          </w:p>
        </w:tc>
      </w:tr>
      <w:tr w:rsidR="008D5971" w14:paraId="242E4B8D" w14:textId="77777777" w:rsidTr="003F166F">
        <w:trPr>
          <w:trHeight w:val="228"/>
        </w:trPr>
        <w:tc>
          <w:tcPr>
            <w:tcW w:w="2319" w:type="pct"/>
            <w:tcBorders>
              <w:top w:val="nil"/>
              <w:left w:val="nil"/>
              <w:bottom w:val="nil"/>
              <w:right w:val="nil"/>
            </w:tcBorders>
            <w:shd w:val="clear" w:color="auto" w:fill="auto"/>
            <w:noWrap/>
            <w:vAlign w:val="bottom"/>
            <w:hideMark/>
          </w:tcPr>
          <w:p w14:paraId="4BC9E4B3" w14:textId="77777777" w:rsidR="008D5971" w:rsidRDefault="008D5971" w:rsidP="00454EE7">
            <w:pPr>
              <w:spacing w:line="18" w:lineRule="atLeast"/>
              <w:rPr>
                <w:rFonts w:ascii="Cambria" w:hAnsi="Cambria" w:cs="Arial"/>
                <w:color w:val="000000"/>
                <w:sz w:val="18"/>
                <w:szCs w:val="18"/>
              </w:rPr>
            </w:pPr>
            <w:r>
              <w:rPr>
                <w:rFonts w:ascii="Cambria" w:hAnsi="Cambria"/>
                <w:color w:val="000000"/>
                <w:sz w:val="18"/>
              </w:rPr>
              <w:t>TVA</w:t>
            </w:r>
          </w:p>
        </w:tc>
        <w:tc>
          <w:tcPr>
            <w:tcW w:w="892" w:type="pct"/>
            <w:tcBorders>
              <w:top w:val="nil"/>
              <w:left w:val="nil"/>
              <w:bottom w:val="nil"/>
              <w:right w:val="nil"/>
            </w:tcBorders>
            <w:shd w:val="clear" w:color="auto" w:fill="auto"/>
            <w:noWrap/>
            <w:vAlign w:val="bottom"/>
            <w:hideMark/>
          </w:tcPr>
          <w:p w14:paraId="1B5796E6"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466 734</w:t>
            </w:r>
          </w:p>
        </w:tc>
        <w:tc>
          <w:tcPr>
            <w:tcW w:w="893" w:type="pct"/>
            <w:tcBorders>
              <w:top w:val="nil"/>
              <w:left w:val="nil"/>
              <w:bottom w:val="nil"/>
              <w:right w:val="nil"/>
            </w:tcBorders>
            <w:shd w:val="clear" w:color="auto" w:fill="auto"/>
            <w:noWrap/>
            <w:vAlign w:val="bottom"/>
            <w:hideMark/>
          </w:tcPr>
          <w:p w14:paraId="0A44B04D"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163 112</w:t>
            </w:r>
          </w:p>
        </w:tc>
        <w:tc>
          <w:tcPr>
            <w:tcW w:w="896" w:type="pct"/>
            <w:tcBorders>
              <w:top w:val="nil"/>
              <w:left w:val="nil"/>
              <w:bottom w:val="nil"/>
              <w:right w:val="nil"/>
            </w:tcBorders>
            <w:shd w:val="clear" w:color="auto" w:fill="auto"/>
            <w:noWrap/>
            <w:vAlign w:val="bottom"/>
            <w:hideMark/>
          </w:tcPr>
          <w:p w14:paraId="082C3D0A"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303 622</w:t>
            </w:r>
          </w:p>
        </w:tc>
      </w:tr>
      <w:tr w:rsidR="008D5971" w14:paraId="1EAC089B" w14:textId="77777777" w:rsidTr="003F166F">
        <w:trPr>
          <w:trHeight w:val="228"/>
        </w:trPr>
        <w:tc>
          <w:tcPr>
            <w:tcW w:w="2319" w:type="pct"/>
            <w:tcBorders>
              <w:top w:val="nil"/>
              <w:left w:val="nil"/>
              <w:bottom w:val="nil"/>
              <w:right w:val="nil"/>
            </w:tcBorders>
            <w:shd w:val="clear" w:color="auto" w:fill="auto"/>
            <w:noWrap/>
            <w:vAlign w:val="bottom"/>
            <w:hideMark/>
          </w:tcPr>
          <w:p w14:paraId="1F152C6D" w14:textId="057A136C" w:rsidR="008D5971" w:rsidRDefault="008D5971" w:rsidP="00454EE7">
            <w:pPr>
              <w:spacing w:line="18" w:lineRule="atLeast"/>
              <w:rPr>
                <w:rFonts w:ascii="Cambria" w:hAnsi="Cambria" w:cs="Arial"/>
                <w:color w:val="000000"/>
                <w:sz w:val="18"/>
                <w:szCs w:val="18"/>
              </w:rPr>
            </w:pPr>
            <w:r>
              <w:rPr>
                <w:rFonts w:ascii="Cambria" w:hAnsi="Cambria"/>
                <w:color w:val="000000"/>
                <w:sz w:val="18"/>
              </w:rPr>
              <w:t>Dettes pour règlement fiscal - montant dû dans la période</w:t>
            </w:r>
          </w:p>
        </w:tc>
        <w:tc>
          <w:tcPr>
            <w:tcW w:w="892" w:type="pct"/>
            <w:tcBorders>
              <w:top w:val="nil"/>
              <w:left w:val="nil"/>
              <w:bottom w:val="nil"/>
              <w:right w:val="nil"/>
            </w:tcBorders>
            <w:shd w:val="clear" w:color="auto" w:fill="auto"/>
            <w:noWrap/>
            <w:vAlign w:val="bottom"/>
            <w:hideMark/>
          </w:tcPr>
          <w:p w14:paraId="0A562106"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397 126</w:t>
            </w:r>
          </w:p>
        </w:tc>
        <w:tc>
          <w:tcPr>
            <w:tcW w:w="893" w:type="pct"/>
            <w:tcBorders>
              <w:top w:val="nil"/>
              <w:left w:val="nil"/>
              <w:bottom w:val="nil"/>
              <w:right w:val="nil"/>
            </w:tcBorders>
            <w:shd w:val="clear" w:color="auto" w:fill="auto"/>
            <w:noWrap/>
            <w:vAlign w:val="bottom"/>
            <w:hideMark/>
          </w:tcPr>
          <w:p w14:paraId="253DAB56"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396 138</w:t>
            </w:r>
          </w:p>
        </w:tc>
        <w:tc>
          <w:tcPr>
            <w:tcW w:w="896" w:type="pct"/>
            <w:tcBorders>
              <w:top w:val="nil"/>
              <w:left w:val="nil"/>
              <w:bottom w:val="nil"/>
              <w:right w:val="nil"/>
            </w:tcBorders>
            <w:shd w:val="clear" w:color="auto" w:fill="auto"/>
            <w:noWrap/>
            <w:vAlign w:val="bottom"/>
            <w:hideMark/>
          </w:tcPr>
          <w:p w14:paraId="49E2D902"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987</w:t>
            </w:r>
          </w:p>
        </w:tc>
      </w:tr>
      <w:tr w:rsidR="008D5971" w14:paraId="1261CFF7" w14:textId="77777777" w:rsidTr="003F166F">
        <w:trPr>
          <w:trHeight w:val="228"/>
        </w:trPr>
        <w:tc>
          <w:tcPr>
            <w:tcW w:w="2319" w:type="pct"/>
            <w:tcBorders>
              <w:top w:val="nil"/>
              <w:left w:val="nil"/>
              <w:bottom w:val="nil"/>
              <w:right w:val="nil"/>
            </w:tcBorders>
            <w:shd w:val="clear" w:color="auto" w:fill="auto"/>
            <w:noWrap/>
            <w:vAlign w:val="bottom"/>
            <w:hideMark/>
          </w:tcPr>
          <w:p w14:paraId="48D2E4D8" w14:textId="77777777" w:rsidR="008D5971" w:rsidRDefault="008D5971" w:rsidP="00454EE7">
            <w:pPr>
              <w:spacing w:line="18" w:lineRule="atLeast"/>
              <w:rPr>
                <w:rFonts w:ascii="Cambria" w:hAnsi="Cambria" w:cs="Arial"/>
                <w:color w:val="000000"/>
                <w:sz w:val="18"/>
                <w:szCs w:val="18"/>
              </w:rPr>
            </w:pPr>
            <w:r>
              <w:rPr>
                <w:rFonts w:ascii="Cambria" w:hAnsi="Cambria"/>
                <w:color w:val="000000"/>
                <w:sz w:val="18"/>
              </w:rPr>
              <w:t>Dettes pour règlement fiscal - montant dû au-delà de la période</w:t>
            </w:r>
          </w:p>
        </w:tc>
        <w:tc>
          <w:tcPr>
            <w:tcW w:w="892" w:type="pct"/>
            <w:tcBorders>
              <w:top w:val="nil"/>
              <w:left w:val="nil"/>
              <w:bottom w:val="nil"/>
              <w:right w:val="nil"/>
            </w:tcBorders>
            <w:shd w:val="clear" w:color="auto" w:fill="auto"/>
            <w:noWrap/>
            <w:vAlign w:val="bottom"/>
            <w:hideMark/>
          </w:tcPr>
          <w:p w14:paraId="5DA217B2"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1 405 678</w:t>
            </w:r>
          </w:p>
        </w:tc>
        <w:tc>
          <w:tcPr>
            <w:tcW w:w="893" w:type="pct"/>
            <w:tcBorders>
              <w:top w:val="nil"/>
              <w:left w:val="nil"/>
              <w:bottom w:val="nil"/>
              <w:right w:val="nil"/>
            </w:tcBorders>
            <w:shd w:val="clear" w:color="auto" w:fill="auto"/>
            <w:noWrap/>
            <w:vAlign w:val="bottom"/>
            <w:hideMark/>
          </w:tcPr>
          <w:p w14:paraId="2E73F0B7"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1 604 493</w:t>
            </w:r>
          </w:p>
        </w:tc>
        <w:tc>
          <w:tcPr>
            <w:tcW w:w="896" w:type="pct"/>
            <w:tcBorders>
              <w:top w:val="nil"/>
              <w:left w:val="nil"/>
              <w:bottom w:val="nil"/>
              <w:right w:val="nil"/>
            </w:tcBorders>
            <w:shd w:val="clear" w:color="auto" w:fill="auto"/>
            <w:noWrap/>
            <w:vAlign w:val="bottom"/>
            <w:hideMark/>
          </w:tcPr>
          <w:p w14:paraId="30E66949"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(198 815)</w:t>
            </w:r>
          </w:p>
        </w:tc>
      </w:tr>
      <w:tr w:rsidR="008D5971" w14:paraId="5AF97B3F" w14:textId="77777777" w:rsidTr="003F166F">
        <w:trPr>
          <w:trHeight w:val="228"/>
        </w:trPr>
        <w:tc>
          <w:tcPr>
            <w:tcW w:w="2319" w:type="pct"/>
            <w:tcBorders>
              <w:top w:val="nil"/>
              <w:left w:val="nil"/>
              <w:bottom w:val="nil"/>
              <w:right w:val="nil"/>
            </w:tcBorders>
            <w:shd w:val="clear" w:color="auto" w:fill="auto"/>
            <w:noWrap/>
            <w:vAlign w:val="bottom"/>
            <w:hideMark/>
          </w:tcPr>
          <w:p w14:paraId="4D740448" w14:textId="77777777" w:rsidR="008D5971" w:rsidRDefault="008D5971" w:rsidP="00454EE7">
            <w:pPr>
              <w:spacing w:line="18" w:lineRule="atLeast"/>
              <w:rPr>
                <w:rFonts w:ascii="Cambria" w:hAnsi="Cambria" w:cs="Arial"/>
                <w:color w:val="000000"/>
                <w:sz w:val="18"/>
                <w:szCs w:val="18"/>
              </w:rPr>
            </w:pPr>
            <w:r>
              <w:rPr>
                <w:rFonts w:ascii="Cambria" w:hAnsi="Cambria"/>
                <w:color w:val="000000"/>
                <w:sz w:val="18"/>
              </w:rPr>
              <w:t>Pénalités et intérêts à payer</w:t>
            </w:r>
          </w:p>
        </w:tc>
        <w:tc>
          <w:tcPr>
            <w:tcW w:w="892" w:type="pct"/>
            <w:tcBorders>
              <w:top w:val="nil"/>
              <w:left w:val="nil"/>
              <w:bottom w:val="nil"/>
              <w:right w:val="nil"/>
            </w:tcBorders>
            <w:shd w:val="clear" w:color="auto" w:fill="auto"/>
            <w:noWrap/>
            <w:vAlign w:val="bottom"/>
            <w:hideMark/>
          </w:tcPr>
          <w:p w14:paraId="76D517EB"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975 543</w:t>
            </w:r>
          </w:p>
        </w:tc>
        <w:tc>
          <w:tcPr>
            <w:tcW w:w="893" w:type="pct"/>
            <w:tcBorders>
              <w:top w:val="nil"/>
              <w:left w:val="nil"/>
              <w:bottom w:val="nil"/>
              <w:right w:val="nil"/>
            </w:tcBorders>
            <w:shd w:val="clear" w:color="auto" w:fill="auto"/>
            <w:noWrap/>
            <w:vAlign w:val="bottom"/>
            <w:hideMark/>
          </w:tcPr>
          <w:p w14:paraId="68038370"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975 543</w:t>
            </w:r>
          </w:p>
        </w:tc>
        <w:tc>
          <w:tcPr>
            <w:tcW w:w="896" w:type="pct"/>
            <w:tcBorders>
              <w:top w:val="nil"/>
              <w:left w:val="nil"/>
              <w:bottom w:val="nil"/>
              <w:right w:val="nil"/>
            </w:tcBorders>
            <w:shd w:val="clear" w:color="auto" w:fill="auto"/>
            <w:noWrap/>
            <w:vAlign w:val="bottom"/>
            <w:hideMark/>
          </w:tcPr>
          <w:p w14:paraId="69D63D45" w14:textId="77777777" w:rsidR="008D5971" w:rsidRDefault="008D5971" w:rsidP="00454EE7">
            <w:pPr>
              <w:spacing w:line="18" w:lineRule="atLeast"/>
              <w:jc w:val="right"/>
              <w:rPr>
                <w:rFonts w:ascii="Cambria" w:hAnsi="Cambria" w:cs="Arial"/>
                <w:color w:val="000000"/>
                <w:sz w:val="18"/>
                <w:szCs w:val="18"/>
              </w:rPr>
            </w:pPr>
            <w:r>
              <w:rPr>
                <w:rFonts w:ascii="Cambria" w:hAnsi="Cambria"/>
                <w:color w:val="000000"/>
                <w:sz w:val="18"/>
              </w:rPr>
              <w:t>0</w:t>
            </w:r>
          </w:p>
        </w:tc>
      </w:tr>
      <w:tr w:rsidR="008D5971" w14:paraId="11ACDE28" w14:textId="77777777" w:rsidTr="003F166F">
        <w:trPr>
          <w:trHeight w:val="240"/>
        </w:trPr>
        <w:tc>
          <w:tcPr>
            <w:tcW w:w="2319" w:type="pct"/>
            <w:tcBorders>
              <w:top w:val="nil"/>
              <w:left w:val="nil"/>
              <w:bottom w:val="nil"/>
              <w:right w:val="nil"/>
            </w:tcBorders>
            <w:shd w:val="clear" w:color="auto" w:fill="auto"/>
            <w:noWrap/>
            <w:vAlign w:val="bottom"/>
            <w:hideMark/>
          </w:tcPr>
          <w:p w14:paraId="2FFA1168" w14:textId="77777777" w:rsidR="008D5971" w:rsidRDefault="008D5971" w:rsidP="00454EE7">
            <w:pPr>
              <w:spacing w:line="18" w:lineRule="atLeast"/>
              <w:rPr>
                <w:rFonts w:ascii="Cambria" w:hAnsi="Cambria" w:cs="Arial"/>
                <w:b/>
                <w:bCs/>
                <w:color w:val="000000"/>
                <w:sz w:val="18"/>
                <w:szCs w:val="18"/>
              </w:rPr>
            </w:pPr>
            <w:r>
              <w:rPr>
                <w:rFonts w:ascii="Cambria" w:hAnsi="Cambria"/>
                <w:b/>
                <w:color w:val="000000"/>
                <w:sz w:val="18"/>
              </w:rPr>
              <w:t>Total Dettes fiscales</w:t>
            </w:r>
          </w:p>
        </w:tc>
        <w:tc>
          <w:tcPr>
            <w:tcW w:w="892" w:type="pct"/>
            <w:tcBorders>
              <w:top w:val="single" w:sz="4" w:space="0" w:color="auto"/>
              <w:left w:val="nil"/>
              <w:bottom w:val="single" w:sz="8" w:space="0" w:color="auto"/>
              <w:right w:val="nil"/>
            </w:tcBorders>
            <w:shd w:val="clear" w:color="auto" w:fill="auto"/>
            <w:noWrap/>
            <w:vAlign w:val="bottom"/>
            <w:hideMark/>
          </w:tcPr>
          <w:p w14:paraId="277A7D61" w14:textId="77777777" w:rsidR="008D5971" w:rsidRDefault="008D5971" w:rsidP="00454EE7">
            <w:pPr>
              <w:spacing w:line="18" w:lineRule="atLeast"/>
              <w:jc w:val="right"/>
              <w:rPr>
                <w:rFonts w:ascii="Cambria" w:hAnsi="Cambria" w:cs="Arial"/>
                <w:b/>
                <w:bCs/>
                <w:color w:val="000000"/>
                <w:sz w:val="18"/>
                <w:szCs w:val="18"/>
              </w:rPr>
            </w:pPr>
            <w:r>
              <w:rPr>
                <w:rFonts w:ascii="Cambria" w:hAnsi="Cambria"/>
                <w:b/>
                <w:color w:val="000000"/>
                <w:sz w:val="18"/>
              </w:rPr>
              <w:t>5 574 586</w:t>
            </w:r>
          </w:p>
        </w:tc>
        <w:tc>
          <w:tcPr>
            <w:tcW w:w="893" w:type="pct"/>
            <w:tcBorders>
              <w:top w:val="single" w:sz="4" w:space="0" w:color="auto"/>
              <w:left w:val="nil"/>
              <w:bottom w:val="single" w:sz="8" w:space="0" w:color="auto"/>
              <w:right w:val="nil"/>
            </w:tcBorders>
            <w:shd w:val="clear" w:color="auto" w:fill="auto"/>
            <w:noWrap/>
            <w:vAlign w:val="bottom"/>
            <w:hideMark/>
          </w:tcPr>
          <w:p w14:paraId="2128A75D" w14:textId="77777777" w:rsidR="008D5971" w:rsidRDefault="008D5971" w:rsidP="00454EE7">
            <w:pPr>
              <w:spacing w:line="18" w:lineRule="atLeast"/>
              <w:jc w:val="right"/>
              <w:rPr>
                <w:rFonts w:ascii="Cambria" w:hAnsi="Cambria" w:cs="Arial"/>
                <w:b/>
                <w:bCs/>
                <w:color w:val="000000"/>
                <w:sz w:val="18"/>
                <w:szCs w:val="18"/>
              </w:rPr>
            </w:pPr>
            <w:r>
              <w:rPr>
                <w:rFonts w:ascii="Cambria" w:hAnsi="Cambria"/>
                <w:b/>
                <w:color w:val="000000"/>
                <w:sz w:val="18"/>
              </w:rPr>
              <w:t>4 635 599</w:t>
            </w:r>
          </w:p>
        </w:tc>
        <w:tc>
          <w:tcPr>
            <w:tcW w:w="896" w:type="pct"/>
            <w:tcBorders>
              <w:top w:val="single" w:sz="4" w:space="0" w:color="auto"/>
              <w:left w:val="nil"/>
              <w:bottom w:val="single" w:sz="8" w:space="0" w:color="auto"/>
              <w:right w:val="nil"/>
            </w:tcBorders>
            <w:shd w:val="clear" w:color="auto" w:fill="auto"/>
            <w:noWrap/>
            <w:vAlign w:val="bottom"/>
            <w:hideMark/>
          </w:tcPr>
          <w:p w14:paraId="2FA96C4F" w14:textId="77777777" w:rsidR="008D5971" w:rsidRDefault="008D5971" w:rsidP="00454EE7">
            <w:pPr>
              <w:spacing w:line="18" w:lineRule="atLeast"/>
              <w:jc w:val="right"/>
              <w:rPr>
                <w:rFonts w:ascii="Cambria" w:hAnsi="Cambria" w:cs="Arial"/>
                <w:b/>
                <w:bCs/>
                <w:color w:val="000000"/>
                <w:sz w:val="18"/>
                <w:szCs w:val="18"/>
              </w:rPr>
            </w:pPr>
            <w:r>
              <w:rPr>
                <w:rFonts w:ascii="Cambria" w:hAnsi="Cambria"/>
                <w:b/>
                <w:color w:val="000000"/>
                <w:sz w:val="18"/>
              </w:rPr>
              <w:t>938 987</w:t>
            </w:r>
          </w:p>
        </w:tc>
      </w:tr>
      <w:tr w:rsidR="008D5971" w14:paraId="3B421ABA" w14:textId="77777777" w:rsidTr="003F166F">
        <w:trPr>
          <w:trHeight w:val="228"/>
        </w:trPr>
        <w:tc>
          <w:tcPr>
            <w:tcW w:w="2319" w:type="pct"/>
            <w:tcBorders>
              <w:top w:val="nil"/>
              <w:left w:val="nil"/>
              <w:bottom w:val="nil"/>
              <w:right w:val="nil"/>
            </w:tcBorders>
            <w:shd w:val="clear" w:color="auto" w:fill="auto"/>
            <w:noWrap/>
            <w:vAlign w:val="bottom"/>
            <w:hideMark/>
          </w:tcPr>
          <w:p w14:paraId="2FD354A3" w14:textId="77777777" w:rsidR="008D5971" w:rsidRDefault="008D5971" w:rsidP="00454EE7">
            <w:pPr>
              <w:spacing w:line="18" w:lineRule="atLeast"/>
              <w:rPr>
                <w:rFonts w:ascii="Cambria" w:hAnsi="Cambria" w:cs="Arial"/>
                <w:i/>
                <w:iCs/>
                <w:color w:val="000000"/>
                <w:sz w:val="18"/>
                <w:szCs w:val="18"/>
              </w:rPr>
            </w:pPr>
            <w:proofErr w:type="gramStart"/>
            <w:r>
              <w:rPr>
                <w:rFonts w:ascii="Cambria" w:hAnsi="Cambria"/>
                <w:i/>
                <w:color w:val="000000"/>
                <w:sz w:val="18"/>
              </w:rPr>
              <w:t>dont</w:t>
            </w:r>
            <w:proofErr w:type="gramEnd"/>
            <w:r>
              <w:rPr>
                <w:rFonts w:ascii="Cambria" w:hAnsi="Cambria"/>
                <w:i/>
                <w:color w:val="000000"/>
                <w:sz w:val="18"/>
              </w:rPr>
              <w:t xml:space="preserve"> portion à court terme</w:t>
            </w:r>
          </w:p>
        </w:tc>
        <w:tc>
          <w:tcPr>
            <w:tcW w:w="892" w:type="pct"/>
            <w:tcBorders>
              <w:top w:val="nil"/>
              <w:left w:val="nil"/>
              <w:bottom w:val="nil"/>
              <w:right w:val="nil"/>
            </w:tcBorders>
            <w:shd w:val="clear" w:color="auto" w:fill="auto"/>
            <w:noWrap/>
            <w:vAlign w:val="bottom"/>
            <w:hideMark/>
          </w:tcPr>
          <w:p w14:paraId="5962BC38" w14:textId="77777777" w:rsidR="008D5971" w:rsidRDefault="008D5971" w:rsidP="00454EE7">
            <w:pPr>
              <w:spacing w:line="18" w:lineRule="atLeast"/>
              <w:jc w:val="right"/>
              <w:rPr>
                <w:rFonts w:ascii="Cambria" w:hAnsi="Cambria" w:cs="Arial"/>
                <w:i/>
                <w:iCs/>
                <w:color w:val="000000"/>
                <w:sz w:val="18"/>
                <w:szCs w:val="18"/>
              </w:rPr>
            </w:pPr>
            <w:r>
              <w:rPr>
                <w:rFonts w:ascii="Cambria" w:hAnsi="Cambria"/>
                <w:i/>
                <w:color w:val="000000"/>
                <w:sz w:val="18"/>
              </w:rPr>
              <w:t>4 168 909</w:t>
            </w:r>
          </w:p>
        </w:tc>
        <w:tc>
          <w:tcPr>
            <w:tcW w:w="893" w:type="pct"/>
            <w:tcBorders>
              <w:top w:val="nil"/>
              <w:left w:val="nil"/>
              <w:bottom w:val="nil"/>
              <w:right w:val="nil"/>
            </w:tcBorders>
            <w:shd w:val="clear" w:color="auto" w:fill="auto"/>
            <w:noWrap/>
            <w:vAlign w:val="bottom"/>
            <w:hideMark/>
          </w:tcPr>
          <w:p w14:paraId="3BDB835D" w14:textId="77777777" w:rsidR="008D5971" w:rsidRDefault="008D5971" w:rsidP="00454EE7">
            <w:pPr>
              <w:spacing w:line="18" w:lineRule="atLeast"/>
              <w:jc w:val="right"/>
              <w:rPr>
                <w:rFonts w:ascii="Cambria" w:hAnsi="Cambria" w:cs="Arial"/>
                <w:i/>
                <w:iCs/>
                <w:color w:val="000000"/>
                <w:sz w:val="18"/>
                <w:szCs w:val="18"/>
              </w:rPr>
            </w:pPr>
            <w:r>
              <w:rPr>
                <w:rFonts w:ascii="Cambria" w:hAnsi="Cambria"/>
                <w:i/>
                <w:color w:val="000000"/>
                <w:sz w:val="18"/>
              </w:rPr>
              <w:t>3 031 106</w:t>
            </w:r>
          </w:p>
        </w:tc>
        <w:tc>
          <w:tcPr>
            <w:tcW w:w="896" w:type="pct"/>
            <w:tcBorders>
              <w:top w:val="nil"/>
              <w:left w:val="nil"/>
              <w:bottom w:val="nil"/>
              <w:right w:val="nil"/>
            </w:tcBorders>
            <w:shd w:val="clear" w:color="auto" w:fill="auto"/>
            <w:noWrap/>
            <w:vAlign w:val="bottom"/>
            <w:hideMark/>
          </w:tcPr>
          <w:p w14:paraId="6F4B6A83" w14:textId="77777777" w:rsidR="008D5971" w:rsidRDefault="008D5971" w:rsidP="00454EE7">
            <w:pPr>
              <w:spacing w:line="18" w:lineRule="atLeast"/>
              <w:jc w:val="right"/>
              <w:rPr>
                <w:rFonts w:ascii="Cambria" w:hAnsi="Cambria" w:cs="Arial"/>
                <w:i/>
                <w:iCs/>
                <w:color w:val="000000"/>
                <w:sz w:val="18"/>
                <w:szCs w:val="18"/>
              </w:rPr>
            </w:pPr>
            <w:r>
              <w:rPr>
                <w:rFonts w:ascii="Cambria" w:hAnsi="Cambria"/>
                <w:i/>
                <w:color w:val="000000"/>
                <w:sz w:val="18"/>
              </w:rPr>
              <w:t>1 137 802</w:t>
            </w:r>
          </w:p>
        </w:tc>
      </w:tr>
      <w:tr w:rsidR="008D5971" w14:paraId="5C530EED" w14:textId="77777777" w:rsidTr="003F166F">
        <w:trPr>
          <w:trHeight w:val="228"/>
        </w:trPr>
        <w:tc>
          <w:tcPr>
            <w:tcW w:w="2319" w:type="pct"/>
            <w:tcBorders>
              <w:top w:val="nil"/>
              <w:left w:val="nil"/>
              <w:bottom w:val="nil"/>
              <w:right w:val="nil"/>
            </w:tcBorders>
            <w:shd w:val="clear" w:color="auto" w:fill="auto"/>
            <w:noWrap/>
            <w:vAlign w:val="bottom"/>
            <w:hideMark/>
          </w:tcPr>
          <w:p w14:paraId="72082437" w14:textId="77777777" w:rsidR="008D5971" w:rsidRDefault="008D5971" w:rsidP="00454EE7">
            <w:pPr>
              <w:spacing w:line="18" w:lineRule="atLeast"/>
              <w:rPr>
                <w:rFonts w:ascii="Cambria" w:hAnsi="Cambria" w:cs="Arial"/>
                <w:i/>
                <w:iCs/>
                <w:color w:val="000000"/>
                <w:sz w:val="18"/>
                <w:szCs w:val="18"/>
              </w:rPr>
            </w:pPr>
            <w:proofErr w:type="gramStart"/>
            <w:r>
              <w:rPr>
                <w:rFonts w:ascii="Cambria" w:hAnsi="Cambria"/>
                <w:i/>
                <w:color w:val="000000"/>
                <w:sz w:val="18"/>
              </w:rPr>
              <w:t>dont</w:t>
            </w:r>
            <w:proofErr w:type="gramEnd"/>
            <w:r>
              <w:rPr>
                <w:rFonts w:ascii="Cambria" w:hAnsi="Cambria"/>
                <w:i/>
                <w:color w:val="000000"/>
                <w:sz w:val="18"/>
              </w:rPr>
              <w:t xml:space="preserve"> portion à long terme</w:t>
            </w:r>
          </w:p>
        </w:tc>
        <w:tc>
          <w:tcPr>
            <w:tcW w:w="892" w:type="pct"/>
            <w:tcBorders>
              <w:top w:val="nil"/>
              <w:left w:val="nil"/>
              <w:bottom w:val="nil"/>
              <w:right w:val="nil"/>
            </w:tcBorders>
            <w:shd w:val="clear" w:color="auto" w:fill="auto"/>
            <w:noWrap/>
            <w:vAlign w:val="bottom"/>
            <w:hideMark/>
          </w:tcPr>
          <w:p w14:paraId="3D62393B" w14:textId="77777777" w:rsidR="008D5971" w:rsidRDefault="008D5971" w:rsidP="00454EE7">
            <w:pPr>
              <w:spacing w:line="18" w:lineRule="atLeast"/>
              <w:jc w:val="right"/>
              <w:rPr>
                <w:rFonts w:ascii="Cambria" w:hAnsi="Cambria" w:cs="Arial"/>
                <w:i/>
                <w:iCs/>
                <w:color w:val="000000"/>
                <w:sz w:val="18"/>
                <w:szCs w:val="18"/>
              </w:rPr>
            </w:pPr>
            <w:r>
              <w:rPr>
                <w:rFonts w:ascii="Cambria" w:hAnsi="Cambria"/>
                <w:i/>
                <w:color w:val="000000"/>
                <w:sz w:val="18"/>
              </w:rPr>
              <w:t>1 405 678</w:t>
            </w:r>
          </w:p>
        </w:tc>
        <w:tc>
          <w:tcPr>
            <w:tcW w:w="893" w:type="pct"/>
            <w:tcBorders>
              <w:top w:val="nil"/>
              <w:left w:val="nil"/>
              <w:bottom w:val="nil"/>
              <w:right w:val="nil"/>
            </w:tcBorders>
            <w:shd w:val="clear" w:color="auto" w:fill="auto"/>
            <w:noWrap/>
            <w:vAlign w:val="bottom"/>
            <w:hideMark/>
          </w:tcPr>
          <w:p w14:paraId="7C3A71F5" w14:textId="77777777" w:rsidR="008D5971" w:rsidRDefault="008D5971" w:rsidP="00454EE7">
            <w:pPr>
              <w:spacing w:line="18" w:lineRule="atLeast"/>
              <w:jc w:val="right"/>
              <w:rPr>
                <w:rFonts w:ascii="Cambria" w:hAnsi="Cambria" w:cs="Arial"/>
                <w:i/>
                <w:iCs/>
                <w:color w:val="000000"/>
                <w:sz w:val="18"/>
                <w:szCs w:val="18"/>
              </w:rPr>
            </w:pPr>
            <w:r>
              <w:rPr>
                <w:rFonts w:ascii="Cambria" w:hAnsi="Cambria"/>
                <w:i/>
                <w:color w:val="000000"/>
                <w:sz w:val="18"/>
              </w:rPr>
              <w:t>1 604 493</w:t>
            </w:r>
          </w:p>
        </w:tc>
        <w:tc>
          <w:tcPr>
            <w:tcW w:w="896" w:type="pct"/>
            <w:tcBorders>
              <w:top w:val="nil"/>
              <w:left w:val="nil"/>
              <w:bottom w:val="nil"/>
              <w:right w:val="nil"/>
            </w:tcBorders>
            <w:shd w:val="clear" w:color="auto" w:fill="auto"/>
            <w:noWrap/>
            <w:vAlign w:val="bottom"/>
            <w:hideMark/>
          </w:tcPr>
          <w:p w14:paraId="6932C8ED" w14:textId="77777777" w:rsidR="008D5971" w:rsidRDefault="008D5971" w:rsidP="00454EE7">
            <w:pPr>
              <w:spacing w:line="18" w:lineRule="atLeast"/>
              <w:jc w:val="right"/>
              <w:rPr>
                <w:rFonts w:ascii="Cambria" w:hAnsi="Cambria" w:cs="Arial"/>
                <w:i/>
                <w:iCs/>
                <w:color w:val="000000"/>
                <w:sz w:val="18"/>
                <w:szCs w:val="18"/>
              </w:rPr>
            </w:pPr>
            <w:r>
              <w:rPr>
                <w:rFonts w:ascii="Cambria" w:hAnsi="Cambria"/>
                <w:i/>
                <w:color w:val="000000"/>
                <w:sz w:val="18"/>
              </w:rPr>
              <w:t>(198 815)</w:t>
            </w:r>
          </w:p>
        </w:tc>
      </w:tr>
    </w:tbl>
    <w:p w14:paraId="041767A3" w14:textId="77777777" w:rsidR="008D5971" w:rsidRDefault="008D5971" w:rsidP="00E16D12">
      <w:pPr>
        <w:spacing w:after="200" w:line="276" w:lineRule="auto"/>
        <w:jc w:val="both"/>
        <w:rPr>
          <w:rFonts w:ascii="Cambria" w:hAnsi="Cambria"/>
          <w:sz w:val="22"/>
          <w:szCs w:val="22"/>
        </w:rPr>
      </w:pPr>
    </w:p>
    <w:p w14:paraId="41FC4B89" w14:textId="48E9F6F5" w:rsidR="00CE114A" w:rsidRDefault="00E16D12" w:rsidP="00E16D12">
      <w:pPr>
        <w:spacing w:after="200" w:line="276" w:lineRule="auto"/>
        <w:jc w:val="both"/>
        <w:rPr>
          <w:rFonts w:ascii="Cambria" w:hAnsi="Cambria"/>
          <w:sz w:val="22"/>
          <w:szCs w:val="22"/>
        </w:rPr>
      </w:pPr>
      <w:r>
        <w:rPr>
          <w:rFonts w:ascii="Cambria" w:hAnsi="Cambria"/>
          <w:sz w:val="22"/>
        </w:rPr>
        <w:t>Au 30 juin 2021, le poste se réfère principalement aux dettes de l'IRES et de l'IRAP pour respectivement 1 764 000 et 524 000 euros, en plus de la TVA (467 000 euros) et des retenues.</w:t>
      </w:r>
    </w:p>
    <w:p w14:paraId="5D6A8469" w14:textId="7FF522E7" w:rsidR="00C304C4" w:rsidRPr="00C17031" w:rsidRDefault="00C304C4" w:rsidP="00E16D12">
      <w:pPr>
        <w:spacing w:after="200" w:line="276" w:lineRule="auto"/>
        <w:jc w:val="both"/>
        <w:rPr>
          <w:rFonts w:ascii="Cambria" w:hAnsi="Cambria"/>
          <w:sz w:val="22"/>
          <w:szCs w:val="22"/>
        </w:rPr>
      </w:pPr>
      <w:r>
        <w:rPr>
          <w:rFonts w:ascii="Cambria" w:hAnsi="Cambria"/>
          <w:sz w:val="22"/>
        </w:rPr>
        <w:lastRenderedPageBreak/>
        <w:t>Il convient de noter que la dette pour le règlement fiscal, égale à 397 000 euros pour la partie due dans l'année et à 1 407 000 euros pour la partie due au-delà de l'année, concerne la dette accumulée à la suite du règlement fiscal conformément à l'article 182-ter de la loi sur la faillite, défini par Over comme faisant partie du concordat.</w:t>
      </w:r>
    </w:p>
    <w:p w14:paraId="06EAA927" w14:textId="49423DB1" w:rsidR="00E16D12" w:rsidRPr="00C17031" w:rsidRDefault="00C304C4" w:rsidP="00E67A64">
      <w:pPr>
        <w:spacing w:before="240" w:line="276" w:lineRule="auto"/>
        <w:jc w:val="both"/>
        <w:rPr>
          <w:rFonts w:ascii="Cambria" w:hAnsi="Cambria"/>
          <w:sz w:val="22"/>
          <w:szCs w:val="22"/>
        </w:rPr>
      </w:pPr>
      <w:r>
        <w:rPr>
          <w:rFonts w:ascii="Cambria" w:hAnsi="Cambria"/>
          <w:sz w:val="22"/>
        </w:rPr>
        <w:t>L'augmentation par rapport à l'exercice précédent, égale à 1 138 000 euros, est principalement due à l'augmentation de l'IRES et de la TVA à payer.</w:t>
      </w:r>
    </w:p>
    <w:p w14:paraId="73680399" w14:textId="77777777" w:rsidR="008039A9" w:rsidRPr="00C17031" w:rsidRDefault="008039A9" w:rsidP="00E16D12">
      <w:pPr>
        <w:spacing w:after="200" w:line="276" w:lineRule="auto"/>
        <w:jc w:val="both"/>
        <w:rPr>
          <w:rFonts w:ascii="Cambria" w:hAnsi="Cambria"/>
          <w:sz w:val="22"/>
          <w:szCs w:val="22"/>
        </w:rPr>
      </w:pPr>
    </w:p>
    <w:p w14:paraId="785EFAE4" w14:textId="77777777" w:rsidR="00E16D12" w:rsidRPr="00886907" w:rsidRDefault="00E16D12" w:rsidP="00E16D12">
      <w:pPr>
        <w:pStyle w:val="Titolo2"/>
        <w:numPr>
          <w:ilvl w:val="0"/>
          <w:numId w:val="6"/>
        </w:numPr>
        <w:spacing w:line="240" w:lineRule="auto"/>
        <w:ind w:left="357" w:right="0" w:hanging="357"/>
        <w:jc w:val="left"/>
        <w:rPr>
          <w:i w:val="0"/>
        </w:rPr>
      </w:pPr>
      <w:bookmarkStart w:id="154" w:name="_Toc112768686"/>
      <w:r>
        <w:rPr>
          <w:i w:val="0"/>
        </w:rPr>
        <w:t>Autres dettes et engagements à court terme</w:t>
      </w:r>
      <w:bookmarkEnd w:id="154"/>
    </w:p>
    <w:p w14:paraId="6ECBF5D6" w14:textId="77777777" w:rsidR="00E16D12" w:rsidRPr="00C17031" w:rsidRDefault="00E16D12" w:rsidP="00E16D12">
      <w:pPr>
        <w:jc w:val="both"/>
        <w:rPr>
          <w:rFonts w:ascii="Cambria" w:hAnsi="Cambria"/>
          <w:sz w:val="22"/>
          <w:szCs w:val="22"/>
        </w:rPr>
      </w:pPr>
    </w:p>
    <w:p w14:paraId="21A2FA12" w14:textId="44D39257" w:rsidR="00E16D12" w:rsidRDefault="00E16D12" w:rsidP="00E16D12">
      <w:pPr>
        <w:spacing w:after="200" w:line="276" w:lineRule="auto"/>
        <w:jc w:val="both"/>
        <w:rPr>
          <w:rFonts w:ascii="Cambria" w:hAnsi="Cambria"/>
          <w:sz w:val="22"/>
          <w:szCs w:val="22"/>
        </w:rPr>
      </w:pPr>
      <w:r>
        <w:rPr>
          <w:rFonts w:ascii="Cambria" w:hAnsi="Cambria"/>
          <w:sz w:val="22"/>
        </w:rPr>
        <w:t>La composition du poste « Autres dettes et passifs à court terme </w:t>
      </w:r>
      <w:proofErr w:type="gramStart"/>
      <w:r>
        <w:rPr>
          <w:rFonts w:ascii="Cambria" w:hAnsi="Cambria"/>
          <w:sz w:val="22"/>
        </w:rPr>
        <w:t>»  au</w:t>
      </w:r>
      <w:proofErr w:type="gramEnd"/>
      <w:r>
        <w:rPr>
          <w:rFonts w:ascii="Cambria" w:hAnsi="Cambria"/>
          <w:sz w:val="22"/>
        </w:rPr>
        <w:t xml:space="preserve"> 30 juin 2021, par rapport aux mêmes valeurs au 31 décembre 2020, est présentée ci-dessous :</w:t>
      </w:r>
    </w:p>
    <w:tbl>
      <w:tblPr>
        <w:tblW w:w="5000" w:type="pct"/>
        <w:tblCellMar>
          <w:left w:w="70" w:type="dxa"/>
          <w:right w:w="70" w:type="dxa"/>
        </w:tblCellMar>
        <w:tblLook w:val="04A0" w:firstRow="1" w:lastRow="0" w:firstColumn="1" w:lastColumn="0" w:noHBand="0" w:noVBand="1"/>
      </w:tblPr>
      <w:tblGrid>
        <w:gridCol w:w="3953"/>
        <w:gridCol w:w="1895"/>
        <w:gridCol w:w="1895"/>
        <w:gridCol w:w="1895"/>
      </w:tblGrid>
      <w:tr w:rsidR="009D2D3B" w14:paraId="7F927E55" w14:textId="77777777" w:rsidTr="009D2D3B">
        <w:trPr>
          <w:trHeight w:val="495"/>
        </w:trPr>
        <w:tc>
          <w:tcPr>
            <w:tcW w:w="2051" w:type="pct"/>
            <w:tcBorders>
              <w:top w:val="single" w:sz="4" w:space="0" w:color="0070C0"/>
              <w:left w:val="nil"/>
              <w:bottom w:val="single" w:sz="8" w:space="0" w:color="0070C0"/>
              <w:right w:val="nil"/>
            </w:tcBorders>
            <w:shd w:val="clear" w:color="auto" w:fill="auto"/>
            <w:noWrap/>
            <w:vAlign w:val="bottom"/>
            <w:hideMark/>
          </w:tcPr>
          <w:p w14:paraId="1701D552" w14:textId="77777777" w:rsidR="009D2D3B" w:rsidRDefault="009D2D3B">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983" w:type="pct"/>
            <w:tcBorders>
              <w:top w:val="single" w:sz="4" w:space="0" w:color="0070C0"/>
              <w:left w:val="nil"/>
              <w:bottom w:val="single" w:sz="8" w:space="0" w:color="0070C0"/>
              <w:right w:val="nil"/>
            </w:tcBorders>
            <w:shd w:val="clear" w:color="auto" w:fill="auto"/>
            <w:vAlign w:val="bottom"/>
            <w:hideMark/>
          </w:tcPr>
          <w:p w14:paraId="3C617AD0" w14:textId="77777777" w:rsidR="009D2D3B" w:rsidRDefault="009D2D3B">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30 juin 2021</w:t>
            </w:r>
          </w:p>
        </w:tc>
        <w:tc>
          <w:tcPr>
            <w:tcW w:w="983" w:type="pct"/>
            <w:tcBorders>
              <w:top w:val="single" w:sz="4" w:space="0" w:color="0070C0"/>
              <w:left w:val="nil"/>
              <w:bottom w:val="single" w:sz="8" w:space="0" w:color="0070C0"/>
              <w:right w:val="nil"/>
            </w:tcBorders>
            <w:shd w:val="clear" w:color="auto" w:fill="auto"/>
            <w:vAlign w:val="bottom"/>
            <w:hideMark/>
          </w:tcPr>
          <w:p w14:paraId="02B1629B" w14:textId="77777777" w:rsidR="009D2D3B" w:rsidRDefault="009D2D3B">
            <w:pPr>
              <w:jc w:val="center"/>
              <w:rPr>
                <w:rFonts w:ascii="Cambria" w:hAnsi="Cambria" w:cs="Arial"/>
                <w:b/>
                <w:bCs/>
                <w:color w:val="000000"/>
                <w:sz w:val="18"/>
                <w:szCs w:val="18"/>
              </w:rPr>
            </w:pPr>
            <w:r>
              <w:rPr>
                <w:rFonts w:ascii="Cambria" w:hAnsi="Cambria"/>
                <w:b/>
                <w:bCs/>
                <w:color w:val="000000"/>
                <w:sz w:val="18"/>
                <w:szCs w:val="18"/>
              </w:rPr>
              <w:br/>
            </w:r>
            <w:r>
              <w:rPr>
                <w:rFonts w:ascii="Cambria" w:hAnsi="Cambria"/>
                <w:b/>
                <w:color w:val="000000"/>
                <w:sz w:val="18"/>
              </w:rPr>
              <w:t>31 décembre 2020</w:t>
            </w:r>
          </w:p>
        </w:tc>
        <w:tc>
          <w:tcPr>
            <w:tcW w:w="983" w:type="pct"/>
            <w:tcBorders>
              <w:top w:val="single" w:sz="4" w:space="0" w:color="0070C0"/>
              <w:left w:val="nil"/>
              <w:bottom w:val="single" w:sz="8" w:space="0" w:color="0070C0"/>
              <w:right w:val="nil"/>
            </w:tcBorders>
            <w:shd w:val="clear" w:color="auto" w:fill="auto"/>
            <w:vAlign w:val="bottom"/>
            <w:hideMark/>
          </w:tcPr>
          <w:p w14:paraId="6A2098CA" w14:textId="77777777" w:rsidR="009D2D3B" w:rsidRDefault="009D2D3B">
            <w:pPr>
              <w:jc w:val="center"/>
              <w:rPr>
                <w:rFonts w:ascii="Cambria" w:hAnsi="Cambria" w:cs="Arial"/>
                <w:b/>
                <w:bCs/>
                <w:color w:val="000000"/>
                <w:sz w:val="18"/>
                <w:szCs w:val="18"/>
              </w:rPr>
            </w:pPr>
            <w:r>
              <w:rPr>
                <w:rFonts w:ascii="Cambria" w:hAnsi="Cambria"/>
                <w:b/>
                <w:color w:val="000000"/>
                <w:sz w:val="18"/>
              </w:rPr>
              <w:t>Variations</w:t>
            </w:r>
          </w:p>
        </w:tc>
      </w:tr>
      <w:tr w:rsidR="009D2D3B" w14:paraId="4855946C" w14:textId="77777777" w:rsidTr="009D2D3B">
        <w:trPr>
          <w:trHeight w:val="240"/>
        </w:trPr>
        <w:tc>
          <w:tcPr>
            <w:tcW w:w="2051" w:type="pct"/>
            <w:tcBorders>
              <w:top w:val="nil"/>
              <w:left w:val="nil"/>
              <w:bottom w:val="nil"/>
              <w:right w:val="nil"/>
            </w:tcBorders>
            <w:shd w:val="clear" w:color="auto" w:fill="auto"/>
            <w:noWrap/>
            <w:vAlign w:val="bottom"/>
            <w:hideMark/>
          </w:tcPr>
          <w:p w14:paraId="32058AE0" w14:textId="77777777" w:rsidR="009D2D3B" w:rsidRDefault="009D2D3B">
            <w:pPr>
              <w:rPr>
                <w:rFonts w:ascii="Cambria" w:hAnsi="Cambria" w:cs="Arial"/>
                <w:color w:val="000000"/>
                <w:sz w:val="18"/>
                <w:szCs w:val="18"/>
              </w:rPr>
            </w:pPr>
            <w:r>
              <w:rPr>
                <w:rFonts w:ascii="Cambria" w:hAnsi="Cambria"/>
                <w:color w:val="000000"/>
                <w:sz w:val="18"/>
              </w:rPr>
              <w:t>Dettes envers les institutions de sécurité sociale</w:t>
            </w:r>
          </w:p>
        </w:tc>
        <w:tc>
          <w:tcPr>
            <w:tcW w:w="983" w:type="pct"/>
            <w:tcBorders>
              <w:top w:val="nil"/>
              <w:left w:val="nil"/>
              <w:bottom w:val="nil"/>
              <w:right w:val="nil"/>
            </w:tcBorders>
            <w:shd w:val="clear" w:color="auto" w:fill="auto"/>
            <w:noWrap/>
            <w:vAlign w:val="bottom"/>
            <w:hideMark/>
          </w:tcPr>
          <w:p w14:paraId="19AD80EE" w14:textId="77777777" w:rsidR="009D2D3B" w:rsidRDefault="009D2D3B">
            <w:pPr>
              <w:jc w:val="right"/>
              <w:rPr>
                <w:rFonts w:ascii="Cambria" w:hAnsi="Cambria" w:cs="Arial"/>
                <w:color w:val="000000"/>
                <w:sz w:val="18"/>
                <w:szCs w:val="18"/>
              </w:rPr>
            </w:pPr>
            <w:r>
              <w:rPr>
                <w:rFonts w:ascii="Cambria" w:hAnsi="Cambria"/>
                <w:color w:val="000000"/>
                <w:sz w:val="18"/>
              </w:rPr>
              <w:t>84 846</w:t>
            </w:r>
          </w:p>
        </w:tc>
        <w:tc>
          <w:tcPr>
            <w:tcW w:w="983" w:type="pct"/>
            <w:tcBorders>
              <w:top w:val="nil"/>
              <w:left w:val="nil"/>
              <w:bottom w:val="nil"/>
              <w:right w:val="nil"/>
            </w:tcBorders>
            <w:shd w:val="clear" w:color="auto" w:fill="auto"/>
            <w:noWrap/>
            <w:vAlign w:val="bottom"/>
            <w:hideMark/>
          </w:tcPr>
          <w:p w14:paraId="3037DDDD" w14:textId="77777777" w:rsidR="009D2D3B" w:rsidRDefault="009D2D3B">
            <w:pPr>
              <w:jc w:val="right"/>
              <w:rPr>
                <w:rFonts w:ascii="Cambria" w:hAnsi="Cambria" w:cs="Arial"/>
                <w:color w:val="000000"/>
                <w:sz w:val="18"/>
                <w:szCs w:val="18"/>
              </w:rPr>
            </w:pPr>
            <w:r>
              <w:rPr>
                <w:rFonts w:ascii="Cambria" w:hAnsi="Cambria"/>
                <w:color w:val="000000"/>
                <w:sz w:val="18"/>
              </w:rPr>
              <w:t>78 037</w:t>
            </w:r>
          </w:p>
        </w:tc>
        <w:tc>
          <w:tcPr>
            <w:tcW w:w="983" w:type="pct"/>
            <w:tcBorders>
              <w:top w:val="nil"/>
              <w:left w:val="nil"/>
              <w:bottom w:val="nil"/>
              <w:right w:val="nil"/>
            </w:tcBorders>
            <w:shd w:val="clear" w:color="auto" w:fill="auto"/>
            <w:noWrap/>
            <w:vAlign w:val="bottom"/>
            <w:hideMark/>
          </w:tcPr>
          <w:p w14:paraId="6A4731FD" w14:textId="77777777" w:rsidR="009D2D3B" w:rsidRDefault="009D2D3B">
            <w:pPr>
              <w:jc w:val="right"/>
              <w:rPr>
                <w:rFonts w:ascii="Cambria" w:hAnsi="Cambria" w:cs="Arial"/>
                <w:color w:val="000000"/>
                <w:sz w:val="18"/>
                <w:szCs w:val="18"/>
              </w:rPr>
            </w:pPr>
            <w:r>
              <w:rPr>
                <w:rFonts w:ascii="Cambria" w:hAnsi="Cambria"/>
                <w:color w:val="000000"/>
                <w:sz w:val="18"/>
              </w:rPr>
              <w:t>6 809</w:t>
            </w:r>
          </w:p>
        </w:tc>
      </w:tr>
      <w:tr w:rsidR="009D2D3B" w14:paraId="72F5F2E2" w14:textId="77777777" w:rsidTr="009D2D3B">
        <w:trPr>
          <w:trHeight w:val="240"/>
        </w:trPr>
        <w:tc>
          <w:tcPr>
            <w:tcW w:w="2051" w:type="pct"/>
            <w:tcBorders>
              <w:top w:val="nil"/>
              <w:left w:val="nil"/>
              <w:bottom w:val="nil"/>
              <w:right w:val="nil"/>
            </w:tcBorders>
            <w:shd w:val="clear" w:color="auto" w:fill="auto"/>
            <w:noWrap/>
            <w:vAlign w:val="bottom"/>
            <w:hideMark/>
          </w:tcPr>
          <w:p w14:paraId="0482F291" w14:textId="77777777" w:rsidR="009D2D3B" w:rsidRDefault="009D2D3B">
            <w:pPr>
              <w:rPr>
                <w:rFonts w:ascii="Cambria" w:hAnsi="Cambria" w:cs="Arial"/>
                <w:color w:val="000000"/>
                <w:sz w:val="18"/>
                <w:szCs w:val="18"/>
              </w:rPr>
            </w:pPr>
            <w:r>
              <w:rPr>
                <w:rFonts w:ascii="Cambria" w:hAnsi="Cambria"/>
                <w:color w:val="000000"/>
                <w:sz w:val="18"/>
              </w:rPr>
              <w:t>Dettes envers les salariés</w:t>
            </w:r>
          </w:p>
        </w:tc>
        <w:tc>
          <w:tcPr>
            <w:tcW w:w="983" w:type="pct"/>
            <w:tcBorders>
              <w:top w:val="nil"/>
              <w:left w:val="nil"/>
              <w:bottom w:val="nil"/>
              <w:right w:val="nil"/>
            </w:tcBorders>
            <w:shd w:val="clear" w:color="auto" w:fill="auto"/>
            <w:noWrap/>
            <w:vAlign w:val="bottom"/>
            <w:hideMark/>
          </w:tcPr>
          <w:p w14:paraId="2EA06664" w14:textId="77777777" w:rsidR="009D2D3B" w:rsidRDefault="009D2D3B">
            <w:pPr>
              <w:jc w:val="right"/>
              <w:rPr>
                <w:rFonts w:ascii="Cambria" w:hAnsi="Cambria" w:cs="Arial"/>
                <w:color w:val="000000"/>
                <w:sz w:val="18"/>
                <w:szCs w:val="18"/>
              </w:rPr>
            </w:pPr>
            <w:r>
              <w:rPr>
                <w:rFonts w:ascii="Cambria" w:hAnsi="Cambria"/>
                <w:color w:val="000000"/>
                <w:sz w:val="18"/>
              </w:rPr>
              <w:t>327 436</w:t>
            </w:r>
          </w:p>
        </w:tc>
        <w:tc>
          <w:tcPr>
            <w:tcW w:w="983" w:type="pct"/>
            <w:tcBorders>
              <w:top w:val="nil"/>
              <w:left w:val="nil"/>
              <w:bottom w:val="nil"/>
              <w:right w:val="nil"/>
            </w:tcBorders>
            <w:shd w:val="clear" w:color="auto" w:fill="auto"/>
            <w:noWrap/>
            <w:vAlign w:val="bottom"/>
            <w:hideMark/>
          </w:tcPr>
          <w:p w14:paraId="5A84C944" w14:textId="77777777" w:rsidR="009D2D3B" w:rsidRDefault="009D2D3B">
            <w:pPr>
              <w:jc w:val="right"/>
              <w:rPr>
                <w:rFonts w:ascii="Cambria" w:hAnsi="Cambria" w:cs="Arial"/>
                <w:color w:val="000000"/>
                <w:sz w:val="18"/>
                <w:szCs w:val="18"/>
              </w:rPr>
            </w:pPr>
            <w:r>
              <w:rPr>
                <w:rFonts w:ascii="Cambria" w:hAnsi="Cambria"/>
                <w:color w:val="000000"/>
                <w:sz w:val="18"/>
              </w:rPr>
              <w:t>373 693</w:t>
            </w:r>
          </w:p>
        </w:tc>
        <w:tc>
          <w:tcPr>
            <w:tcW w:w="983" w:type="pct"/>
            <w:tcBorders>
              <w:top w:val="nil"/>
              <w:left w:val="nil"/>
              <w:bottom w:val="nil"/>
              <w:right w:val="nil"/>
            </w:tcBorders>
            <w:shd w:val="clear" w:color="auto" w:fill="auto"/>
            <w:noWrap/>
            <w:vAlign w:val="bottom"/>
            <w:hideMark/>
          </w:tcPr>
          <w:p w14:paraId="332A25B9" w14:textId="77777777" w:rsidR="009D2D3B" w:rsidRDefault="009D2D3B">
            <w:pPr>
              <w:jc w:val="right"/>
              <w:rPr>
                <w:rFonts w:ascii="Cambria" w:hAnsi="Cambria" w:cs="Arial"/>
                <w:color w:val="000000"/>
                <w:sz w:val="18"/>
                <w:szCs w:val="18"/>
              </w:rPr>
            </w:pPr>
            <w:r>
              <w:rPr>
                <w:rFonts w:ascii="Cambria" w:hAnsi="Cambria"/>
                <w:color w:val="000000"/>
                <w:sz w:val="18"/>
              </w:rPr>
              <w:t>(46 257)</w:t>
            </w:r>
          </w:p>
        </w:tc>
      </w:tr>
      <w:tr w:rsidR="009D2D3B" w14:paraId="0210FABF" w14:textId="77777777" w:rsidTr="009D2D3B">
        <w:trPr>
          <w:trHeight w:val="240"/>
        </w:trPr>
        <w:tc>
          <w:tcPr>
            <w:tcW w:w="2051" w:type="pct"/>
            <w:tcBorders>
              <w:top w:val="nil"/>
              <w:left w:val="nil"/>
              <w:bottom w:val="nil"/>
              <w:right w:val="nil"/>
            </w:tcBorders>
            <w:shd w:val="clear" w:color="auto" w:fill="auto"/>
            <w:noWrap/>
            <w:vAlign w:val="bottom"/>
            <w:hideMark/>
          </w:tcPr>
          <w:p w14:paraId="6073CFA5" w14:textId="77777777" w:rsidR="009D2D3B" w:rsidRDefault="009D2D3B">
            <w:pPr>
              <w:rPr>
                <w:rFonts w:ascii="Cambria" w:hAnsi="Cambria" w:cs="Arial"/>
                <w:color w:val="000000"/>
                <w:sz w:val="18"/>
                <w:szCs w:val="18"/>
              </w:rPr>
            </w:pPr>
            <w:r>
              <w:rPr>
                <w:rFonts w:ascii="Cambria" w:hAnsi="Cambria"/>
                <w:color w:val="000000"/>
                <w:sz w:val="18"/>
              </w:rPr>
              <w:t>Dettes envers la société-mère</w:t>
            </w:r>
          </w:p>
        </w:tc>
        <w:tc>
          <w:tcPr>
            <w:tcW w:w="983" w:type="pct"/>
            <w:tcBorders>
              <w:top w:val="nil"/>
              <w:left w:val="nil"/>
              <w:bottom w:val="nil"/>
              <w:right w:val="nil"/>
            </w:tcBorders>
            <w:shd w:val="clear" w:color="auto" w:fill="auto"/>
            <w:noWrap/>
            <w:vAlign w:val="bottom"/>
            <w:hideMark/>
          </w:tcPr>
          <w:p w14:paraId="55F1DD68" w14:textId="77777777" w:rsidR="009D2D3B" w:rsidRDefault="009D2D3B">
            <w:pPr>
              <w:jc w:val="right"/>
              <w:rPr>
                <w:rFonts w:ascii="Cambria" w:hAnsi="Cambria" w:cs="Arial"/>
                <w:color w:val="000000"/>
                <w:sz w:val="18"/>
                <w:szCs w:val="18"/>
              </w:rPr>
            </w:pPr>
            <w:r>
              <w:rPr>
                <w:rFonts w:ascii="Cambria" w:hAnsi="Cambria"/>
                <w:color w:val="000000"/>
                <w:sz w:val="18"/>
              </w:rPr>
              <w:t>2 700 000</w:t>
            </w:r>
          </w:p>
        </w:tc>
        <w:tc>
          <w:tcPr>
            <w:tcW w:w="983" w:type="pct"/>
            <w:tcBorders>
              <w:top w:val="nil"/>
              <w:left w:val="nil"/>
              <w:bottom w:val="nil"/>
              <w:right w:val="nil"/>
            </w:tcBorders>
            <w:shd w:val="clear" w:color="auto" w:fill="auto"/>
            <w:noWrap/>
            <w:vAlign w:val="bottom"/>
            <w:hideMark/>
          </w:tcPr>
          <w:p w14:paraId="3AC7D146" w14:textId="77777777" w:rsidR="009D2D3B" w:rsidRDefault="009D2D3B">
            <w:pPr>
              <w:jc w:val="right"/>
              <w:rPr>
                <w:rFonts w:ascii="Cambria" w:hAnsi="Cambria" w:cs="Arial"/>
                <w:color w:val="000000"/>
                <w:sz w:val="18"/>
                <w:szCs w:val="18"/>
              </w:rPr>
            </w:pPr>
            <w:r>
              <w:rPr>
                <w:rFonts w:ascii="Cambria" w:hAnsi="Cambria"/>
                <w:color w:val="000000"/>
                <w:sz w:val="18"/>
              </w:rPr>
              <w:t>1 000 000</w:t>
            </w:r>
          </w:p>
        </w:tc>
        <w:tc>
          <w:tcPr>
            <w:tcW w:w="983" w:type="pct"/>
            <w:tcBorders>
              <w:top w:val="nil"/>
              <w:left w:val="nil"/>
              <w:bottom w:val="nil"/>
              <w:right w:val="nil"/>
            </w:tcBorders>
            <w:shd w:val="clear" w:color="auto" w:fill="auto"/>
            <w:noWrap/>
            <w:vAlign w:val="bottom"/>
            <w:hideMark/>
          </w:tcPr>
          <w:p w14:paraId="1EB432E3" w14:textId="77777777" w:rsidR="009D2D3B" w:rsidRDefault="009D2D3B">
            <w:pPr>
              <w:jc w:val="right"/>
              <w:rPr>
                <w:rFonts w:ascii="Cambria" w:hAnsi="Cambria" w:cs="Arial"/>
                <w:color w:val="000000"/>
                <w:sz w:val="18"/>
                <w:szCs w:val="18"/>
              </w:rPr>
            </w:pPr>
            <w:r>
              <w:rPr>
                <w:rFonts w:ascii="Cambria" w:hAnsi="Cambria"/>
                <w:color w:val="000000"/>
                <w:sz w:val="18"/>
              </w:rPr>
              <w:t>1 700 000</w:t>
            </w:r>
          </w:p>
        </w:tc>
      </w:tr>
      <w:tr w:rsidR="009D2D3B" w14:paraId="4A619B95" w14:textId="77777777" w:rsidTr="009D2D3B">
        <w:trPr>
          <w:trHeight w:val="240"/>
        </w:trPr>
        <w:tc>
          <w:tcPr>
            <w:tcW w:w="2051" w:type="pct"/>
            <w:tcBorders>
              <w:top w:val="nil"/>
              <w:left w:val="nil"/>
              <w:bottom w:val="nil"/>
              <w:right w:val="nil"/>
            </w:tcBorders>
            <w:shd w:val="clear" w:color="auto" w:fill="auto"/>
            <w:noWrap/>
            <w:vAlign w:val="bottom"/>
            <w:hideMark/>
          </w:tcPr>
          <w:p w14:paraId="6070216A" w14:textId="77777777" w:rsidR="009D2D3B" w:rsidRDefault="009D2D3B">
            <w:pPr>
              <w:rPr>
                <w:rFonts w:ascii="Cambria" w:hAnsi="Cambria" w:cs="Arial"/>
                <w:color w:val="000000"/>
                <w:sz w:val="18"/>
                <w:szCs w:val="18"/>
              </w:rPr>
            </w:pPr>
            <w:r>
              <w:rPr>
                <w:rFonts w:ascii="Cambria" w:hAnsi="Cambria"/>
                <w:color w:val="000000"/>
                <w:sz w:val="18"/>
              </w:rPr>
              <w:t>Comptes de régularisation passif</w:t>
            </w:r>
          </w:p>
        </w:tc>
        <w:tc>
          <w:tcPr>
            <w:tcW w:w="983" w:type="pct"/>
            <w:tcBorders>
              <w:top w:val="nil"/>
              <w:left w:val="nil"/>
              <w:bottom w:val="nil"/>
              <w:right w:val="nil"/>
            </w:tcBorders>
            <w:shd w:val="clear" w:color="auto" w:fill="auto"/>
            <w:noWrap/>
            <w:vAlign w:val="bottom"/>
            <w:hideMark/>
          </w:tcPr>
          <w:p w14:paraId="48BEC9E8" w14:textId="77777777" w:rsidR="009D2D3B" w:rsidRDefault="009D2D3B">
            <w:pPr>
              <w:jc w:val="right"/>
              <w:rPr>
                <w:rFonts w:ascii="Cambria" w:hAnsi="Cambria" w:cs="Arial"/>
                <w:color w:val="000000"/>
                <w:sz w:val="18"/>
                <w:szCs w:val="18"/>
              </w:rPr>
            </w:pPr>
            <w:r>
              <w:rPr>
                <w:rFonts w:ascii="Cambria" w:hAnsi="Cambria"/>
                <w:color w:val="000000"/>
                <w:sz w:val="18"/>
              </w:rPr>
              <w:t>219 136</w:t>
            </w:r>
          </w:p>
        </w:tc>
        <w:tc>
          <w:tcPr>
            <w:tcW w:w="983" w:type="pct"/>
            <w:tcBorders>
              <w:top w:val="nil"/>
              <w:left w:val="nil"/>
              <w:bottom w:val="nil"/>
              <w:right w:val="nil"/>
            </w:tcBorders>
            <w:shd w:val="clear" w:color="auto" w:fill="auto"/>
            <w:noWrap/>
            <w:vAlign w:val="bottom"/>
            <w:hideMark/>
          </w:tcPr>
          <w:p w14:paraId="5A54B76D" w14:textId="77777777" w:rsidR="009D2D3B" w:rsidRDefault="009D2D3B">
            <w:pPr>
              <w:jc w:val="right"/>
              <w:rPr>
                <w:rFonts w:ascii="Cambria" w:hAnsi="Cambria" w:cs="Arial"/>
                <w:color w:val="000000"/>
                <w:sz w:val="18"/>
                <w:szCs w:val="18"/>
              </w:rPr>
            </w:pPr>
            <w:r>
              <w:rPr>
                <w:rFonts w:ascii="Cambria" w:hAnsi="Cambria"/>
                <w:color w:val="000000"/>
                <w:sz w:val="18"/>
              </w:rPr>
              <w:t>20 171</w:t>
            </w:r>
          </w:p>
        </w:tc>
        <w:tc>
          <w:tcPr>
            <w:tcW w:w="983" w:type="pct"/>
            <w:tcBorders>
              <w:top w:val="nil"/>
              <w:left w:val="nil"/>
              <w:bottom w:val="nil"/>
              <w:right w:val="nil"/>
            </w:tcBorders>
            <w:shd w:val="clear" w:color="auto" w:fill="auto"/>
            <w:noWrap/>
            <w:vAlign w:val="bottom"/>
            <w:hideMark/>
          </w:tcPr>
          <w:p w14:paraId="7F0DAAE2" w14:textId="77777777" w:rsidR="009D2D3B" w:rsidRDefault="009D2D3B">
            <w:pPr>
              <w:jc w:val="right"/>
              <w:rPr>
                <w:rFonts w:ascii="Cambria" w:hAnsi="Cambria" w:cs="Arial"/>
                <w:color w:val="000000"/>
                <w:sz w:val="18"/>
                <w:szCs w:val="18"/>
              </w:rPr>
            </w:pPr>
            <w:r>
              <w:rPr>
                <w:rFonts w:ascii="Cambria" w:hAnsi="Cambria"/>
                <w:color w:val="000000"/>
                <w:sz w:val="18"/>
              </w:rPr>
              <w:t>198 965</w:t>
            </w:r>
          </w:p>
        </w:tc>
      </w:tr>
      <w:tr w:rsidR="009D2D3B" w14:paraId="5D502E1C" w14:textId="77777777" w:rsidTr="009D2D3B">
        <w:trPr>
          <w:trHeight w:val="255"/>
        </w:trPr>
        <w:tc>
          <w:tcPr>
            <w:tcW w:w="2051" w:type="pct"/>
            <w:tcBorders>
              <w:top w:val="nil"/>
              <w:left w:val="nil"/>
              <w:bottom w:val="nil"/>
              <w:right w:val="nil"/>
            </w:tcBorders>
            <w:shd w:val="clear" w:color="auto" w:fill="auto"/>
            <w:noWrap/>
            <w:vAlign w:val="bottom"/>
            <w:hideMark/>
          </w:tcPr>
          <w:p w14:paraId="1D9A8A28" w14:textId="77777777" w:rsidR="009D2D3B" w:rsidRDefault="009D2D3B">
            <w:pPr>
              <w:rPr>
                <w:rFonts w:ascii="Cambria" w:hAnsi="Cambria" w:cs="Arial"/>
                <w:b/>
                <w:bCs/>
                <w:color w:val="000000"/>
                <w:sz w:val="18"/>
                <w:szCs w:val="18"/>
              </w:rPr>
            </w:pPr>
            <w:r>
              <w:rPr>
                <w:rFonts w:ascii="Cambria" w:hAnsi="Cambria"/>
                <w:b/>
                <w:color w:val="000000"/>
                <w:sz w:val="18"/>
              </w:rPr>
              <w:t>Total Autres dettes et passifs à court terme</w:t>
            </w:r>
          </w:p>
        </w:tc>
        <w:tc>
          <w:tcPr>
            <w:tcW w:w="983" w:type="pct"/>
            <w:tcBorders>
              <w:top w:val="single" w:sz="4" w:space="0" w:color="auto"/>
              <w:left w:val="nil"/>
              <w:bottom w:val="single" w:sz="8" w:space="0" w:color="auto"/>
              <w:right w:val="nil"/>
            </w:tcBorders>
            <w:shd w:val="clear" w:color="auto" w:fill="auto"/>
            <w:noWrap/>
            <w:vAlign w:val="bottom"/>
            <w:hideMark/>
          </w:tcPr>
          <w:p w14:paraId="4CB2F101" w14:textId="77777777" w:rsidR="009D2D3B" w:rsidRDefault="009D2D3B">
            <w:pPr>
              <w:jc w:val="right"/>
              <w:rPr>
                <w:rFonts w:ascii="Cambria" w:hAnsi="Cambria" w:cs="Arial"/>
                <w:b/>
                <w:bCs/>
                <w:color w:val="000000"/>
                <w:sz w:val="18"/>
                <w:szCs w:val="18"/>
              </w:rPr>
            </w:pPr>
            <w:r>
              <w:rPr>
                <w:rFonts w:ascii="Cambria" w:hAnsi="Cambria"/>
                <w:b/>
                <w:color w:val="000000"/>
                <w:sz w:val="18"/>
              </w:rPr>
              <w:t>3 331 419</w:t>
            </w:r>
          </w:p>
        </w:tc>
        <w:tc>
          <w:tcPr>
            <w:tcW w:w="983" w:type="pct"/>
            <w:tcBorders>
              <w:top w:val="single" w:sz="4" w:space="0" w:color="auto"/>
              <w:left w:val="nil"/>
              <w:bottom w:val="single" w:sz="8" w:space="0" w:color="auto"/>
              <w:right w:val="nil"/>
            </w:tcBorders>
            <w:shd w:val="clear" w:color="auto" w:fill="auto"/>
            <w:noWrap/>
            <w:vAlign w:val="bottom"/>
            <w:hideMark/>
          </w:tcPr>
          <w:p w14:paraId="07D4905A" w14:textId="77777777" w:rsidR="009D2D3B" w:rsidRDefault="009D2D3B">
            <w:pPr>
              <w:jc w:val="right"/>
              <w:rPr>
                <w:rFonts w:ascii="Cambria" w:hAnsi="Cambria" w:cs="Arial"/>
                <w:b/>
                <w:bCs/>
                <w:color w:val="000000"/>
                <w:sz w:val="18"/>
                <w:szCs w:val="18"/>
              </w:rPr>
            </w:pPr>
            <w:r>
              <w:rPr>
                <w:rFonts w:ascii="Cambria" w:hAnsi="Cambria"/>
                <w:b/>
                <w:color w:val="000000"/>
                <w:sz w:val="18"/>
              </w:rPr>
              <w:t>1 471 901</w:t>
            </w:r>
          </w:p>
        </w:tc>
        <w:tc>
          <w:tcPr>
            <w:tcW w:w="983" w:type="pct"/>
            <w:tcBorders>
              <w:top w:val="single" w:sz="4" w:space="0" w:color="auto"/>
              <w:left w:val="nil"/>
              <w:bottom w:val="single" w:sz="8" w:space="0" w:color="auto"/>
              <w:right w:val="nil"/>
            </w:tcBorders>
            <w:shd w:val="clear" w:color="auto" w:fill="auto"/>
            <w:noWrap/>
            <w:vAlign w:val="bottom"/>
            <w:hideMark/>
          </w:tcPr>
          <w:p w14:paraId="00B29023" w14:textId="77777777" w:rsidR="009D2D3B" w:rsidRDefault="009D2D3B">
            <w:pPr>
              <w:jc w:val="right"/>
              <w:rPr>
                <w:rFonts w:ascii="Cambria" w:hAnsi="Cambria" w:cs="Arial"/>
                <w:b/>
                <w:bCs/>
                <w:color w:val="000000"/>
                <w:sz w:val="18"/>
                <w:szCs w:val="18"/>
              </w:rPr>
            </w:pPr>
            <w:r>
              <w:rPr>
                <w:rFonts w:ascii="Cambria" w:hAnsi="Cambria"/>
                <w:b/>
                <w:color w:val="000000"/>
                <w:sz w:val="18"/>
              </w:rPr>
              <w:t>1 859 518</w:t>
            </w:r>
          </w:p>
        </w:tc>
      </w:tr>
    </w:tbl>
    <w:p w14:paraId="19C6BEE7" w14:textId="454F21DC" w:rsidR="00F25944" w:rsidRDefault="00F25944" w:rsidP="00E16D12">
      <w:pPr>
        <w:spacing w:after="200" w:line="276" w:lineRule="auto"/>
        <w:jc w:val="both"/>
        <w:rPr>
          <w:rFonts w:ascii="Cambria" w:hAnsi="Cambria"/>
          <w:sz w:val="22"/>
          <w:szCs w:val="22"/>
        </w:rPr>
      </w:pPr>
    </w:p>
    <w:p w14:paraId="7333B828" w14:textId="4EDC619F" w:rsidR="000E31D7" w:rsidRPr="00C17031" w:rsidRDefault="00E67A64" w:rsidP="00E16D12">
      <w:pPr>
        <w:spacing w:after="200" w:line="276" w:lineRule="auto"/>
        <w:jc w:val="both"/>
        <w:rPr>
          <w:rFonts w:ascii="Cambria" w:hAnsi="Cambria"/>
          <w:sz w:val="22"/>
          <w:szCs w:val="22"/>
        </w:rPr>
      </w:pPr>
      <w:r>
        <w:rPr>
          <w:rFonts w:ascii="Cambria" w:hAnsi="Cambria"/>
          <w:sz w:val="22"/>
        </w:rPr>
        <w:t xml:space="preserve">Au 30 juin 2021, le poste comprend principalement les dettes envers les organismes de sécurité sociale pour 84 000 euros, les dettes pour rémunération envers les employés pour 327 000 euros, les dettes envers la société </w:t>
      </w:r>
      <w:r w:rsidR="00DC792B">
        <w:rPr>
          <w:rFonts w:ascii="Cambria" w:hAnsi="Cambria"/>
          <w:sz w:val="22"/>
        </w:rPr>
        <w:t>mère,</w:t>
      </w:r>
      <w:r>
        <w:rPr>
          <w:rFonts w:ascii="Cambria" w:hAnsi="Cambria"/>
          <w:sz w:val="22"/>
        </w:rPr>
        <w:t xml:space="preserve"> Summit S.r.l. pour les dividendes à payer pour 2 700 milliers d'euros, et les charges à payer et produits différés pour 219 000 euros.</w:t>
      </w:r>
    </w:p>
    <w:p w14:paraId="222CD1F1" w14:textId="6CA4A098" w:rsidR="00716E34" w:rsidRPr="00C17031" w:rsidRDefault="00A71323" w:rsidP="00E16D12">
      <w:pPr>
        <w:spacing w:after="200" w:line="276" w:lineRule="auto"/>
        <w:jc w:val="both"/>
        <w:rPr>
          <w:rFonts w:ascii="Cambria" w:hAnsi="Cambria"/>
          <w:sz w:val="22"/>
          <w:szCs w:val="22"/>
        </w:rPr>
      </w:pPr>
      <w:r>
        <w:rPr>
          <w:rFonts w:ascii="Cambria" w:hAnsi="Cambria"/>
          <w:sz w:val="22"/>
        </w:rPr>
        <w:t xml:space="preserve">L'augmentation par rapport à l'année précédente est principalement due à la dette envers la société mère Summit S.r.l, </w:t>
      </w:r>
      <w:proofErr w:type="gramStart"/>
      <w:r>
        <w:rPr>
          <w:rFonts w:ascii="Cambria" w:hAnsi="Cambria"/>
          <w:sz w:val="22"/>
        </w:rPr>
        <w:t>suite à</w:t>
      </w:r>
      <w:proofErr w:type="gramEnd"/>
      <w:r>
        <w:rPr>
          <w:rFonts w:ascii="Cambria" w:hAnsi="Cambria"/>
          <w:sz w:val="22"/>
        </w:rPr>
        <w:t xml:space="preserve"> la résolution pour la distribution de dividendes. En particulier, au cours de la période, 2 800 000 euros ont été versés à titre de dividendes, dont 1 000 000 euros déjà enregistrés au 31 décembre 2020 et, pour 1 800 000 euros, dans le cadre des 4 500 000 euros approuvés en 2021.</w:t>
      </w:r>
    </w:p>
    <w:p w14:paraId="2C7EC452" w14:textId="77777777" w:rsidR="008A17D6" w:rsidRPr="00C17031" w:rsidRDefault="008A17D6" w:rsidP="00E16D12">
      <w:pPr>
        <w:spacing w:after="200" w:line="276" w:lineRule="auto"/>
        <w:jc w:val="both"/>
        <w:rPr>
          <w:rFonts w:ascii="Cambria" w:hAnsi="Cambria"/>
          <w:sz w:val="22"/>
          <w:szCs w:val="22"/>
        </w:rPr>
      </w:pPr>
    </w:p>
    <w:p w14:paraId="163E595B" w14:textId="77777777" w:rsidR="00E16D12" w:rsidRPr="00C17031" w:rsidRDefault="00E16D12" w:rsidP="00E16D12">
      <w:pPr>
        <w:spacing w:after="200" w:line="276" w:lineRule="auto"/>
        <w:jc w:val="both"/>
        <w:rPr>
          <w:rFonts w:ascii="Cambria" w:hAnsi="Cambria"/>
          <w:b/>
          <w:sz w:val="28"/>
          <w:szCs w:val="22"/>
        </w:rPr>
      </w:pPr>
      <w:r>
        <w:rPr>
          <w:rFonts w:ascii="Cambria" w:hAnsi="Cambria"/>
          <w:b/>
          <w:sz w:val="28"/>
        </w:rPr>
        <w:t>COMPTE DE RÉSULTAT</w:t>
      </w:r>
    </w:p>
    <w:p w14:paraId="70F6AA2F" w14:textId="77777777" w:rsidR="00E16D12" w:rsidRPr="003069F2" w:rsidRDefault="00B2745E" w:rsidP="00B17D70">
      <w:pPr>
        <w:pStyle w:val="Titolo2"/>
        <w:numPr>
          <w:ilvl w:val="0"/>
          <w:numId w:val="6"/>
        </w:numPr>
        <w:spacing w:line="240" w:lineRule="auto"/>
        <w:ind w:left="357" w:right="0" w:hanging="357"/>
        <w:jc w:val="left"/>
        <w:rPr>
          <w:i w:val="0"/>
        </w:rPr>
      </w:pPr>
      <w:bookmarkStart w:id="155" w:name="_Toc112768687"/>
      <w:r>
        <w:rPr>
          <w:i w:val="0"/>
        </w:rPr>
        <w:t>Revenus des contrats avec les clients</w:t>
      </w:r>
      <w:bookmarkEnd w:id="155"/>
    </w:p>
    <w:p w14:paraId="0CEBBA23" w14:textId="77777777" w:rsidR="004975B7" w:rsidRDefault="004975B7" w:rsidP="0061181E">
      <w:pPr>
        <w:spacing w:line="276" w:lineRule="auto"/>
        <w:jc w:val="both"/>
        <w:rPr>
          <w:rFonts w:ascii="Cambria" w:hAnsi="Cambria"/>
          <w:sz w:val="22"/>
          <w:szCs w:val="22"/>
        </w:rPr>
      </w:pPr>
    </w:p>
    <w:p w14:paraId="41EBBAC5" w14:textId="69424B2A" w:rsidR="00E16D12" w:rsidRDefault="00E16D12" w:rsidP="00E16D12">
      <w:pPr>
        <w:spacing w:after="200" w:line="276" w:lineRule="auto"/>
        <w:jc w:val="both"/>
        <w:rPr>
          <w:rFonts w:ascii="Cambria" w:hAnsi="Cambria"/>
          <w:sz w:val="22"/>
          <w:szCs w:val="22"/>
        </w:rPr>
      </w:pPr>
      <w:r>
        <w:rPr>
          <w:rFonts w:ascii="Cambria" w:hAnsi="Cambria"/>
          <w:sz w:val="22"/>
        </w:rPr>
        <w:t xml:space="preserve">La ventilation du poste « Revenus des contrats avec les </w:t>
      </w:r>
      <w:r w:rsidR="00DC792B">
        <w:rPr>
          <w:rFonts w:ascii="Cambria" w:hAnsi="Cambria"/>
          <w:sz w:val="22"/>
        </w:rPr>
        <w:t>clients »</w:t>
      </w:r>
      <w:r>
        <w:rPr>
          <w:rFonts w:ascii="Cambria" w:hAnsi="Cambria"/>
          <w:sz w:val="22"/>
        </w:rPr>
        <w:t xml:space="preserve"> pour la période du 1er janvier au 30 juin 2021, par rapport aux mêmes valeurs pour la période du 1er janvier au 30 juin 2020, est présentée ci-dessous :</w:t>
      </w:r>
    </w:p>
    <w:tbl>
      <w:tblPr>
        <w:tblW w:w="5000" w:type="pct"/>
        <w:tblCellMar>
          <w:left w:w="70" w:type="dxa"/>
          <w:right w:w="70" w:type="dxa"/>
        </w:tblCellMar>
        <w:tblLook w:val="04A0" w:firstRow="1" w:lastRow="0" w:firstColumn="1" w:lastColumn="0" w:noHBand="0" w:noVBand="1"/>
      </w:tblPr>
      <w:tblGrid>
        <w:gridCol w:w="3981"/>
        <w:gridCol w:w="1885"/>
        <w:gridCol w:w="1886"/>
        <w:gridCol w:w="1886"/>
      </w:tblGrid>
      <w:tr w:rsidR="00C304C4" w14:paraId="5E899066" w14:textId="77777777" w:rsidTr="00C304C4">
        <w:trPr>
          <w:trHeight w:val="495"/>
        </w:trPr>
        <w:tc>
          <w:tcPr>
            <w:tcW w:w="2021" w:type="pct"/>
            <w:tcBorders>
              <w:top w:val="single" w:sz="4" w:space="0" w:color="0070C0"/>
              <w:left w:val="nil"/>
              <w:bottom w:val="single" w:sz="8" w:space="0" w:color="0070C0"/>
              <w:right w:val="nil"/>
            </w:tcBorders>
            <w:shd w:val="clear" w:color="auto" w:fill="auto"/>
            <w:noWrap/>
            <w:vAlign w:val="bottom"/>
            <w:hideMark/>
          </w:tcPr>
          <w:p w14:paraId="38C47772" w14:textId="77777777" w:rsidR="00C304C4" w:rsidRDefault="00C304C4">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993" w:type="pct"/>
            <w:tcBorders>
              <w:top w:val="single" w:sz="4" w:space="0" w:color="0070C0"/>
              <w:left w:val="nil"/>
              <w:bottom w:val="single" w:sz="8" w:space="0" w:color="0070C0"/>
              <w:right w:val="nil"/>
            </w:tcBorders>
            <w:shd w:val="clear" w:color="auto" w:fill="auto"/>
            <w:vAlign w:val="bottom"/>
            <w:hideMark/>
          </w:tcPr>
          <w:p w14:paraId="64272DC6" w14:textId="77777777" w:rsidR="00C304C4" w:rsidRDefault="00C304C4">
            <w:pPr>
              <w:jc w:val="center"/>
              <w:rPr>
                <w:rFonts w:ascii="Cambria" w:hAnsi="Cambria" w:cs="Arial"/>
                <w:b/>
                <w:bCs/>
                <w:color w:val="000000"/>
                <w:sz w:val="18"/>
                <w:szCs w:val="18"/>
              </w:rPr>
            </w:pPr>
            <w:r>
              <w:rPr>
                <w:rFonts w:ascii="Cambria" w:hAnsi="Cambria"/>
                <w:b/>
                <w:color w:val="000000"/>
                <w:sz w:val="18"/>
              </w:rPr>
              <w:t xml:space="preserve">1er janvier 2021 - </w:t>
            </w:r>
            <w:r>
              <w:rPr>
                <w:rFonts w:ascii="Cambria" w:hAnsi="Cambria"/>
                <w:b/>
                <w:bCs/>
                <w:color w:val="000000"/>
                <w:sz w:val="18"/>
                <w:szCs w:val="18"/>
              </w:rPr>
              <w:br/>
            </w:r>
            <w:r>
              <w:rPr>
                <w:rFonts w:ascii="Cambria" w:hAnsi="Cambria"/>
                <w:b/>
                <w:color w:val="000000"/>
                <w:sz w:val="18"/>
              </w:rPr>
              <w:t>30 juin 2021</w:t>
            </w:r>
          </w:p>
        </w:tc>
        <w:tc>
          <w:tcPr>
            <w:tcW w:w="993" w:type="pct"/>
            <w:tcBorders>
              <w:top w:val="single" w:sz="4" w:space="0" w:color="0070C0"/>
              <w:left w:val="nil"/>
              <w:bottom w:val="single" w:sz="8" w:space="0" w:color="0070C0"/>
              <w:right w:val="nil"/>
            </w:tcBorders>
            <w:shd w:val="clear" w:color="auto" w:fill="auto"/>
            <w:vAlign w:val="bottom"/>
            <w:hideMark/>
          </w:tcPr>
          <w:p w14:paraId="4E13EB35" w14:textId="77777777" w:rsidR="00C304C4" w:rsidRDefault="00C304C4">
            <w:pPr>
              <w:jc w:val="center"/>
              <w:rPr>
                <w:rFonts w:ascii="Cambria" w:hAnsi="Cambria" w:cs="Arial"/>
                <w:b/>
                <w:bCs/>
                <w:color w:val="000000"/>
                <w:sz w:val="18"/>
                <w:szCs w:val="18"/>
              </w:rPr>
            </w:pPr>
            <w:r>
              <w:rPr>
                <w:rFonts w:ascii="Cambria" w:hAnsi="Cambria"/>
                <w:b/>
                <w:color w:val="000000"/>
                <w:sz w:val="18"/>
              </w:rPr>
              <w:t xml:space="preserve">1er janvier 2020 - </w:t>
            </w:r>
            <w:r>
              <w:rPr>
                <w:rFonts w:ascii="Cambria" w:hAnsi="Cambria"/>
                <w:b/>
                <w:bCs/>
                <w:color w:val="000000"/>
                <w:sz w:val="18"/>
                <w:szCs w:val="18"/>
              </w:rPr>
              <w:br/>
            </w:r>
            <w:r>
              <w:rPr>
                <w:rFonts w:ascii="Cambria" w:hAnsi="Cambria"/>
                <w:b/>
                <w:color w:val="000000"/>
                <w:sz w:val="18"/>
              </w:rPr>
              <w:t>30 juin 2020</w:t>
            </w:r>
          </w:p>
        </w:tc>
        <w:tc>
          <w:tcPr>
            <w:tcW w:w="993" w:type="pct"/>
            <w:tcBorders>
              <w:top w:val="single" w:sz="4" w:space="0" w:color="0070C0"/>
              <w:left w:val="nil"/>
              <w:bottom w:val="single" w:sz="8" w:space="0" w:color="0070C0"/>
              <w:right w:val="nil"/>
            </w:tcBorders>
            <w:shd w:val="clear" w:color="auto" w:fill="auto"/>
            <w:vAlign w:val="bottom"/>
            <w:hideMark/>
          </w:tcPr>
          <w:p w14:paraId="6D3327C5" w14:textId="77777777" w:rsidR="00C304C4" w:rsidRDefault="00C304C4">
            <w:pPr>
              <w:jc w:val="center"/>
              <w:rPr>
                <w:rFonts w:ascii="Cambria" w:hAnsi="Cambria" w:cs="Arial"/>
                <w:b/>
                <w:bCs/>
                <w:color w:val="000000"/>
                <w:sz w:val="18"/>
                <w:szCs w:val="18"/>
              </w:rPr>
            </w:pPr>
            <w:r>
              <w:rPr>
                <w:rFonts w:ascii="Cambria" w:hAnsi="Cambria"/>
                <w:b/>
                <w:color w:val="000000"/>
                <w:sz w:val="18"/>
              </w:rPr>
              <w:t>Variations</w:t>
            </w:r>
          </w:p>
        </w:tc>
      </w:tr>
      <w:tr w:rsidR="00C304C4" w14:paraId="059B372D" w14:textId="77777777" w:rsidTr="00C304C4">
        <w:trPr>
          <w:trHeight w:val="240"/>
        </w:trPr>
        <w:tc>
          <w:tcPr>
            <w:tcW w:w="2021" w:type="pct"/>
            <w:tcBorders>
              <w:top w:val="nil"/>
              <w:left w:val="nil"/>
              <w:bottom w:val="nil"/>
              <w:right w:val="nil"/>
            </w:tcBorders>
            <w:shd w:val="clear" w:color="auto" w:fill="auto"/>
            <w:noWrap/>
            <w:vAlign w:val="bottom"/>
            <w:hideMark/>
          </w:tcPr>
          <w:p w14:paraId="5E757F2E" w14:textId="77777777" w:rsidR="00C304C4" w:rsidRDefault="00C304C4">
            <w:pPr>
              <w:rPr>
                <w:rFonts w:ascii="Cambria" w:hAnsi="Cambria" w:cs="Arial"/>
                <w:color w:val="000000"/>
                <w:sz w:val="18"/>
                <w:szCs w:val="18"/>
              </w:rPr>
            </w:pPr>
            <w:r>
              <w:rPr>
                <w:rFonts w:ascii="Cambria" w:hAnsi="Cambria"/>
                <w:color w:val="000000"/>
                <w:sz w:val="18"/>
              </w:rPr>
              <w:t>Ventes en gros de biens</w:t>
            </w:r>
          </w:p>
        </w:tc>
        <w:tc>
          <w:tcPr>
            <w:tcW w:w="993" w:type="pct"/>
            <w:tcBorders>
              <w:top w:val="nil"/>
              <w:left w:val="nil"/>
              <w:bottom w:val="nil"/>
              <w:right w:val="nil"/>
            </w:tcBorders>
            <w:shd w:val="clear" w:color="auto" w:fill="auto"/>
            <w:noWrap/>
            <w:vAlign w:val="bottom"/>
            <w:hideMark/>
          </w:tcPr>
          <w:p w14:paraId="5C9CF7A7" w14:textId="77777777" w:rsidR="00C304C4" w:rsidRDefault="00C304C4">
            <w:pPr>
              <w:jc w:val="right"/>
              <w:rPr>
                <w:rFonts w:ascii="Cambria" w:hAnsi="Cambria" w:cs="Arial"/>
                <w:color w:val="000000"/>
                <w:sz w:val="18"/>
                <w:szCs w:val="18"/>
              </w:rPr>
            </w:pPr>
            <w:r>
              <w:rPr>
                <w:rFonts w:ascii="Cambria" w:hAnsi="Cambria"/>
                <w:color w:val="000000"/>
                <w:sz w:val="18"/>
              </w:rPr>
              <w:t>103 171</w:t>
            </w:r>
          </w:p>
        </w:tc>
        <w:tc>
          <w:tcPr>
            <w:tcW w:w="993" w:type="pct"/>
            <w:tcBorders>
              <w:top w:val="nil"/>
              <w:left w:val="nil"/>
              <w:bottom w:val="nil"/>
              <w:right w:val="nil"/>
            </w:tcBorders>
            <w:shd w:val="clear" w:color="auto" w:fill="auto"/>
            <w:noWrap/>
            <w:vAlign w:val="bottom"/>
            <w:hideMark/>
          </w:tcPr>
          <w:p w14:paraId="0CD5A9BF" w14:textId="77777777" w:rsidR="00C304C4" w:rsidRDefault="00C304C4">
            <w:pPr>
              <w:jc w:val="right"/>
              <w:rPr>
                <w:rFonts w:ascii="Cambria" w:hAnsi="Cambria" w:cs="Arial"/>
                <w:color w:val="000000"/>
                <w:sz w:val="18"/>
                <w:szCs w:val="18"/>
              </w:rPr>
            </w:pPr>
            <w:r>
              <w:rPr>
                <w:rFonts w:ascii="Cambria" w:hAnsi="Cambria"/>
                <w:color w:val="000000"/>
                <w:sz w:val="18"/>
              </w:rPr>
              <w:t>232 995</w:t>
            </w:r>
          </w:p>
        </w:tc>
        <w:tc>
          <w:tcPr>
            <w:tcW w:w="993" w:type="pct"/>
            <w:tcBorders>
              <w:top w:val="nil"/>
              <w:left w:val="nil"/>
              <w:bottom w:val="nil"/>
              <w:right w:val="nil"/>
            </w:tcBorders>
            <w:shd w:val="clear" w:color="auto" w:fill="auto"/>
            <w:noWrap/>
            <w:vAlign w:val="bottom"/>
            <w:hideMark/>
          </w:tcPr>
          <w:p w14:paraId="7BDDC353" w14:textId="77777777" w:rsidR="00C304C4" w:rsidRDefault="00C304C4">
            <w:pPr>
              <w:jc w:val="right"/>
              <w:rPr>
                <w:rFonts w:ascii="Cambria" w:hAnsi="Cambria" w:cs="Arial"/>
                <w:color w:val="000000"/>
                <w:sz w:val="18"/>
                <w:szCs w:val="18"/>
              </w:rPr>
            </w:pPr>
            <w:r>
              <w:rPr>
                <w:rFonts w:ascii="Cambria" w:hAnsi="Cambria"/>
                <w:color w:val="000000"/>
                <w:sz w:val="18"/>
              </w:rPr>
              <w:t>(129 824)</w:t>
            </w:r>
          </w:p>
        </w:tc>
      </w:tr>
      <w:tr w:rsidR="00C304C4" w14:paraId="21B63BD5" w14:textId="77777777" w:rsidTr="00C304C4">
        <w:trPr>
          <w:trHeight w:val="240"/>
        </w:trPr>
        <w:tc>
          <w:tcPr>
            <w:tcW w:w="2021" w:type="pct"/>
            <w:tcBorders>
              <w:top w:val="nil"/>
              <w:left w:val="nil"/>
              <w:bottom w:val="nil"/>
              <w:right w:val="nil"/>
            </w:tcBorders>
            <w:shd w:val="clear" w:color="auto" w:fill="auto"/>
            <w:noWrap/>
            <w:vAlign w:val="bottom"/>
            <w:hideMark/>
          </w:tcPr>
          <w:p w14:paraId="2EA05BBE" w14:textId="77777777" w:rsidR="00C304C4" w:rsidRDefault="00C304C4">
            <w:pPr>
              <w:rPr>
                <w:rFonts w:ascii="Cambria" w:hAnsi="Cambria" w:cs="Arial"/>
                <w:color w:val="000000"/>
                <w:sz w:val="18"/>
                <w:szCs w:val="18"/>
              </w:rPr>
            </w:pPr>
            <w:r>
              <w:rPr>
                <w:rFonts w:ascii="Cambria" w:hAnsi="Cambria"/>
                <w:color w:val="000000"/>
                <w:sz w:val="18"/>
              </w:rPr>
              <w:t>Produit des ventes des magasins</w:t>
            </w:r>
          </w:p>
        </w:tc>
        <w:tc>
          <w:tcPr>
            <w:tcW w:w="993" w:type="pct"/>
            <w:tcBorders>
              <w:top w:val="nil"/>
              <w:left w:val="nil"/>
              <w:bottom w:val="nil"/>
              <w:right w:val="nil"/>
            </w:tcBorders>
            <w:shd w:val="clear" w:color="auto" w:fill="auto"/>
            <w:noWrap/>
            <w:vAlign w:val="bottom"/>
            <w:hideMark/>
          </w:tcPr>
          <w:p w14:paraId="58EC49CF" w14:textId="77777777" w:rsidR="00C304C4" w:rsidRDefault="00C304C4">
            <w:pPr>
              <w:jc w:val="right"/>
              <w:rPr>
                <w:rFonts w:ascii="Cambria" w:hAnsi="Cambria" w:cs="Arial"/>
                <w:color w:val="000000"/>
                <w:sz w:val="18"/>
                <w:szCs w:val="18"/>
              </w:rPr>
            </w:pPr>
            <w:r>
              <w:rPr>
                <w:rFonts w:ascii="Cambria" w:hAnsi="Cambria"/>
                <w:color w:val="000000"/>
                <w:sz w:val="18"/>
              </w:rPr>
              <w:t>11 370 870</w:t>
            </w:r>
          </w:p>
        </w:tc>
        <w:tc>
          <w:tcPr>
            <w:tcW w:w="993" w:type="pct"/>
            <w:tcBorders>
              <w:top w:val="nil"/>
              <w:left w:val="nil"/>
              <w:bottom w:val="nil"/>
              <w:right w:val="nil"/>
            </w:tcBorders>
            <w:shd w:val="clear" w:color="auto" w:fill="auto"/>
            <w:noWrap/>
            <w:vAlign w:val="bottom"/>
            <w:hideMark/>
          </w:tcPr>
          <w:p w14:paraId="7BD87678" w14:textId="77777777" w:rsidR="00C304C4" w:rsidRDefault="00C304C4">
            <w:pPr>
              <w:jc w:val="right"/>
              <w:rPr>
                <w:rFonts w:ascii="Cambria" w:hAnsi="Cambria" w:cs="Arial"/>
                <w:color w:val="000000"/>
                <w:sz w:val="18"/>
                <w:szCs w:val="18"/>
              </w:rPr>
            </w:pPr>
            <w:r>
              <w:rPr>
                <w:rFonts w:ascii="Cambria" w:hAnsi="Cambria"/>
                <w:color w:val="000000"/>
                <w:sz w:val="18"/>
              </w:rPr>
              <w:t>8 460 263</w:t>
            </w:r>
          </w:p>
        </w:tc>
        <w:tc>
          <w:tcPr>
            <w:tcW w:w="993" w:type="pct"/>
            <w:tcBorders>
              <w:top w:val="nil"/>
              <w:left w:val="nil"/>
              <w:bottom w:val="nil"/>
              <w:right w:val="nil"/>
            </w:tcBorders>
            <w:shd w:val="clear" w:color="auto" w:fill="auto"/>
            <w:noWrap/>
            <w:vAlign w:val="bottom"/>
            <w:hideMark/>
          </w:tcPr>
          <w:p w14:paraId="3A45C57E" w14:textId="77777777" w:rsidR="00C304C4" w:rsidRDefault="00C304C4">
            <w:pPr>
              <w:jc w:val="right"/>
              <w:rPr>
                <w:rFonts w:ascii="Cambria" w:hAnsi="Cambria" w:cs="Arial"/>
                <w:color w:val="000000"/>
                <w:sz w:val="18"/>
                <w:szCs w:val="18"/>
              </w:rPr>
            </w:pPr>
            <w:r>
              <w:rPr>
                <w:rFonts w:ascii="Cambria" w:hAnsi="Cambria"/>
                <w:color w:val="000000"/>
                <w:sz w:val="18"/>
              </w:rPr>
              <w:t>2 910 607</w:t>
            </w:r>
          </w:p>
        </w:tc>
      </w:tr>
      <w:tr w:rsidR="00C304C4" w14:paraId="099FA350" w14:textId="77777777" w:rsidTr="00C304C4">
        <w:trPr>
          <w:trHeight w:val="240"/>
        </w:trPr>
        <w:tc>
          <w:tcPr>
            <w:tcW w:w="2021" w:type="pct"/>
            <w:tcBorders>
              <w:top w:val="nil"/>
              <w:left w:val="nil"/>
              <w:bottom w:val="nil"/>
              <w:right w:val="nil"/>
            </w:tcBorders>
            <w:shd w:val="clear" w:color="auto" w:fill="auto"/>
            <w:noWrap/>
            <w:vAlign w:val="bottom"/>
            <w:hideMark/>
          </w:tcPr>
          <w:p w14:paraId="672211AD" w14:textId="77777777" w:rsidR="00C304C4" w:rsidRDefault="00C304C4">
            <w:pPr>
              <w:rPr>
                <w:rFonts w:ascii="Cambria" w:hAnsi="Cambria" w:cs="Arial"/>
                <w:color w:val="000000"/>
                <w:sz w:val="18"/>
                <w:szCs w:val="18"/>
              </w:rPr>
            </w:pPr>
            <w:r>
              <w:rPr>
                <w:rFonts w:ascii="Cambria" w:hAnsi="Cambria"/>
                <w:color w:val="000000"/>
                <w:sz w:val="18"/>
              </w:rPr>
              <w:t>Autres produits des ventes</w:t>
            </w:r>
          </w:p>
        </w:tc>
        <w:tc>
          <w:tcPr>
            <w:tcW w:w="993" w:type="pct"/>
            <w:tcBorders>
              <w:top w:val="nil"/>
              <w:left w:val="nil"/>
              <w:bottom w:val="nil"/>
              <w:right w:val="nil"/>
            </w:tcBorders>
            <w:shd w:val="clear" w:color="auto" w:fill="auto"/>
            <w:noWrap/>
            <w:vAlign w:val="bottom"/>
            <w:hideMark/>
          </w:tcPr>
          <w:p w14:paraId="210CF5A3" w14:textId="77777777" w:rsidR="00C304C4" w:rsidRDefault="00C304C4">
            <w:pPr>
              <w:jc w:val="right"/>
              <w:rPr>
                <w:rFonts w:ascii="Cambria" w:hAnsi="Cambria" w:cs="Arial"/>
                <w:color w:val="000000"/>
                <w:sz w:val="18"/>
                <w:szCs w:val="18"/>
              </w:rPr>
            </w:pPr>
            <w:r>
              <w:rPr>
                <w:rFonts w:ascii="Cambria" w:hAnsi="Cambria"/>
                <w:color w:val="000000"/>
                <w:sz w:val="18"/>
              </w:rPr>
              <w:t>75 754</w:t>
            </w:r>
          </w:p>
        </w:tc>
        <w:tc>
          <w:tcPr>
            <w:tcW w:w="993" w:type="pct"/>
            <w:tcBorders>
              <w:top w:val="nil"/>
              <w:left w:val="nil"/>
              <w:bottom w:val="nil"/>
              <w:right w:val="nil"/>
            </w:tcBorders>
            <w:shd w:val="clear" w:color="auto" w:fill="auto"/>
            <w:noWrap/>
            <w:vAlign w:val="bottom"/>
            <w:hideMark/>
          </w:tcPr>
          <w:p w14:paraId="09383540" w14:textId="77777777" w:rsidR="00C304C4" w:rsidRDefault="00C304C4">
            <w:pPr>
              <w:jc w:val="right"/>
              <w:rPr>
                <w:rFonts w:ascii="Cambria" w:hAnsi="Cambria" w:cs="Arial"/>
                <w:color w:val="000000"/>
                <w:sz w:val="18"/>
                <w:szCs w:val="18"/>
              </w:rPr>
            </w:pPr>
            <w:r>
              <w:rPr>
                <w:rFonts w:ascii="Cambria" w:hAnsi="Cambria"/>
                <w:color w:val="000000"/>
                <w:sz w:val="18"/>
              </w:rPr>
              <w:t>89 531</w:t>
            </w:r>
          </w:p>
        </w:tc>
        <w:tc>
          <w:tcPr>
            <w:tcW w:w="993" w:type="pct"/>
            <w:tcBorders>
              <w:top w:val="nil"/>
              <w:left w:val="nil"/>
              <w:bottom w:val="nil"/>
              <w:right w:val="nil"/>
            </w:tcBorders>
            <w:shd w:val="clear" w:color="auto" w:fill="auto"/>
            <w:noWrap/>
            <w:vAlign w:val="bottom"/>
            <w:hideMark/>
          </w:tcPr>
          <w:p w14:paraId="4C5F9338" w14:textId="77777777" w:rsidR="00C304C4" w:rsidRDefault="00C304C4">
            <w:pPr>
              <w:jc w:val="right"/>
              <w:rPr>
                <w:rFonts w:ascii="Cambria" w:hAnsi="Cambria" w:cs="Arial"/>
                <w:color w:val="000000"/>
                <w:sz w:val="18"/>
                <w:szCs w:val="18"/>
              </w:rPr>
            </w:pPr>
            <w:r>
              <w:rPr>
                <w:rFonts w:ascii="Cambria" w:hAnsi="Cambria"/>
                <w:color w:val="000000"/>
                <w:sz w:val="18"/>
              </w:rPr>
              <w:t>(13 777)</w:t>
            </w:r>
          </w:p>
        </w:tc>
      </w:tr>
      <w:tr w:rsidR="00C304C4" w14:paraId="266BDCDB" w14:textId="77777777" w:rsidTr="00C304C4">
        <w:trPr>
          <w:trHeight w:val="255"/>
        </w:trPr>
        <w:tc>
          <w:tcPr>
            <w:tcW w:w="2021" w:type="pct"/>
            <w:tcBorders>
              <w:top w:val="nil"/>
              <w:left w:val="nil"/>
              <w:bottom w:val="nil"/>
              <w:right w:val="nil"/>
            </w:tcBorders>
            <w:shd w:val="clear" w:color="auto" w:fill="auto"/>
            <w:noWrap/>
            <w:vAlign w:val="bottom"/>
            <w:hideMark/>
          </w:tcPr>
          <w:p w14:paraId="4C48F0FB" w14:textId="77777777" w:rsidR="00C304C4" w:rsidRDefault="00C304C4">
            <w:pPr>
              <w:rPr>
                <w:rFonts w:ascii="Cambria" w:hAnsi="Cambria" w:cs="Arial"/>
                <w:b/>
                <w:bCs/>
                <w:color w:val="000000"/>
                <w:sz w:val="18"/>
                <w:szCs w:val="18"/>
              </w:rPr>
            </w:pPr>
            <w:r>
              <w:rPr>
                <w:rFonts w:ascii="Cambria" w:hAnsi="Cambria"/>
                <w:b/>
                <w:color w:val="000000"/>
                <w:sz w:val="18"/>
              </w:rPr>
              <w:t>Total des produits des contrats avec les clients</w:t>
            </w:r>
          </w:p>
        </w:tc>
        <w:tc>
          <w:tcPr>
            <w:tcW w:w="993" w:type="pct"/>
            <w:tcBorders>
              <w:top w:val="single" w:sz="4" w:space="0" w:color="auto"/>
              <w:left w:val="nil"/>
              <w:bottom w:val="single" w:sz="8" w:space="0" w:color="auto"/>
              <w:right w:val="nil"/>
            </w:tcBorders>
            <w:shd w:val="clear" w:color="auto" w:fill="auto"/>
            <w:noWrap/>
            <w:vAlign w:val="bottom"/>
            <w:hideMark/>
          </w:tcPr>
          <w:p w14:paraId="25519A83" w14:textId="77777777" w:rsidR="00C304C4" w:rsidRDefault="00C304C4">
            <w:pPr>
              <w:jc w:val="right"/>
              <w:rPr>
                <w:rFonts w:ascii="Cambria" w:hAnsi="Cambria" w:cs="Arial"/>
                <w:b/>
                <w:bCs/>
                <w:color w:val="000000"/>
                <w:sz w:val="18"/>
                <w:szCs w:val="18"/>
              </w:rPr>
            </w:pPr>
            <w:r>
              <w:rPr>
                <w:rFonts w:ascii="Cambria" w:hAnsi="Cambria"/>
                <w:b/>
                <w:color w:val="000000"/>
                <w:sz w:val="18"/>
              </w:rPr>
              <w:t>11 549 795</w:t>
            </w:r>
          </w:p>
        </w:tc>
        <w:tc>
          <w:tcPr>
            <w:tcW w:w="993" w:type="pct"/>
            <w:tcBorders>
              <w:top w:val="single" w:sz="4" w:space="0" w:color="auto"/>
              <w:left w:val="nil"/>
              <w:bottom w:val="single" w:sz="8" w:space="0" w:color="auto"/>
              <w:right w:val="nil"/>
            </w:tcBorders>
            <w:shd w:val="clear" w:color="auto" w:fill="auto"/>
            <w:noWrap/>
            <w:vAlign w:val="bottom"/>
            <w:hideMark/>
          </w:tcPr>
          <w:p w14:paraId="46A15873" w14:textId="77777777" w:rsidR="00C304C4" w:rsidRDefault="00C304C4">
            <w:pPr>
              <w:jc w:val="right"/>
              <w:rPr>
                <w:rFonts w:ascii="Cambria" w:hAnsi="Cambria" w:cs="Arial"/>
                <w:b/>
                <w:bCs/>
                <w:color w:val="000000"/>
                <w:sz w:val="18"/>
                <w:szCs w:val="18"/>
              </w:rPr>
            </w:pPr>
            <w:r>
              <w:rPr>
                <w:rFonts w:ascii="Cambria" w:hAnsi="Cambria"/>
                <w:b/>
                <w:color w:val="000000"/>
                <w:sz w:val="18"/>
              </w:rPr>
              <w:t>8 782 789</w:t>
            </w:r>
          </w:p>
        </w:tc>
        <w:tc>
          <w:tcPr>
            <w:tcW w:w="993" w:type="pct"/>
            <w:tcBorders>
              <w:top w:val="single" w:sz="4" w:space="0" w:color="auto"/>
              <w:left w:val="nil"/>
              <w:bottom w:val="single" w:sz="8" w:space="0" w:color="auto"/>
              <w:right w:val="nil"/>
            </w:tcBorders>
            <w:shd w:val="clear" w:color="auto" w:fill="auto"/>
            <w:noWrap/>
            <w:vAlign w:val="bottom"/>
            <w:hideMark/>
          </w:tcPr>
          <w:p w14:paraId="36CB0AD8" w14:textId="77777777" w:rsidR="00C304C4" w:rsidRDefault="00C304C4">
            <w:pPr>
              <w:jc w:val="right"/>
              <w:rPr>
                <w:rFonts w:ascii="Cambria" w:hAnsi="Cambria" w:cs="Arial"/>
                <w:b/>
                <w:bCs/>
                <w:color w:val="000000"/>
                <w:sz w:val="18"/>
                <w:szCs w:val="18"/>
              </w:rPr>
            </w:pPr>
            <w:r>
              <w:rPr>
                <w:rFonts w:ascii="Cambria" w:hAnsi="Cambria"/>
                <w:b/>
                <w:color w:val="000000"/>
                <w:sz w:val="18"/>
              </w:rPr>
              <w:t>2 767 006</w:t>
            </w:r>
          </w:p>
        </w:tc>
      </w:tr>
    </w:tbl>
    <w:p w14:paraId="271384B8" w14:textId="1DD09C0F" w:rsidR="00F25944" w:rsidRDefault="00F25944" w:rsidP="00E16D12">
      <w:pPr>
        <w:spacing w:after="200" w:line="276" w:lineRule="auto"/>
        <w:jc w:val="both"/>
        <w:rPr>
          <w:rFonts w:ascii="Cambria" w:hAnsi="Cambria"/>
          <w:sz w:val="22"/>
          <w:szCs w:val="22"/>
        </w:rPr>
      </w:pPr>
    </w:p>
    <w:p w14:paraId="29495C5F" w14:textId="77777777" w:rsidR="005B7D19" w:rsidRDefault="002B4D14" w:rsidP="005B7D19">
      <w:pPr>
        <w:spacing w:line="276" w:lineRule="auto"/>
        <w:jc w:val="both"/>
        <w:rPr>
          <w:rFonts w:ascii="Cambria" w:hAnsi="Cambria"/>
          <w:sz w:val="22"/>
          <w:szCs w:val="22"/>
        </w:rPr>
      </w:pPr>
      <w:r>
        <w:rPr>
          <w:rFonts w:ascii="Cambria" w:hAnsi="Cambria"/>
          <w:sz w:val="22"/>
        </w:rPr>
        <w:lastRenderedPageBreak/>
        <w:t xml:space="preserve">Le poste « Produits des contrats avec les clients » comprend les revenus de la vente en gros de marchandises, les revenus des ventes des magasins et les autres frais de vente. </w:t>
      </w:r>
    </w:p>
    <w:p w14:paraId="17B812F2" w14:textId="532008CE" w:rsidR="00ED2360" w:rsidRPr="00C17031" w:rsidRDefault="005B7D19" w:rsidP="00B2745E">
      <w:pPr>
        <w:spacing w:after="200" w:line="276" w:lineRule="auto"/>
        <w:jc w:val="both"/>
        <w:rPr>
          <w:rFonts w:ascii="Cambria" w:hAnsi="Cambria"/>
          <w:sz w:val="22"/>
          <w:szCs w:val="22"/>
        </w:rPr>
      </w:pPr>
      <w:r>
        <w:rPr>
          <w:rFonts w:ascii="Cambria" w:hAnsi="Cambria"/>
          <w:sz w:val="22"/>
        </w:rPr>
        <w:t>Les prix de vente des magasins au 30.06.2021 représentent 98% du chiffre d'affaires et se réfèrent aux revenus générés par les 25 points de vente détenus directement et aux revenus générés par les 5 points de vente franchisés de Take Off, en plus des ventes des 112 points de vente franchisés de Over. Le changement dans la période est essentiellement dû aux effets résultant des restrictions réduites dues au ralentissement de la pandémie de Covid 19 et à l'augmentation conséquente des ventes, commentées de manière appropriée dans le rapport sur les opérations auquel il convient de se référer.</w:t>
      </w:r>
    </w:p>
    <w:p w14:paraId="176A511C" w14:textId="34BCD52D" w:rsidR="00202EAA" w:rsidRPr="00F33BCC" w:rsidRDefault="00202EAA" w:rsidP="00717185">
      <w:pPr>
        <w:spacing w:after="120" w:line="276" w:lineRule="auto"/>
        <w:jc w:val="both"/>
        <w:rPr>
          <w:rFonts w:ascii="Cambria" w:hAnsi="Cambria"/>
          <w:sz w:val="22"/>
          <w:szCs w:val="22"/>
        </w:rPr>
      </w:pPr>
      <w:r>
        <w:rPr>
          <w:rFonts w:ascii="Cambria" w:hAnsi="Cambria"/>
          <w:sz w:val="22"/>
        </w:rPr>
        <w:t>Le moment de la comptabilisation des revenus, pour les ventes de marchandises, à la fois par le biais des canaux de détail et de gros, se produit lorsque le contrôle de l'actif a été transféré au client, généralement au moment de la livraison.</w:t>
      </w:r>
    </w:p>
    <w:p w14:paraId="06422D24" w14:textId="77777777" w:rsidR="00202EAA" w:rsidRPr="00717185" w:rsidRDefault="00202EAA" w:rsidP="00717185">
      <w:pPr>
        <w:spacing w:after="120" w:line="276" w:lineRule="auto"/>
        <w:jc w:val="both"/>
        <w:rPr>
          <w:rFonts w:ascii="Cambria" w:hAnsi="Cambria"/>
          <w:sz w:val="16"/>
          <w:szCs w:val="16"/>
        </w:rPr>
      </w:pPr>
    </w:p>
    <w:p w14:paraId="59189DB9" w14:textId="77777777" w:rsidR="00721EC9" w:rsidRPr="00C854E8" w:rsidRDefault="00721EC9" w:rsidP="00721EC9">
      <w:pPr>
        <w:pStyle w:val="Titolo2"/>
        <w:numPr>
          <w:ilvl w:val="0"/>
          <w:numId w:val="6"/>
        </w:numPr>
        <w:spacing w:line="240" w:lineRule="auto"/>
        <w:ind w:left="357" w:right="0" w:hanging="357"/>
        <w:jc w:val="left"/>
        <w:rPr>
          <w:i w:val="0"/>
        </w:rPr>
      </w:pPr>
      <w:bookmarkStart w:id="156" w:name="_Toc112768688"/>
      <w:r>
        <w:rPr>
          <w:i w:val="0"/>
        </w:rPr>
        <w:t>Autres revenus</w:t>
      </w:r>
      <w:bookmarkEnd w:id="156"/>
    </w:p>
    <w:p w14:paraId="2067B7EC" w14:textId="77777777" w:rsidR="00721EC9" w:rsidRPr="00580741" w:rsidRDefault="00721EC9" w:rsidP="008039A9">
      <w:pPr>
        <w:rPr>
          <w:rFonts w:ascii="Cambria" w:hAnsi="Cambria"/>
          <w:sz w:val="22"/>
          <w:szCs w:val="22"/>
        </w:rPr>
      </w:pPr>
    </w:p>
    <w:p w14:paraId="2F487F51" w14:textId="0D6181A0" w:rsidR="00A41837" w:rsidRDefault="00721EC9" w:rsidP="00A41837">
      <w:pPr>
        <w:spacing w:after="200" w:line="276" w:lineRule="auto"/>
        <w:jc w:val="both"/>
        <w:rPr>
          <w:rFonts w:ascii="Cambria" w:hAnsi="Cambria"/>
          <w:sz w:val="22"/>
          <w:szCs w:val="22"/>
        </w:rPr>
      </w:pPr>
      <w:r>
        <w:rPr>
          <w:rFonts w:ascii="Cambria" w:hAnsi="Cambria"/>
          <w:sz w:val="22"/>
        </w:rPr>
        <w:t>La composition du poste « Autres revenus » pour la période du 1er janvier au 30 juin 2021, par rapport aux mêmes valeurs pour la période du 1er janvier au 30 juin 2020, est la suivante :</w:t>
      </w:r>
    </w:p>
    <w:tbl>
      <w:tblPr>
        <w:tblW w:w="5000" w:type="pct"/>
        <w:tblCellMar>
          <w:left w:w="70" w:type="dxa"/>
          <w:right w:w="70" w:type="dxa"/>
        </w:tblCellMar>
        <w:tblLook w:val="04A0" w:firstRow="1" w:lastRow="0" w:firstColumn="1" w:lastColumn="0" w:noHBand="0" w:noVBand="1"/>
      </w:tblPr>
      <w:tblGrid>
        <w:gridCol w:w="3617"/>
        <w:gridCol w:w="2007"/>
        <w:gridCol w:w="2007"/>
        <w:gridCol w:w="2007"/>
      </w:tblGrid>
      <w:tr w:rsidR="00A41837" w14:paraId="1439A577" w14:textId="77777777" w:rsidTr="00A41837">
        <w:trPr>
          <w:trHeight w:val="495"/>
        </w:trPr>
        <w:tc>
          <w:tcPr>
            <w:tcW w:w="1872" w:type="pct"/>
            <w:tcBorders>
              <w:top w:val="single" w:sz="4" w:space="0" w:color="0070C0"/>
              <w:left w:val="nil"/>
              <w:bottom w:val="single" w:sz="8" w:space="0" w:color="0070C0"/>
              <w:right w:val="nil"/>
            </w:tcBorders>
            <w:shd w:val="clear" w:color="auto" w:fill="auto"/>
            <w:noWrap/>
            <w:vAlign w:val="bottom"/>
            <w:hideMark/>
          </w:tcPr>
          <w:p w14:paraId="73D7FE21" w14:textId="77777777" w:rsidR="00A41837" w:rsidRDefault="00A41837">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043" w:type="pct"/>
            <w:tcBorders>
              <w:top w:val="single" w:sz="4" w:space="0" w:color="0070C0"/>
              <w:left w:val="nil"/>
              <w:bottom w:val="single" w:sz="8" w:space="0" w:color="0070C0"/>
              <w:right w:val="nil"/>
            </w:tcBorders>
            <w:shd w:val="clear" w:color="auto" w:fill="auto"/>
            <w:vAlign w:val="bottom"/>
            <w:hideMark/>
          </w:tcPr>
          <w:p w14:paraId="403D3592" w14:textId="77777777" w:rsidR="00A41837" w:rsidRDefault="00A41837">
            <w:pPr>
              <w:jc w:val="center"/>
              <w:rPr>
                <w:rFonts w:ascii="Cambria" w:hAnsi="Cambria" w:cs="Arial"/>
                <w:b/>
                <w:bCs/>
                <w:color w:val="000000"/>
                <w:sz w:val="18"/>
                <w:szCs w:val="18"/>
              </w:rPr>
            </w:pPr>
            <w:r>
              <w:rPr>
                <w:rFonts w:ascii="Cambria" w:hAnsi="Cambria"/>
                <w:b/>
                <w:color w:val="000000"/>
                <w:sz w:val="18"/>
              </w:rPr>
              <w:t xml:space="preserve">1er janvier 2021 - </w:t>
            </w:r>
            <w:r>
              <w:rPr>
                <w:rFonts w:ascii="Cambria" w:hAnsi="Cambria"/>
                <w:b/>
                <w:bCs/>
                <w:color w:val="000000"/>
                <w:sz w:val="18"/>
                <w:szCs w:val="18"/>
              </w:rPr>
              <w:br/>
            </w:r>
            <w:r>
              <w:rPr>
                <w:rFonts w:ascii="Cambria" w:hAnsi="Cambria"/>
                <w:b/>
                <w:color w:val="000000"/>
                <w:sz w:val="18"/>
              </w:rPr>
              <w:t>30 juin 2021</w:t>
            </w:r>
          </w:p>
        </w:tc>
        <w:tc>
          <w:tcPr>
            <w:tcW w:w="1043" w:type="pct"/>
            <w:tcBorders>
              <w:top w:val="single" w:sz="4" w:space="0" w:color="0070C0"/>
              <w:left w:val="nil"/>
              <w:bottom w:val="single" w:sz="8" w:space="0" w:color="0070C0"/>
              <w:right w:val="nil"/>
            </w:tcBorders>
            <w:shd w:val="clear" w:color="auto" w:fill="auto"/>
            <w:vAlign w:val="bottom"/>
            <w:hideMark/>
          </w:tcPr>
          <w:p w14:paraId="073CE601" w14:textId="77777777" w:rsidR="00A41837" w:rsidRDefault="00A41837">
            <w:pPr>
              <w:jc w:val="center"/>
              <w:rPr>
                <w:rFonts w:ascii="Cambria" w:hAnsi="Cambria" w:cs="Arial"/>
                <w:b/>
                <w:bCs/>
                <w:color w:val="000000"/>
                <w:sz w:val="18"/>
                <w:szCs w:val="18"/>
              </w:rPr>
            </w:pPr>
            <w:r>
              <w:rPr>
                <w:rFonts w:ascii="Cambria" w:hAnsi="Cambria"/>
                <w:b/>
                <w:color w:val="000000"/>
                <w:sz w:val="18"/>
              </w:rPr>
              <w:t xml:space="preserve">1er janvier 2020 - </w:t>
            </w:r>
            <w:r>
              <w:rPr>
                <w:rFonts w:ascii="Cambria" w:hAnsi="Cambria"/>
                <w:b/>
                <w:bCs/>
                <w:color w:val="000000"/>
                <w:sz w:val="18"/>
                <w:szCs w:val="18"/>
              </w:rPr>
              <w:br/>
            </w:r>
            <w:r>
              <w:rPr>
                <w:rFonts w:ascii="Cambria" w:hAnsi="Cambria"/>
                <w:b/>
                <w:color w:val="000000"/>
                <w:sz w:val="18"/>
              </w:rPr>
              <w:t>30 juin 2020</w:t>
            </w:r>
          </w:p>
        </w:tc>
        <w:tc>
          <w:tcPr>
            <w:tcW w:w="1043" w:type="pct"/>
            <w:tcBorders>
              <w:top w:val="single" w:sz="4" w:space="0" w:color="0070C0"/>
              <w:left w:val="nil"/>
              <w:bottom w:val="single" w:sz="8" w:space="0" w:color="0070C0"/>
              <w:right w:val="nil"/>
            </w:tcBorders>
            <w:shd w:val="clear" w:color="auto" w:fill="auto"/>
            <w:vAlign w:val="bottom"/>
            <w:hideMark/>
          </w:tcPr>
          <w:p w14:paraId="46505E2C" w14:textId="77777777" w:rsidR="00A41837" w:rsidRDefault="00A41837">
            <w:pPr>
              <w:jc w:val="center"/>
              <w:rPr>
                <w:rFonts w:ascii="Cambria" w:hAnsi="Cambria" w:cs="Arial"/>
                <w:b/>
                <w:bCs/>
                <w:color w:val="000000"/>
                <w:sz w:val="18"/>
                <w:szCs w:val="18"/>
              </w:rPr>
            </w:pPr>
            <w:r>
              <w:rPr>
                <w:rFonts w:ascii="Cambria" w:hAnsi="Cambria"/>
                <w:b/>
                <w:color w:val="000000"/>
                <w:sz w:val="18"/>
              </w:rPr>
              <w:t>Variations</w:t>
            </w:r>
          </w:p>
        </w:tc>
      </w:tr>
      <w:tr w:rsidR="00A41837" w14:paraId="22BC24A4" w14:textId="77777777" w:rsidTr="00A41837">
        <w:trPr>
          <w:trHeight w:val="240"/>
        </w:trPr>
        <w:tc>
          <w:tcPr>
            <w:tcW w:w="1872" w:type="pct"/>
            <w:tcBorders>
              <w:top w:val="nil"/>
              <w:left w:val="nil"/>
              <w:bottom w:val="nil"/>
              <w:right w:val="nil"/>
            </w:tcBorders>
            <w:shd w:val="clear" w:color="auto" w:fill="auto"/>
            <w:noWrap/>
            <w:vAlign w:val="bottom"/>
            <w:hideMark/>
          </w:tcPr>
          <w:p w14:paraId="028D73CA" w14:textId="77777777" w:rsidR="00A41837" w:rsidRDefault="00A41837">
            <w:pPr>
              <w:rPr>
                <w:rFonts w:ascii="Cambria" w:hAnsi="Cambria" w:cs="Arial"/>
                <w:color w:val="000000"/>
                <w:sz w:val="18"/>
                <w:szCs w:val="18"/>
              </w:rPr>
            </w:pPr>
            <w:r>
              <w:rPr>
                <w:rFonts w:ascii="Cambria" w:hAnsi="Cambria"/>
                <w:color w:val="000000"/>
                <w:sz w:val="18"/>
              </w:rPr>
              <w:t>Contrats de location et de sous-location</w:t>
            </w:r>
          </w:p>
        </w:tc>
        <w:tc>
          <w:tcPr>
            <w:tcW w:w="1043" w:type="pct"/>
            <w:tcBorders>
              <w:top w:val="nil"/>
              <w:left w:val="nil"/>
              <w:bottom w:val="nil"/>
              <w:right w:val="nil"/>
            </w:tcBorders>
            <w:shd w:val="clear" w:color="auto" w:fill="auto"/>
            <w:noWrap/>
            <w:vAlign w:val="bottom"/>
            <w:hideMark/>
          </w:tcPr>
          <w:p w14:paraId="079FD0A5" w14:textId="77777777" w:rsidR="00A41837" w:rsidRDefault="00A41837">
            <w:pPr>
              <w:jc w:val="right"/>
              <w:rPr>
                <w:rFonts w:ascii="Cambria" w:hAnsi="Cambria" w:cs="Arial"/>
                <w:color w:val="000000"/>
                <w:sz w:val="18"/>
                <w:szCs w:val="18"/>
              </w:rPr>
            </w:pPr>
            <w:r>
              <w:rPr>
                <w:rFonts w:ascii="Cambria" w:hAnsi="Cambria"/>
                <w:color w:val="000000"/>
                <w:sz w:val="18"/>
              </w:rPr>
              <w:t>9 700</w:t>
            </w:r>
          </w:p>
        </w:tc>
        <w:tc>
          <w:tcPr>
            <w:tcW w:w="1043" w:type="pct"/>
            <w:tcBorders>
              <w:top w:val="nil"/>
              <w:left w:val="nil"/>
              <w:bottom w:val="nil"/>
              <w:right w:val="nil"/>
            </w:tcBorders>
            <w:shd w:val="clear" w:color="auto" w:fill="auto"/>
            <w:noWrap/>
            <w:vAlign w:val="bottom"/>
            <w:hideMark/>
          </w:tcPr>
          <w:p w14:paraId="19140FA1" w14:textId="77777777" w:rsidR="00A41837" w:rsidRDefault="00A41837">
            <w:pPr>
              <w:jc w:val="right"/>
              <w:rPr>
                <w:rFonts w:ascii="Cambria" w:hAnsi="Cambria" w:cs="Arial"/>
                <w:color w:val="000000"/>
                <w:sz w:val="18"/>
                <w:szCs w:val="18"/>
              </w:rPr>
            </w:pPr>
            <w:r>
              <w:rPr>
                <w:rFonts w:ascii="Cambria" w:hAnsi="Cambria"/>
                <w:color w:val="000000"/>
                <w:sz w:val="18"/>
              </w:rPr>
              <w:t>17 415</w:t>
            </w:r>
          </w:p>
        </w:tc>
        <w:tc>
          <w:tcPr>
            <w:tcW w:w="1043" w:type="pct"/>
            <w:tcBorders>
              <w:top w:val="nil"/>
              <w:left w:val="nil"/>
              <w:bottom w:val="nil"/>
              <w:right w:val="nil"/>
            </w:tcBorders>
            <w:shd w:val="clear" w:color="auto" w:fill="auto"/>
            <w:noWrap/>
            <w:vAlign w:val="bottom"/>
            <w:hideMark/>
          </w:tcPr>
          <w:p w14:paraId="31A85B1D" w14:textId="77777777" w:rsidR="00A41837" w:rsidRDefault="00A41837">
            <w:pPr>
              <w:jc w:val="right"/>
              <w:rPr>
                <w:rFonts w:ascii="Cambria" w:hAnsi="Cambria" w:cs="Arial"/>
                <w:color w:val="000000"/>
                <w:sz w:val="18"/>
                <w:szCs w:val="18"/>
              </w:rPr>
            </w:pPr>
            <w:r>
              <w:rPr>
                <w:rFonts w:ascii="Cambria" w:hAnsi="Cambria"/>
                <w:color w:val="000000"/>
                <w:sz w:val="18"/>
              </w:rPr>
              <w:t>(7 715)</w:t>
            </w:r>
          </w:p>
        </w:tc>
      </w:tr>
      <w:tr w:rsidR="00A41837" w14:paraId="1FB5C039" w14:textId="77777777" w:rsidTr="00A41837">
        <w:trPr>
          <w:trHeight w:val="240"/>
        </w:trPr>
        <w:tc>
          <w:tcPr>
            <w:tcW w:w="1872" w:type="pct"/>
            <w:tcBorders>
              <w:top w:val="nil"/>
              <w:left w:val="nil"/>
              <w:bottom w:val="nil"/>
              <w:right w:val="nil"/>
            </w:tcBorders>
            <w:shd w:val="clear" w:color="auto" w:fill="auto"/>
            <w:noWrap/>
            <w:vAlign w:val="bottom"/>
            <w:hideMark/>
          </w:tcPr>
          <w:p w14:paraId="26D67325" w14:textId="77777777" w:rsidR="00A41837" w:rsidRDefault="00A41837">
            <w:pPr>
              <w:rPr>
                <w:rFonts w:ascii="Cambria" w:hAnsi="Cambria" w:cs="Arial"/>
                <w:color w:val="000000"/>
                <w:sz w:val="18"/>
                <w:szCs w:val="18"/>
              </w:rPr>
            </w:pPr>
            <w:r>
              <w:rPr>
                <w:rFonts w:ascii="Cambria" w:hAnsi="Cambria"/>
                <w:color w:val="000000"/>
                <w:sz w:val="18"/>
              </w:rPr>
              <w:t>Contributions diverses</w:t>
            </w:r>
          </w:p>
        </w:tc>
        <w:tc>
          <w:tcPr>
            <w:tcW w:w="1043" w:type="pct"/>
            <w:tcBorders>
              <w:top w:val="nil"/>
              <w:left w:val="nil"/>
              <w:bottom w:val="nil"/>
              <w:right w:val="nil"/>
            </w:tcBorders>
            <w:shd w:val="clear" w:color="auto" w:fill="auto"/>
            <w:noWrap/>
            <w:vAlign w:val="bottom"/>
            <w:hideMark/>
          </w:tcPr>
          <w:p w14:paraId="0C0C202F" w14:textId="77777777" w:rsidR="00A41837" w:rsidRDefault="00A41837">
            <w:pPr>
              <w:jc w:val="right"/>
              <w:rPr>
                <w:rFonts w:ascii="Cambria" w:hAnsi="Cambria" w:cs="Arial"/>
                <w:color w:val="000000"/>
                <w:sz w:val="18"/>
                <w:szCs w:val="18"/>
              </w:rPr>
            </w:pPr>
            <w:r>
              <w:rPr>
                <w:rFonts w:ascii="Cambria" w:hAnsi="Cambria"/>
                <w:color w:val="000000"/>
                <w:sz w:val="18"/>
              </w:rPr>
              <w:t>277 423</w:t>
            </w:r>
          </w:p>
        </w:tc>
        <w:tc>
          <w:tcPr>
            <w:tcW w:w="1043" w:type="pct"/>
            <w:tcBorders>
              <w:top w:val="nil"/>
              <w:left w:val="nil"/>
              <w:bottom w:val="nil"/>
              <w:right w:val="nil"/>
            </w:tcBorders>
            <w:shd w:val="clear" w:color="auto" w:fill="auto"/>
            <w:noWrap/>
            <w:vAlign w:val="bottom"/>
            <w:hideMark/>
          </w:tcPr>
          <w:p w14:paraId="483B5CB7" w14:textId="77777777" w:rsidR="00A41837" w:rsidRDefault="00A41837">
            <w:pPr>
              <w:jc w:val="right"/>
              <w:rPr>
                <w:rFonts w:ascii="Cambria" w:hAnsi="Cambria" w:cs="Arial"/>
                <w:color w:val="000000"/>
                <w:sz w:val="18"/>
                <w:szCs w:val="18"/>
              </w:rPr>
            </w:pPr>
            <w:r>
              <w:rPr>
                <w:rFonts w:ascii="Cambria" w:hAnsi="Cambria"/>
                <w:color w:val="000000"/>
                <w:sz w:val="18"/>
              </w:rPr>
              <w:t>386 049</w:t>
            </w:r>
          </w:p>
        </w:tc>
        <w:tc>
          <w:tcPr>
            <w:tcW w:w="1043" w:type="pct"/>
            <w:tcBorders>
              <w:top w:val="nil"/>
              <w:left w:val="nil"/>
              <w:bottom w:val="nil"/>
              <w:right w:val="nil"/>
            </w:tcBorders>
            <w:shd w:val="clear" w:color="auto" w:fill="auto"/>
            <w:noWrap/>
            <w:vAlign w:val="bottom"/>
            <w:hideMark/>
          </w:tcPr>
          <w:p w14:paraId="2860AC11" w14:textId="77777777" w:rsidR="00A41837" w:rsidRDefault="00A41837">
            <w:pPr>
              <w:jc w:val="right"/>
              <w:rPr>
                <w:rFonts w:ascii="Cambria" w:hAnsi="Cambria" w:cs="Arial"/>
                <w:color w:val="000000"/>
                <w:sz w:val="18"/>
                <w:szCs w:val="18"/>
              </w:rPr>
            </w:pPr>
            <w:r>
              <w:rPr>
                <w:rFonts w:ascii="Cambria" w:hAnsi="Cambria"/>
                <w:color w:val="000000"/>
                <w:sz w:val="18"/>
              </w:rPr>
              <w:t>(108 626)</w:t>
            </w:r>
          </w:p>
        </w:tc>
      </w:tr>
      <w:tr w:rsidR="00A41837" w14:paraId="614C23C6" w14:textId="77777777" w:rsidTr="00A41837">
        <w:trPr>
          <w:trHeight w:val="240"/>
        </w:trPr>
        <w:tc>
          <w:tcPr>
            <w:tcW w:w="1872" w:type="pct"/>
            <w:tcBorders>
              <w:top w:val="nil"/>
              <w:left w:val="nil"/>
              <w:bottom w:val="nil"/>
              <w:right w:val="nil"/>
            </w:tcBorders>
            <w:shd w:val="clear" w:color="auto" w:fill="auto"/>
            <w:noWrap/>
            <w:vAlign w:val="bottom"/>
            <w:hideMark/>
          </w:tcPr>
          <w:p w14:paraId="1A9C1F74" w14:textId="77777777" w:rsidR="00A41837" w:rsidRDefault="00A41837">
            <w:pPr>
              <w:rPr>
                <w:rFonts w:ascii="Cambria" w:hAnsi="Cambria" w:cs="Arial"/>
                <w:color w:val="000000"/>
                <w:sz w:val="18"/>
                <w:szCs w:val="18"/>
              </w:rPr>
            </w:pPr>
            <w:r>
              <w:rPr>
                <w:rFonts w:ascii="Cambria" w:hAnsi="Cambria"/>
                <w:color w:val="000000"/>
                <w:sz w:val="18"/>
              </w:rPr>
              <w:t>Remboursement des dépenses des franchisés</w:t>
            </w:r>
          </w:p>
        </w:tc>
        <w:tc>
          <w:tcPr>
            <w:tcW w:w="1043" w:type="pct"/>
            <w:tcBorders>
              <w:top w:val="nil"/>
              <w:left w:val="nil"/>
              <w:bottom w:val="nil"/>
              <w:right w:val="nil"/>
            </w:tcBorders>
            <w:shd w:val="clear" w:color="auto" w:fill="auto"/>
            <w:noWrap/>
            <w:vAlign w:val="bottom"/>
            <w:hideMark/>
          </w:tcPr>
          <w:p w14:paraId="726F6953" w14:textId="77777777" w:rsidR="00A41837" w:rsidRDefault="00A41837">
            <w:pPr>
              <w:jc w:val="right"/>
              <w:rPr>
                <w:rFonts w:ascii="Cambria" w:hAnsi="Cambria" w:cs="Arial"/>
                <w:color w:val="000000"/>
                <w:sz w:val="18"/>
                <w:szCs w:val="18"/>
              </w:rPr>
            </w:pPr>
            <w:r>
              <w:rPr>
                <w:rFonts w:ascii="Cambria" w:hAnsi="Cambria"/>
                <w:color w:val="000000"/>
                <w:sz w:val="18"/>
              </w:rPr>
              <w:t>41 796</w:t>
            </w:r>
          </w:p>
        </w:tc>
        <w:tc>
          <w:tcPr>
            <w:tcW w:w="1043" w:type="pct"/>
            <w:tcBorders>
              <w:top w:val="nil"/>
              <w:left w:val="nil"/>
              <w:bottom w:val="nil"/>
              <w:right w:val="nil"/>
            </w:tcBorders>
            <w:shd w:val="clear" w:color="auto" w:fill="auto"/>
            <w:noWrap/>
            <w:vAlign w:val="bottom"/>
            <w:hideMark/>
          </w:tcPr>
          <w:p w14:paraId="37287A3B" w14:textId="77777777" w:rsidR="00A41837" w:rsidRDefault="00A41837">
            <w:pPr>
              <w:jc w:val="right"/>
              <w:rPr>
                <w:rFonts w:ascii="Cambria" w:hAnsi="Cambria" w:cs="Arial"/>
                <w:color w:val="000000"/>
                <w:sz w:val="18"/>
                <w:szCs w:val="18"/>
              </w:rPr>
            </w:pPr>
            <w:r>
              <w:rPr>
                <w:rFonts w:ascii="Cambria" w:hAnsi="Cambria"/>
                <w:color w:val="000000"/>
                <w:sz w:val="18"/>
              </w:rPr>
              <w:t>10 320</w:t>
            </w:r>
          </w:p>
        </w:tc>
        <w:tc>
          <w:tcPr>
            <w:tcW w:w="1043" w:type="pct"/>
            <w:tcBorders>
              <w:top w:val="nil"/>
              <w:left w:val="nil"/>
              <w:bottom w:val="nil"/>
              <w:right w:val="nil"/>
            </w:tcBorders>
            <w:shd w:val="clear" w:color="auto" w:fill="auto"/>
            <w:noWrap/>
            <w:vAlign w:val="bottom"/>
            <w:hideMark/>
          </w:tcPr>
          <w:p w14:paraId="26E604A0" w14:textId="77777777" w:rsidR="00A41837" w:rsidRDefault="00A41837">
            <w:pPr>
              <w:jc w:val="right"/>
              <w:rPr>
                <w:rFonts w:ascii="Cambria" w:hAnsi="Cambria" w:cs="Arial"/>
                <w:color w:val="000000"/>
                <w:sz w:val="18"/>
                <w:szCs w:val="18"/>
              </w:rPr>
            </w:pPr>
            <w:r>
              <w:rPr>
                <w:rFonts w:ascii="Cambria" w:hAnsi="Cambria"/>
                <w:color w:val="000000"/>
                <w:sz w:val="18"/>
              </w:rPr>
              <w:t>31 475</w:t>
            </w:r>
          </w:p>
        </w:tc>
      </w:tr>
      <w:tr w:rsidR="00A41837" w14:paraId="7DC5C85C" w14:textId="77777777" w:rsidTr="00A41837">
        <w:trPr>
          <w:trHeight w:val="240"/>
        </w:trPr>
        <w:tc>
          <w:tcPr>
            <w:tcW w:w="1872" w:type="pct"/>
            <w:tcBorders>
              <w:top w:val="nil"/>
              <w:left w:val="nil"/>
              <w:bottom w:val="nil"/>
              <w:right w:val="nil"/>
            </w:tcBorders>
            <w:shd w:val="clear" w:color="auto" w:fill="auto"/>
            <w:noWrap/>
            <w:vAlign w:val="bottom"/>
            <w:hideMark/>
          </w:tcPr>
          <w:p w14:paraId="41053EDE" w14:textId="77777777" w:rsidR="00A41837" w:rsidRDefault="00A41837">
            <w:pPr>
              <w:rPr>
                <w:rFonts w:ascii="Cambria" w:hAnsi="Cambria" w:cs="Arial"/>
                <w:color w:val="000000"/>
                <w:sz w:val="18"/>
                <w:szCs w:val="18"/>
              </w:rPr>
            </w:pPr>
            <w:r>
              <w:rPr>
                <w:rFonts w:ascii="Cambria" w:hAnsi="Cambria"/>
                <w:color w:val="000000"/>
                <w:sz w:val="18"/>
              </w:rPr>
              <w:t>Remises/allocations à recevoir</w:t>
            </w:r>
          </w:p>
        </w:tc>
        <w:tc>
          <w:tcPr>
            <w:tcW w:w="1043" w:type="pct"/>
            <w:tcBorders>
              <w:top w:val="nil"/>
              <w:left w:val="nil"/>
              <w:bottom w:val="nil"/>
              <w:right w:val="nil"/>
            </w:tcBorders>
            <w:shd w:val="clear" w:color="auto" w:fill="auto"/>
            <w:noWrap/>
            <w:vAlign w:val="bottom"/>
            <w:hideMark/>
          </w:tcPr>
          <w:p w14:paraId="01499F9F" w14:textId="77777777" w:rsidR="00A41837" w:rsidRDefault="00A41837">
            <w:pPr>
              <w:jc w:val="right"/>
              <w:rPr>
                <w:rFonts w:ascii="Cambria" w:hAnsi="Cambria" w:cs="Arial"/>
                <w:color w:val="000000"/>
                <w:sz w:val="18"/>
                <w:szCs w:val="18"/>
              </w:rPr>
            </w:pPr>
            <w:r>
              <w:rPr>
                <w:rFonts w:ascii="Cambria" w:hAnsi="Cambria"/>
                <w:color w:val="000000"/>
                <w:sz w:val="18"/>
              </w:rPr>
              <w:t>1 623</w:t>
            </w:r>
          </w:p>
        </w:tc>
        <w:tc>
          <w:tcPr>
            <w:tcW w:w="1043" w:type="pct"/>
            <w:tcBorders>
              <w:top w:val="nil"/>
              <w:left w:val="nil"/>
              <w:bottom w:val="nil"/>
              <w:right w:val="nil"/>
            </w:tcBorders>
            <w:shd w:val="clear" w:color="auto" w:fill="auto"/>
            <w:noWrap/>
            <w:vAlign w:val="bottom"/>
            <w:hideMark/>
          </w:tcPr>
          <w:p w14:paraId="007D497E" w14:textId="77777777" w:rsidR="00A41837" w:rsidRDefault="00A41837">
            <w:pPr>
              <w:jc w:val="right"/>
              <w:rPr>
                <w:rFonts w:ascii="Cambria" w:hAnsi="Cambria" w:cs="Arial"/>
                <w:color w:val="000000"/>
                <w:sz w:val="18"/>
                <w:szCs w:val="18"/>
              </w:rPr>
            </w:pPr>
            <w:r>
              <w:rPr>
                <w:rFonts w:ascii="Cambria" w:hAnsi="Cambria"/>
                <w:color w:val="000000"/>
                <w:sz w:val="18"/>
              </w:rPr>
              <w:t>1 814</w:t>
            </w:r>
          </w:p>
        </w:tc>
        <w:tc>
          <w:tcPr>
            <w:tcW w:w="1043" w:type="pct"/>
            <w:tcBorders>
              <w:top w:val="nil"/>
              <w:left w:val="nil"/>
              <w:bottom w:val="nil"/>
              <w:right w:val="nil"/>
            </w:tcBorders>
            <w:shd w:val="clear" w:color="auto" w:fill="auto"/>
            <w:noWrap/>
            <w:vAlign w:val="bottom"/>
            <w:hideMark/>
          </w:tcPr>
          <w:p w14:paraId="61791920" w14:textId="77777777" w:rsidR="00A41837" w:rsidRDefault="00A41837">
            <w:pPr>
              <w:jc w:val="right"/>
              <w:rPr>
                <w:rFonts w:ascii="Cambria" w:hAnsi="Cambria" w:cs="Arial"/>
                <w:color w:val="000000"/>
                <w:sz w:val="18"/>
                <w:szCs w:val="18"/>
              </w:rPr>
            </w:pPr>
            <w:r>
              <w:rPr>
                <w:rFonts w:ascii="Cambria" w:hAnsi="Cambria"/>
                <w:color w:val="000000"/>
                <w:sz w:val="18"/>
              </w:rPr>
              <w:t>(191)</w:t>
            </w:r>
          </w:p>
        </w:tc>
      </w:tr>
      <w:tr w:rsidR="00A41837" w14:paraId="000EE9ED" w14:textId="77777777" w:rsidTr="00A41837">
        <w:trPr>
          <w:trHeight w:val="240"/>
        </w:trPr>
        <w:tc>
          <w:tcPr>
            <w:tcW w:w="1872" w:type="pct"/>
            <w:tcBorders>
              <w:top w:val="nil"/>
              <w:left w:val="nil"/>
              <w:bottom w:val="nil"/>
              <w:right w:val="nil"/>
            </w:tcBorders>
            <w:shd w:val="clear" w:color="auto" w:fill="auto"/>
            <w:noWrap/>
            <w:vAlign w:val="bottom"/>
            <w:hideMark/>
          </w:tcPr>
          <w:p w14:paraId="27A459F3" w14:textId="77777777" w:rsidR="00A41837" w:rsidRDefault="00A41837">
            <w:pPr>
              <w:rPr>
                <w:rFonts w:ascii="Cambria" w:hAnsi="Cambria" w:cs="Arial"/>
                <w:color w:val="000000"/>
                <w:sz w:val="18"/>
                <w:szCs w:val="18"/>
              </w:rPr>
            </w:pPr>
            <w:r>
              <w:rPr>
                <w:rFonts w:ascii="Cambria" w:hAnsi="Cambria"/>
                <w:color w:val="000000"/>
                <w:sz w:val="18"/>
              </w:rPr>
              <w:t>Actifs éventuels</w:t>
            </w:r>
          </w:p>
        </w:tc>
        <w:tc>
          <w:tcPr>
            <w:tcW w:w="1043" w:type="pct"/>
            <w:tcBorders>
              <w:top w:val="nil"/>
              <w:left w:val="nil"/>
              <w:bottom w:val="nil"/>
              <w:right w:val="nil"/>
            </w:tcBorders>
            <w:shd w:val="clear" w:color="auto" w:fill="auto"/>
            <w:noWrap/>
            <w:vAlign w:val="bottom"/>
            <w:hideMark/>
          </w:tcPr>
          <w:p w14:paraId="671B81BD" w14:textId="77777777" w:rsidR="00A41837" w:rsidRDefault="00A41837">
            <w:pPr>
              <w:jc w:val="right"/>
              <w:rPr>
                <w:rFonts w:ascii="Cambria" w:hAnsi="Cambria" w:cs="Arial"/>
                <w:color w:val="000000"/>
                <w:sz w:val="18"/>
                <w:szCs w:val="18"/>
              </w:rPr>
            </w:pPr>
            <w:r>
              <w:rPr>
                <w:rFonts w:ascii="Cambria" w:hAnsi="Cambria"/>
                <w:color w:val="000000"/>
                <w:sz w:val="18"/>
              </w:rPr>
              <w:t>5 798</w:t>
            </w:r>
          </w:p>
        </w:tc>
        <w:tc>
          <w:tcPr>
            <w:tcW w:w="1043" w:type="pct"/>
            <w:tcBorders>
              <w:top w:val="nil"/>
              <w:left w:val="nil"/>
              <w:bottom w:val="nil"/>
              <w:right w:val="nil"/>
            </w:tcBorders>
            <w:shd w:val="clear" w:color="auto" w:fill="auto"/>
            <w:noWrap/>
            <w:vAlign w:val="bottom"/>
            <w:hideMark/>
          </w:tcPr>
          <w:p w14:paraId="254D0DEC" w14:textId="77777777" w:rsidR="00A41837" w:rsidRDefault="00A41837">
            <w:pPr>
              <w:jc w:val="right"/>
              <w:rPr>
                <w:rFonts w:ascii="Cambria" w:hAnsi="Cambria" w:cs="Arial"/>
                <w:color w:val="000000"/>
                <w:sz w:val="18"/>
                <w:szCs w:val="18"/>
              </w:rPr>
            </w:pPr>
            <w:r>
              <w:rPr>
                <w:rFonts w:ascii="Cambria" w:hAnsi="Cambria"/>
                <w:color w:val="000000"/>
                <w:sz w:val="18"/>
              </w:rPr>
              <w:t>132 067</w:t>
            </w:r>
          </w:p>
        </w:tc>
        <w:tc>
          <w:tcPr>
            <w:tcW w:w="1043" w:type="pct"/>
            <w:tcBorders>
              <w:top w:val="nil"/>
              <w:left w:val="nil"/>
              <w:bottom w:val="nil"/>
              <w:right w:val="nil"/>
            </w:tcBorders>
            <w:shd w:val="clear" w:color="auto" w:fill="auto"/>
            <w:noWrap/>
            <w:vAlign w:val="bottom"/>
            <w:hideMark/>
          </w:tcPr>
          <w:p w14:paraId="181BDD8B" w14:textId="77777777" w:rsidR="00A41837" w:rsidRDefault="00A41837">
            <w:pPr>
              <w:jc w:val="right"/>
              <w:rPr>
                <w:rFonts w:ascii="Cambria" w:hAnsi="Cambria" w:cs="Arial"/>
                <w:color w:val="000000"/>
                <w:sz w:val="18"/>
                <w:szCs w:val="18"/>
              </w:rPr>
            </w:pPr>
            <w:r>
              <w:rPr>
                <w:rFonts w:ascii="Cambria" w:hAnsi="Cambria"/>
                <w:color w:val="000000"/>
                <w:sz w:val="18"/>
              </w:rPr>
              <w:t>(126 269)</w:t>
            </w:r>
          </w:p>
        </w:tc>
      </w:tr>
      <w:tr w:rsidR="00A41837" w14:paraId="21DC9779" w14:textId="77777777" w:rsidTr="00A41837">
        <w:trPr>
          <w:trHeight w:val="240"/>
        </w:trPr>
        <w:tc>
          <w:tcPr>
            <w:tcW w:w="1872" w:type="pct"/>
            <w:tcBorders>
              <w:top w:val="nil"/>
              <w:left w:val="nil"/>
              <w:bottom w:val="nil"/>
              <w:right w:val="nil"/>
            </w:tcBorders>
            <w:shd w:val="clear" w:color="auto" w:fill="auto"/>
            <w:noWrap/>
            <w:vAlign w:val="bottom"/>
            <w:hideMark/>
          </w:tcPr>
          <w:p w14:paraId="5730E710" w14:textId="77777777" w:rsidR="00A41837" w:rsidRDefault="00A41837">
            <w:pPr>
              <w:rPr>
                <w:rFonts w:ascii="Cambria" w:hAnsi="Cambria" w:cs="Arial"/>
                <w:color w:val="000000"/>
                <w:sz w:val="18"/>
                <w:szCs w:val="18"/>
              </w:rPr>
            </w:pPr>
            <w:r>
              <w:rPr>
                <w:rFonts w:ascii="Cambria" w:hAnsi="Cambria"/>
                <w:color w:val="000000"/>
                <w:sz w:val="18"/>
              </w:rPr>
              <w:t xml:space="preserve">Plus-values </w:t>
            </w:r>
          </w:p>
        </w:tc>
        <w:tc>
          <w:tcPr>
            <w:tcW w:w="1043" w:type="pct"/>
            <w:tcBorders>
              <w:top w:val="nil"/>
              <w:left w:val="nil"/>
              <w:bottom w:val="nil"/>
              <w:right w:val="nil"/>
            </w:tcBorders>
            <w:shd w:val="clear" w:color="auto" w:fill="auto"/>
            <w:noWrap/>
            <w:vAlign w:val="bottom"/>
            <w:hideMark/>
          </w:tcPr>
          <w:p w14:paraId="0A1D32F9" w14:textId="77777777" w:rsidR="00A41837" w:rsidRDefault="00A41837">
            <w:pPr>
              <w:jc w:val="right"/>
              <w:rPr>
                <w:rFonts w:ascii="Cambria" w:hAnsi="Cambria" w:cs="Arial"/>
                <w:color w:val="000000"/>
                <w:sz w:val="18"/>
                <w:szCs w:val="18"/>
              </w:rPr>
            </w:pPr>
            <w:r>
              <w:rPr>
                <w:rFonts w:ascii="Cambria" w:hAnsi="Cambria"/>
                <w:color w:val="000000"/>
                <w:sz w:val="18"/>
              </w:rPr>
              <w:t>33 423</w:t>
            </w:r>
          </w:p>
        </w:tc>
        <w:tc>
          <w:tcPr>
            <w:tcW w:w="1043" w:type="pct"/>
            <w:tcBorders>
              <w:top w:val="nil"/>
              <w:left w:val="nil"/>
              <w:bottom w:val="nil"/>
              <w:right w:val="nil"/>
            </w:tcBorders>
            <w:shd w:val="clear" w:color="auto" w:fill="auto"/>
            <w:noWrap/>
            <w:vAlign w:val="bottom"/>
            <w:hideMark/>
          </w:tcPr>
          <w:p w14:paraId="1D3939A0" w14:textId="77777777" w:rsidR="00A41837" w:rsidRDefault="00A41837">
            <w:pPr>
              <w:jc w:val="right"/>
              <w:rPr>
                <w:rFonts w:ascii="Cambria" w:hAnsi="Cambria" w:cs="Arial"/>
                <w:color w:val="000000"/>
                <w:sz w:val="18"/>
                <w:szCs w:val="18"/>
              </w:rPr>
            </w:pPr>
            <w:r>
              <w:rPr>
                <w:rFonts w:ascii="Cambria" w:hAnsi="Cambria"/>
                <w:color w:val="000000"/>
                <w:sz w:val="18"/>
              </w:rPr>
              <w:t>450 000</w:t>
            </w:r>
          </w:p>
        </w:tc>
        <w:tc>
          <w:tcPr>
            <w:tcW w:w="1043" w:type="pct"/>
            <w:tcBorders>
              <w:top w:val="nil"/>
              <w:left w:val="nil"/>
              <w:bottom w:val="nil"/>
              <w:right w:val="nil"/>
            </w:tcBorders>
            <w:shd w:val="clear" w:color="auto" w:fill="auto"/>
            <w:noWrap/>
            <w:vAlign w:val="bottom"/>
            <w:hideMark/>
          </w:tcPr>
          <w:p w14:paraId="37646752" w14:textId="77777777" w:rsidR="00A41837" w:rsidRDefault="00A41837">
            <w:pPr>
              <w:jc w:val="right"/>
              <w:rPr>
                <w:rFonts w:ascii="Cambria" w:hAnsi="Cambria" w:cs="Arial"/>
                <w:color w:val="000000"/>
                <w:sz w:val="18"/>
                <w:szCs w:val="18"/>
              </w:rPr>
            </w:pPr>
            <w:r>
              <w:rPr>
                <w:rFonts w:ascii="Cambria" w:hAnsi="Cambria"/>
                <w:color w:val="000000"/>
                <w:sz w:val="18"/>
              </w:rPr>
              <w:t>(416 578)</w:t>
            </w:r>
          </w:p>
        </w:tc>
      </w:tr>
      <w:tr w:rsidR="00A41837" w14:paraId="60DB1317" w14:textId="77777777" w:rsidTr="00A41837">
        <w:trPr>
          <w:trHeight w:val="240"/>
        </w:trPr>
        <w:tc>
          <w:tcPr>
            <w:tcW w:w="1872" w:type="pct"/>
            <w:tcBorders>
              <w:top w:val="nil"/>
              <w:left w:val="nil"/>
              <w:bottom w:val="nil"/>
              <w:right w:val="nil"/>
            </w:tcBorders>
            <w:shd w:val="clear" w:color="auto" w:fill="auto"/>
            <w:noWrap/>
            <w:vAlign w:val="bottom"/>
            <w:hideMark/>
          </w:tcPr>
          <w:p w14:paraId="26ABB8E7" w14:textId="77777777" w:rsidR="00A41837" w:rsidRDefault="00A41837">
            <w:pPr>
              <w:rPr>
                <w:rFonts w:ascii="Cambria" w:hAnsi="Cambria" w:cs="Arial"/>
                <w:color w:val="000000"/>
                <w:sz w:val="18"/>
                <w:szCs w:val="18"/>
              </w:rPr>
            </w:pPr>
            <w:r>
              <w:rPr>
                <w:rFonts w:ascii="Cambria" w:hAnsi="Cambria"/>
                <w:color w:val="000000"/>
                <w:sz w:val="18"/>
              </w:rPr>
              <w:t>Autres produits mineurs</w:t>
            </w:r>
          </w:p>
        </w:tc>
        <w:tc>
          <w:tcPr>
            <w:tcW w:w="1043" w:type="pct"/>
            <w:tcBorders>
              <w:top w:val="nil"/>
              <w:left w:val="nil"/>
              <w:bottom w:val="nil"/>
              <w:right w:val="nil"/>
            </w:tcBorders>
            <w:shd w:val="clear" w:color="auto" w:fill="auto"/>
            <w:noWrap/>
            <w:vAlign w:val="bottom"/>
            <w:hideMark/>
          </w:tcPr>
          <w:p w14:paraId="24E13562" w14:textId="77777777" w:rsidR="00A41837" w:rsidRDefault="00A41837">
            <w:pPr>
              <w:jc w:val="right"/>
              <w:rPr>
                <w:rFonts w:ascii="Cambria" w:hAnsi="Cambria" w:cs="Arial"/>
                <w:color w:val="000000"/>
                <w:sz w:val="18"/>
                <w:szCs w:val="18"/>
              </w:rPr>
            </w:pPr>
            <w:r>
              <w:rPr>
                <w:rFonts w:ascii="Cambria" w:hAnsi="Cambria"/>
                <w:color w:val="000000"/>
                <w:sz w:val="18"/>
              </w:rPr>
              <w:t>8 325</w:t>
            </w:r>
          </w:p>
        </w:tc>
        <w:tc>
          <w:tcPr>
            <w:tcW w:w="1043" w:type="pct"/>
            <w:tcBorders>
              <w:top w:val="nil"/>
              <w:left w:val="nil"/>
              <w:bottom w:val="nil"/>
              <w:right w:val="nil"/>
            </w:tcBorders>
            <w:shd w:val="clear" w:color="auto" w:fill="auto"/>
            <w:noWrap/>
            <w:vAlign w:val="bottom"/>
            <w:hideMark/>
          </w:tcPr>
          <w:p w14:paraId="6EC9C4AB" w14:textId="77777777" w:rsidR="00A41837" w:rsidRDefault="00A41837">
            <w:pPr>
              <w:jc w:val="right"/>
              <w:rPr>
                <w:rFonts w:ascii="Cambria" w:hAnsi="Cambria" w:cs="Arial"/>
                <w:color w:val="000000"/>
                <w:sz w:val="18"/>
                <w:szCs w:val="18"/>
              </w:rPr>
            </w:pPr>
            <w:r>
              <w:rPr>
                <w:rFonts w:ascii="Cambria" w:hAnsi="Cambria"/>
                <w:color w:val="000000"/>
                <w:sz w:val="18"/>
              </w:rPr>
              <w:t>1 257</w:t>
            </w:r>
          </w:p>
        </w:tc>
        <w:tc>
          <w:tcPr>
            <w:tcW w:w="1043" w:type="pct"/>
            <w:tcBorders>
              <w:top w:val="nil"/>
              <w:left w:val="nil"/>
              <w:bottom w:val="nil"/>
              <w:right w:val="nil"/>
            </w:tcBorders>
            <w:shd w:val="clear" w:color="auto" w:fill="auto"/>
            <w:noWrap/>
            <w:vAlign w:val="bottom"/>
            <w:hideMark/>
          </w:tcPr>
          <w:p w14:paraId="4D8ACCAE" w14:textId="77777777" w:rsidR="00A41837" w:rsidRDefault="00A41837">
            <w:pPr>
              <w:jc w:val="right"/>
              <w:rPr>
                <w:rFonts w:ascii="Cambria" w:hAnsi="Cambria" w:cs="Arial"/>
                <w:color w:val="000000"/>
                <w:sz w:val="18"/>
                <w:szCs w:val="18"/>
              </w:rPr>
            </w:pPr>
            <w:r>
              <w:rPr>
                <w:rFonts w:ascii="Cambria" w:hAnsi="Cambria"/>
                <w:color w:val="000000"/>
                <w:sz w:val="18"/>
              </w:rPr>
              <w:t>7 069</w:t>
            </w:r>
          </w:p>
        </w:tc>
      </w:tr>
      <w:tr w:rsidR="00A41837" w14:paraId="3C25E781" w14:textId="77777777" w:rsidTr="00A41837">
        <w:trPr>
          <w:trHeight w:val="255"/>
        </w:trPr>
        <w:tc>
          <w:tcPr>
            <w:tcW w:w="1872" w:type="pct"/>
            <w:tcBorders>
              <w:top w:val="nil"/>
              <w:left w:val="nil"/>
              <w:bottom w:val="nil"/>
              <w:right w:val="nil"/>
            </w:tcBorders>
            <w:shd w:val="clear" w:color="auto" w:fill="auto"/>
            <w:noWrap/>
            <w:vAlign w:val="bottom"/>
            <w:hideMark/>
          </w:tcPr>
          <w:p w14:paraId="4F783810" w14:textId="77777777" w:rsidR="00A41837" w:rsidRDefault="00A41837">
            <w:pPr>
              <w:rPr>
                <w:rFonts w:ascii="Cambria" w:hAnsi="Cambria" w:cs="Arial"/>
                <w:b/>
                <w:bCs/>
                <w:color w:val="000000"/>
                <w:sz w:val="18"/>
                <w:szCs w:val="18"/>
              </w:rPr>
            </w:pPr>
            <w:r>
              <w:rPr>
                <w:rFonts w:ascii="Cambria" w:hAnsi="Cambria"/>
                <w:b/>
                <w:color w:val="000000"/>
                <w:sz w:val="18"/>
              </w:rPr>
              <w:t>Total Autres revenus</w:t>
            </w:r>
          </w:p>
        </w:tc>
        <w:tc>
          <w:tcPr>
            <w:tcW w:w="1043" w:type="pct"/>
            <w:tcBorders>
              <w:top w:val="single" w:sz="4" w:space="0" w:color="auto"/>
              <w:left w:val="nil"/>
              <w:bottom w:val="single" w:sz="8" w:space="0" w:color="auto"/>
              <w:right w:val="nil"/>
            </w:tcBorders>
            <w:shd w:val="clear" w:color="auto" w:fill="auto"/>
            <w:noWrap/>
            <w:vAlign w:val="bottom"/>
            <w:hideMark/>
          </w:tcPr>
          <w:p w14:paraId="520BAE6E" w14:textId="77777777" w:rsidR="00A41837" w:rsidRDefault="00A41837">
            <w:pPr>
              <w:jc w:val="right"/>
              <w:rPr>
                <w:rFonts w:ascii="Cambria" w:hAnsi="Cambria" w:cs="Arial"/>
                <w:b/>
                <w:bCs/>
                <w:color w:val="000000"/>
                <w:sz w:val="18"/>
                <w:szCs w:val="18"/>
              </w:rPr>
            </w:pPr>
            <w:r>
              <w:rPr>
                <w:rFonts w:ascii="Cambria" w:hAnsi="Cambria"/>
                <w:b/>
                <w:color w:val="000000"/>
                <w:sz w:val="18"/>
              </w:rPr>
              <w:t>378 086</w:t>
            </w:r>
          </w:p>
        </w:tc>
        <w:tc>
          <w:tcPr>
            <w:tcW w:w="1043" w:type="pct"/>
            <w:tcBorders>
              <w:top w:val="single" w:sz="4" w:space="0" w:color="auto"/>
              <w:left w:val="nil"/>
              <w:bottom w:val="single" w:sz="8" w:space="0" w:color="auto"/>
              <w:right w:val="nil"/>
            </w:tcBorders>
            <w:shd w:val="clear" w:color="auto" w:fill="auto"/>
            <w:noWrap/>
            <w:vAlign w:val="bottom"/>
            <w:hideMark/>
          </w:tcPr>
          <w:p w14:paraId="252F8C07" w14:textId="77777777" w:rsidR="00A41837" w:rsidRDefault="00A41837">
            <w:pPr>
              <w:jc w:val="right"/>
              <w:rPr>
                <w:rFonts w:ascii="Cambria" w:hAnsi="Cambria" w:cs="Arial"/>
                <w:b/>
                <w:bCs/>
                <w:color w:val="000000"/>
                <w:sz w:val="18"/>
                <w:szCs w:val="18"/>
              </w:rPr>
            </w:pPr>
            <w:r>
              <w:rPr>
                <w:rFonts w:ascii="Cambria" w:hAnsi="Cambria"/>
                <w:b/>
                <w:color w:val="000000"/>
                <w:sz w:val="18"/>
              </w:rPr>
              <w:t>998 921</w:t>
            </w:r>
          </w:p>
        </w:tc>
        <w:tc>
          <w:tcPr>
            <w:tcW w:w="1043" w:type="pct"/>
            <w:tcBorders>
              <w:top w:val="single" w:sz="4" w:space="0" w:color="auto"/>
              <w:left w:val="nil"/>
              <w:bottom w:val="single" w:sz="8" w:space="0" w:color="auto"/>
              <w:right w:val="nil"/>
            </w:tcBorders>
            <w:shd w:val="clear" w:color="auto" w:fill="auto"/>
            <w:noWrap/>
            <w:vAlign w:val="bottom"/>
            <w:hideMark/>
          </w:tcPr>
          <w:p w14:paraId="2C1BA8C2" w14:textId="77777777" w:rsidR="00A41837" w:rsidRDefault="00A41837">
            <w:pPr>
              <w:jc w:val="right"/>
              <w:rPr>
                <w:rFonts w:ascii="Cambria" w:hAnsi="Cambria" w:cs="Arial"/>
                <w:b/>
                <w:bCs/>
                <w:color w:val="000000"/>
                <w:sz w:val="18"/>
                <w:szCs w:val="18"/>
              </w:rPr>
            </w:pPr>
            <w:r>
              <w:rPr>
                <w:rFonts w:ascii="Cambria" w:hAnsi="Cambria"/>
                <w:b/>
                <w:color w:val="000000"/>
                <w:sz w:val="18"/>
              </w:rPr>
              <w:t>(620 835)</w:t>
            </w:r>
          </w:p>
        </w:tc>
      </w:tr>
      <w:tr w:rsidR="00A41837" w14:paraId="2FA9EEFE" w14:textId="77777777" w:rsidTr="00A41837">
        <w:trPr>
          <w:trHeight w:val="240"/>
        </w:trPr>
        <w:tc>
          <w:tcPr>
            <w:tcW w:w="1872" w:type="pct"/>
            <w:tcBorders>
              <w:top w:val="nil"/>
              <w:left w:val="nil"/>
              <w:bottom w:val="nil"/>
              <w:right w:val="nil"/>
            </w:tcBorders>
            <w:shd w:val="clear" w:color="auto" w:fill="auto"/>
            <w:noWrap/>
            <w:vAlign w:val="bottom"/>
            <w:hideMark/>
          </w:tcPr>
          <w:p w14:paraId="152F0F37" w14:textId="77777777" w:rsidR="00A41837" w:rsidRPr="00AE47CF" w:rsidRDefault="00A41837">
            <w:pPr>
              <w:rPr>
                <w:rFonts w:ascii="Cambria" w:hAnsi="Cambria" w:cs="Arial"/>
                <w:b/>
                <w:bCs/>
                <w:i/>
                <w:iCs/>
                <w:color w:val="000000"/>
                <w:sz w:val="18"/>
                <w:szCs w:val="18"/>
              </w:rPr>
            </w:pPr>
            <w:proofErr w:type="gramStart"/>
            <w:r>
              <w:rPr>
                <w:rFonts w:ascii="Cambria" w:hAnsi="Cambria"/>
                <w:b/>
                <w:i/>
                <w:color w:val="000000"/>
                <w:sz w:val="18"/>
              </w:rPr>
              <w:t>dont</w:t>
            </w:r>
            <w:proofErr w:type="gramEnd"/>
            <w:r>
              <w:rPr>
                <w:rFonts w:ascii="Cambria" w:hAnsi="Cambria"/>
                <w:b/>
                <w:i/>
                <w:color w:val="000000"/>
                <w:sz w:val="18"/>
              </w:rPr>
              <w:t xml:space="preserve"> avec des parties liées</w:t>
            </w:r>
          </w:p>
        </w:tc>
        <w:tc>
          <w:tcPr>
            <w:tcW w:w="1043" w:type="pct"/>
            <w:tcBorders>
              <w:top w:val="nil"/>
              <w:left w:val="nil"/>
              <w:bottom w:val="nil"/>
              <w:right w:val="nil"/>
            </w:tcBorders>
            <w:shd w:val="clear" w:color="auto" w:fill="auto"/>
            <w:noWrap/>
            <w:vAlign w:val="bottom"/>
            <w:hideMark/>
          </w:tcPr>
          <w:p w14:paraId="4967722B" w14:textId="40B9D892" w:rsidR="00A41837" w:rsidRPr="00AE47CF" w:rsidRDefault="00B362E9">
            <w:pPr>
              <w:jc w:val="right"/>
              <w:rPr>
                <w:rFonts w:ascii="Cambria" w:hAnsi="Cambria" w:cs="Arial"/>
                <w:b/>
                <w:bCs/>
                <w:i/>
                <w:iCs/>
                <w:color w:val="000000"/>
                <w:sz w:val="18"/>
                <w:szCs w:val="18"/>
              </w:rPr>
            </w:pPr>
            <w:r>
              <w:rPr>
                <w:rFonts w:ascii="Cambria" w:hAnsi="Cambria"/>
                <w:b/>
                <w:i/>
                <w:color w:val="000000"/>
                <w:sz w:val="18"/>
              </w:rPr>
              <w:t>18 000</w:t>
            </w:r>
          </w:p>
        </w:tc>
        <w:tc>
          <w:tcPr>
            <w:tcW w:w="1043" w:type="pct"/>
            <w:tcBorders>
              <w:top w:val="nil"/>
              <w:left w:val="nil"/>
              <w:bottom w:val="nil"/>
              <w:right w:val="nil"/>
            </w:tcBorders>
            <w:shd w:val="clear" w:color="auto" w:fill="auto"/>
            <w:noWrap/>
            <w:vAlign w:val="bottom"/>
            <w:hideMark/>
          </w:tcPr>
          <w:p w14:paraId="2093B683" w14:textId="34B6271E" w:rsidR="00A41837" w:rsidRPr="00AE47CF" w:rsidRDefault="00B362E9">
            <w:pPr>
              <w:jc w:val="right"/>
              <w:rPr>
                <w:rFonts w:ascii="Cambria" w:hAnsi="Cambria" w:cs="Arial"/>
                <w:b/>
                <w:bCs/>
                <w:i/>
                <w:iCs/>
                <w:color w:val="000000"/>
                <w:sz w:val="18"/>
                <w:szCs w:val="18"/>
              </w:rPr>
            </w:pPr>
            <w:r>
              <w:rPr>
                <w:rFonts w:ascii="Cambria" w:hAnsi="Cambria"/>
                <w:b/>
                <w:i/>
                <w:color w:val="000000"/>
                <w:sz w:val="18"/>
              </w:rPr>
              <w:t>0</w:t>
            </w:r>
          </w:p>
        </w:tc>
        <w:tc>
          <w:tcPr>
            <w:tcW w:w="1043" w:type="pct"/>
            <w:tcBorders>
              <w:top w:val="nil"/>
              <w:left w:val="nil"/>
              <w:bottom w:val="nil"/>
              <w:right w:val="nil"/>
            </w:tcBorders>
            <w:shd w:val="clear" w:color="auto" w:fill="auto"/>
            <w:noWrap/>
            <w:vAlign w:val="bottom"/>
            <w:hideMark/>
          </w:tcPr>
          <w:p w14:paraId="5DCD7FBA" w14:textId="34963A7E" w:rsidR="00A41837" w:rsidRPr="0061181E" w:rsidRDefault="00047C32" w:rsidP="0061181E">
            <w:pPr>
              <w:jc w:val="right"/>
              <w:rPr>
                <w:rFonts w:ascii="Cambria" w:hAnsi="Cambria" w:cs="Arial"/>
                <w:b/>
                <w:bCs/>
                <w:i/>
                <w:iCs/>
                <w:color w:val="000000"/>
                <w:sz w:val="18"/>
                <w:szCs w:val="18"/>
              </w:rPr>
            </w:pPr>
            <w:r>
              <w:rPr>
                <w:rFonts w:ascii="Cambria" w:hAnsi="Cambria"/>
                <w:b/>
                <w:i/>
                <w:color w:val="000000"/>
                <w:sz w:val="18"/>
              </w:rPr>
              <w:t>18 000</w:t>
            </w:r>
          </w:p>
        </w:tc>
      </w:tr>
    </w:tbl>
    <w:p w14:paraId="3760031F" w14:textId="4B884A88" w:rsidR="00F25944" w:rsidRDefault="00F25944" w:rsidP="00717185">
      <w:pPr>
        <w:spacing w:after="120" w:line="276" w:lineRule="auto"/>
        <w:jc w:val="both"/>
        <w:rPr>
          <w:rFonts w:ascii="Cambria" w:hAnsi="Cambria"/>
          <w:sz w:val="22"/>
          <w:szCs w:val="22"/>
        </w:rPr>
      </w:pPr>
    </w:p>
    <w:p w14:paraId="4BDD79B4" w14:textId="472236D1" w:rsidR="00721EC9" w:rsidRDefault="008039A9" w:rsidP="00E16D12">
      <w:pPr>
        <w:spacing w:after="200" w:line="276" w:lineRule="auto"/>
        <w:jc w:val="both"/>
        <w:rPr>
          <w:rFonts w:ascii="Cambria" w:hAnsi="Cambria"/>
          <w:sz w:val="22"/>
          <w:szCs w:val="22"/>
        </w:rPr>
      </w:pPr>
      <w:r>
        <w:rPr>
          <w:rFonts w:ascii="Cambria" w:hAnsi="Cambria"/>
          <w:sz w:val="22"/>
        </w:rPr>
        <w:t xml:space="preserve">Il convient de noter que le poste est influencé positivement, en particulier, par les contributions reçues de la Région des Pouilles telles que "Aide à l'investissement pour les petites et moyennes entreprises" POR </w:t>
      </w:r>
      <w:proofErr w:type="spellStart"/>
      <w:r>
        <w:rPr>
          <w:rFonts w:ascii="Cambria" w:hAnsi="Cambria"/>
          <w:sz w:val="22"/>
        </w:rPr>
        <w:t>Puglia</w:t>
      </w:r>
      <w:proofErr w:type="spellEnd"/>
      <w:r>
        <w:rPr>
          <w:rFonts w:ascii="Cambria" w:hAnsi="Cambria"/>
          <w:sz w:val="22"/>
        </w:rPr>
        <w:t xml:space="preserve"> FESR-FSE 2014-2020 pour un total de 277 000 euros.</w:t>
      </w:r>
    </w:p>
    <w:p w14:paraId="51E6A200" w14:textId="77777777" w:rsidR="00F25944" w:rsidRPr="00454EE7" w:rsidRDefault="00F25944" w:rsidP="00717185">
      <w:pPr>
        <w:spacing w:after="120" w:line="276" w:lineRule="auto"/>
        <w:jc w:val="both"/>
        <w:rPr>
          <w:rFonts w:ascii="Cambria" w:hAnsi="Cambria"/>
          <w:sz w:val="2"/>
          <w:szCs w:val="2"/>
        </w:rPr>
      </w:pPr>
    </w:p>
    <w:p w14:paraId="0A92D618" w14:textId="77777777" w:rsidR="00E16D12" w:rsidRPr="00CC51B4" w:rsidRDefault="00E16D12" w:rsidP="00E16D12">
      <w:pPr>
        <w:pStyle w:val="Titolo2"/>
        <w:numPr>
          <w:ilvl w:val="0"/>
          <w:numId w:val="6"/>
        </w:numPr>
        <w:spacing w:line="240" w:lineRule="auto"/>
        <w:ind w:left="357" w:right="0" w:hanging="357"/>
        <w:jc w:val="left"/>
        <w:rPr>
          <w:i w:val="0"/>
        </w:rPr>
      </w:pPr>
      <w:bookmarkStart w:id="157" w:name="_Toc112768689"/>
      <w:r>
        <w:rPr>
          <w:i w:val="0"/>
        </w:rPr>
        <w:t>Coûts des matières premières, des produits semi-finis et des consommables.</w:t>
      </w:r>
      <w:bookmarkEnd w:id="157"/>
    </w:p>
    <w:p w14:paraId="3E2C192E" w14:textId="77777777" w:rsidR="00E16D12" w:rsidRPr="00454EE7" w:rsidRDefault="00E16D12" w:rsidP="00E16D12">
      <w:pPr>
        <w:rPr>
          <w:rFonts w:ascii="Cambria" w:hAnsi="Cambria"/>
          <w:sz w:val="2"/>
          <w:szCs w:val="2"/>
        </w:rPr>
      </w:pPr>
    </w:p>
    <w:p w14:paraId="77661399" w14:textId="66D11852" w:rsidR="00AB52A3" w:rsidRDefault="00E16D12" w:rsidP="00AB52A3">
      <w:pPr>
        <w:spacing w:after="200" w:line="276" w:lineRule="auto"/>
        <w:jc w:val="both"/>
        <w:rPr>
          <w:rFonts w:ascii="Cambria" w:hAnsi="Cambria"/>
          <w:sz w:val="22"/>
          <w:szCs w:val="22"/>
        </w:rPr>
      </w:pPr>
      <w:r>
        <w:rPr>
          <w:rFonts w:ascii="Cambria" w:hAnsi="Cambria"/>
          <w:sz w:val="22"/>
        </w:rPr>
        <w:t>La composition du poste « Coûts des matières premières et consommables » pour la période du 1er janvier au 30 juin 2021, par rapport aux mêmes valeurs pour la période du 1er janvier au 30 juin 2020, est la suivante :</w:t>
      </w:r>
    </w:p>
    <w:tbl>
      <w:tblPr>
        <w:tblW w:w="5000" w:type="pct"/>
        <w:tblCellMar>
          <w:left w:w="70" w:type="dxa"/>
          <w:right w:w="70" w:type="dxa"/>
        </w:tblCellMar>
        <w:tblLook w:val="04A0" w:firstRow="1" w:lastRow="0" w:firstColumn="1" w:lastColumn="0" w:noHBand="0" w:noVBand="1"/>
      </w:tblPr>
      <w:tblGrid>
        <w:gridCol w:w="5055"/>
        <w:gridCol w:w="1528"/>
        <w:gridCol w:w="1528"/>
        <w:gridCol w:w="1527"/>
      </w:tblGrid>
      <w:tr w:rsidR="00B362E9" w14:paraId="6EF6FD49" w14:textId="77777777" w:rsidTr="00B362E9">
        <w:trPr>
          <w:trHeight w:val="495"/>
        </w:trPr>
        <w:tc>
          <w:tcPr>
            <w:tcW w:w="2238" w:type="pct"/>
            <w:tcBorders>
              <w:top w:val="single" w:sz="4" w:space="0" w:color="0070C0"/>
              <w:left w:val="nil"/>
              <w:bottom w:val="single" w:sz="8" w:space="0" w:color="0070C0"/>
              <w:right w:val="nil"/>
            </w:tcBorders>
            <w:shd w:val="clear" w:color="auto" w:fill="auto"/>
            <w:noWrap/>
            <w:vAlign w:val="bottom"/>
            <w:hideMark/>
          </w:tcPr>
          <w:p w14:paraId="2F9DB954" w14:textId="77777777" w:rsidR="00B362E9" w:rsidRDefault="00B362E9">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921" w:type="pct"/>
            <w:tcBorders>
              <w:top w:val="single" w:sz="4" w:space="0" w:color="0070C0"/>
              <w:left w:val="nil"/>
              <w:bottom w:val="single" w:sz="8" w:space="0" w:color="0070C0"/>
              <w:right w:val="nil"/>
            </w:tcBorders>
            <w:shd w:val="clear" w:color="auto" w:fill="auto"/>
            <w:vAlign w:val="bottom"/>
            <w:hideMark/>
          </w:tcPr>
          <w:p w14:paraId="50DB8D4D" w14:textId="77777777" w:rsidR="00B362E9" w:rsidRDefault="00B362E9">
            <w:pPr>
              <w:jc w:val="center"/>
              <w:rPr>
                <w:rFonts w:ascii="Cambria" w:hAnsi="Cambria" w:cs="Arial"/>
                <w:b/>
                <w:bCs/>
                <w:color w:val="000000"/>
                <w:sz w:val="18"/>
                <w:szCs w:val="18"/>
              </w:rPr>
            </w:pPr>
            <w:r>
              <w:rPr>
                <w:rFonts w:ascii="Cambria" w:hAnsi="Cambria"/>
                <w:b/>
                <w:color w:val="000000"/>
                <w:sz w:val="18"/>
              </w:rPr>
              <w:t xml:space="preserve">1er janvier 2021 - </w:t>
            </w:r>
            <w:r>
              <w:rPr>
                <w:rFonts w:ascii="Cambria" w:hAnsi="Cambria"/>
                <w:b/>
                <w:bCs/>
                <w:color w:val="000000"/>
                <w:sz w:val="18"/>
                <w:szCs w:val="18"/>
              </w:rPr>
              <w:br/>
            </w:r>
            <w:r>
              <w:rPr>
                <w:rFonts w:ascii="Cambria" w:hAnsi="Cambria"/>
                <w:b/>
                <w:color w:val="000000"/>
                <w:sz w:val="18"/>
              </w:rPr>
              <w:t>30 juin 2021</w:t>
            </w:r>
          </w:p>
        </w:tc>
        <w:tc>
          <w:tcPr>
            <w:tcW w:w="921" w:type="pct"/>
            <w:tcBorders>
              <w:top w:val="single" w:sz="4" w:space="0" w:color="0070C0"/>
              <w:left w:val="nil"/>
              <w:bottom w:val="single" w:sz="8" w:space="0" w:color="0070C0"/>
              <w:right w:val="nil"/>
            </w:tcBorders>
            <w:shd w:val="clear" w:color="auto" w:fill="auto"/>
            <w:vAlign w:val="bottom"/>
            <w:hideMark/>
          </w:tcPr>
          <w:p w14:paraId="11C8AF3F" w14:textId="77777777" w:rsidR="00B362E9" w:rsidRDefault="00B362E9">
            <w:pPr>
              <w:jc w:val="center"/>
              <w:rPr>
                <w:rFonts w:ascii="Cambria" w:hAnsi="Cambria" w:cs="Arial"/>
                <w:b/>
                <w:bCs/>
                <w:color w:val="000000"/>
                <w:sz w:val="18"/>
                <w:szCs w:val="18"/>
              </w:rPr>
            </w:pPr>
            <w:r>
              <w:rPr>
                <w:rFonts w:ascii="Cambria" w:hAnsi="Cambria"/>
                <w:b/>
                <w:color w:val="000000"/>
                <w:sz w:val="18"/>
              </w:rPr>
              <w:t xml:space="preserve">1er janvier 2020 - </w:t>
            </w:r>
            <w:r>
              <w:rPr>
                <w:rFonts w:ascii="Cambria" w:hAnsi="Cambria"/>
                <w:b/>
                <w:bCs/>
                <w:color w:val="000000"/>
                <w:sz w:val="18"/>
                <w:szCs w:val="18"/>
              </w:rPr>
              <w:br/>
            </w:r>
            <w:r>
              <w:rPr>
                <w:rFonts w:ascii="Cambria" w:hAnsi="Cambria"/>
                <w:b/>
                <w:color w:val="000000"/>
                <w:sz w:val="18"/>
              </w:rPr>
              <w:t>30 juin 2020</w:t>
            </w:r>
          </w:p>
        </w:tc>
        <w:tc>
          <w:tcPr>
            <w:tcW w:w="921" w:type="pct"/>
            <w:tcBorders>
              <w:top w:val="single" w:sz="4" w:space="0" w:color="0070C0"/>
              <w:left w:val="nil"/>
              <w:bottom w:val="single" w:sz="8" w:space="0" w:color="0070C0"/>
              <w:right w:val="nil"/>
            </w:tcBorders>
            <w:shd w:val="clear" w:color="auto" w:fill="auto"/>
            <w:vAlign w:val="bottom"/>
            <w:hideMark/>
          </w:tcPr>
          <w:p w14:paraId="5AF7C96B" w14:textId="77777777" w:rsidR="00B362E9" w:rsidRDefault="00B362E9">
            <w:pPr>
              <w:jc w:val="center"/>
              <w:rPr>
                <w:rFonts w:ascii="Cambria" w:hAnsi="Cambria" w:cs="Arial"/>
                <w:b/>
                <w:bCs/>
                <w:color w:val="000000"/>
                <w:sz w:val="18"/>
                <w:szCs w:val="18"/>
              </w:rPr>
            </w:pPr>
            <w:r>
              <w:rPr>
                <w:rFonts w:ascii="Cambria" w:hAnsi="Cambria"/>
                <w:b/>
                <w:color w:val="000000"/>
                <w:sz w:val="18"/>
              </w:rPr>
              <w:t>Variations</w:t>
            </w:r>
          </w:p>
        </w:tc>
      </w:tr>
      <w:tr w:rsidR="00B362E9" w14:paraId="177205F6" w14:textId="77777777" w:rsidTr="00B362E9">
        <w:trPr>
          <w:trHeight w:val="228"/>
        </w:trPr>
        <w:tc>
          <w:tcPr>
            <w:tcW w:w="2238" w:type="pct"/>
            <w:tcBorders>
              <w:top w:val="nil"/>
              <w:left w:val="nil"/>
              <w:bottom w:val="nil"/>
              <w:right w:val="nil"/>
            </w:tcBorders>
            <w:shd w:val="clear" w:color="auto" w:fill="auto"/>
            <w:noWrap/>
            <w:vAlign w:val="bottom"/>
            <w:hideMark/>
          </w:tcPr>
          <w:p w14:paraId="145FDD8C" w14:textId="77777777" w:rsidR="00B362E9" w:rsidRDefault="00B362E9">
            <w:pPr>
              <w:rPr>
                <w:rFonts w:ascii="Cambria" w:hAnsi="Cambria" w:cs="Arial"/>
                <w:color w:val="000000"/>
                <w:sz w:val="18"/>
                <w:szCs w:val="18"/>
              </w:rPr>
            </w:pPr>
            <w:r>
              <w:rPr>
                <w:rFonts w:ascii="Cambria" w:hAnsi="Cambria"/>
                <w:color w:val="000000"/>
                <w:sz w:val="18"/>
              </w:rPr>
              <w:t>Achats de biens</w:t>
            </w:r>
          </w:p>
        </w:tc>
        <w:tc>
          <w:tcPr>
            <w:tcW w:w="921" w:type="pct"/>
            <w:tcBorders>
              <w:top w:val="nil"/>
              <w:left w:val="nil"/>
              <w:bottom w:val="nil"/>
              <w:right w:val="nil"/>
            </w:tcBorders>
            <w:shd w:val="clear" w:color="auto" w:fill="auto"/>
            <w:noWrap/>
            <w:vAlign w:val="bottom"/>
            <w:hideMark/>
          </w:tcPr>
          <w:p w14:paraId="3CC2F96F" w14:textId="77777777" w:rsidR="00B362E9" w:rsidRDefault="00B362E9">
            <w:pPr>
              <w:jc w:val="right"/>
              <w:rPr>
                <w:rFonts w:ascii="Cambria" w:hAnsi="Cambria" w:cs="Arial"/>
                <w:color w:val="000000"/>
                <w:sz w:val="18"/>
                <w:szCs w:val="18"/>
              </w:rPr>
            </w:pPr>
            <w:r>
              <w:rPr>
                <w:rFonts w:ascii="Cambria" w:hAnsi="Cambria"/>
                <w:color w:val="000000"/>
                <w:sz w:val="18"/>
              </w:rPr>
              <w:t>4 589 268</w:t>
            </w:r>
          </w:p>
        </w:tc>
        <w:tc>
          <w:tcPr>
            <w:tcW w:w="921" w:type="pct"/>
            <w:tcBorders>
              <w:top w:val="nil"/>
              <w:left w:val="nil"/>
              <w:bottom w:val="nil"/>
              <w:right w:val="nil"/>
            </w:tcBorders>
            <w:shd w:val="clear" w:color="auto" w:fill="auto"/>
            <w:noWrap/>
            <w:vAlign w:val="bottom"/>
            <w:hideMark/>
          </w:tcPr>
          <w:p w14:paraId="1EE7EC4C" w14:textId="77777777" w:rsidR="00B362E9" w:rsidRDefault="00B362E9">
            <w:pPr>
              <w:jc w:val="right"/>
              <w:rPr>
                <w:rFonts w:ascii="Cambria" w:hAnsi="Cambria" w:cs="Arial"/>
                <w:color w:val="000000"/>
                <w:sz w:val="18"/>
                <w:szCs w:val="18"/>
              </w:rPr>
            </w:pPr>
            <w:r>
              <w:rPr>
                <w:rFonts w:ascii="Cambria" w:hAnsi="Cambria"/>
                <w:color w:val="000000"/>
                <w:sz w:val="18"/>
              </w:rPr>
              <w:t>6 064 553</w:t>
            </w:r>
          </w:p>
        </w:tc>
        <w:tc>
          <w:tcPr>
            <w:tcW w:w="921" w:type="pct"/>
            <w:tcBorders>
              <w:top w:val="nil"/>
              <w:left w:val="nil"/>
              <w:bottom w:val="nil"/>
              <w:right w:val="nil"/>
            </w:tcBorders>
            <w:shd w:val="clear" w:color="auto" w:fill="auto"/>
            <w:noWrap/>
            <w:vAlign w:val="bottom"/>
            <w:hideMark/>
          </w:tcPr>
          <w:p w14:paraId="4260D256" w14:textId="77777777" w:rsidR="00B362E9" w:rsidRDefault="00B362E9">
            <w:pPr>
              <w:jc w:val="right"/>
              <w:rPr>
                <w:rFonts w:ascii="Cambria" w:hAnsi="Cambria" w:cs="Arial"/>
                <w:color w:val="000000"/>
                <w:sz w:val="18"/>
                <w:szCs w:val="18"/>
              </w:rPr>
            </w:pPr>
            <w:r>
              <w:rPr>
                <w:rFonts w:ascii="Cambria" w:hAnsi="Cambria"/>
                <w:color w:val="000000"/>
                <w:sz w:val="18"/>
              </w:rPr>
              <w:t>(1 475 285)</w:t>
            </w:r>
          </w:p>
        </w:tc>
      </w:tr>
      <w:tr w:rsidR="00B362E9" w14:paraId="366803DA" w14:textId="77777777" w:rsidTr="00B362E9">
        <w:trPr>
          <w:trHeight w:val="228"/>
        </w:trPr>
        <w:tc>
          <w:tcPr>
            <w:tcW w:w="2238" w:type="pct"/>
            <w:tcBorders>
              <w:top w:val="nil"/>
              <w:left w:val="nil"/>
              <w:bottom w:val="nil"/>
              <w:right w:val="nil"/>
            </w:tcBorders>
            <w:shd w:val="clear" w:color="auto" w:fill="auto"/>
            <w:noWrap/>
            <w:vAlign w:val="bottom"/>
            <w:hideMark/>
          </w:tcPr>
          <w:p w14:paraId="0C5B643E" w14:textId="77777777" w:rsidR="00B362E9" w:rsidRDefault="00B362E9">
            <w:pPr>
              <w:rPr>
                <w:rFonts w:ascii="Cambria" w:hAnsi="Cambria" w:cs="Arial"/>
                <w:color w:val="000000"/>
                <w:sz w:val="18"/>
                <w:szCs w:val="18"/>
              </w:rPr>
            </w:pPr>
            <w:r>
              <w:rPr>
                <w:rFonts w:ascii="Cambria" w:hAnsi="Cambria"/>
                <w:color w:val="000000"/>
                <w:sz w:val="18"/>
              </w:rPr>
              <w:t>Achats de consommables</w:t>
            </w:r>
          </w:p>
        </w:tc>
        <w:tc>
          <w:tcPr>
            <w:tcW w:w="921" w:type="pct"/>
            <w:tcBorders>
              <w:top w:val="nil"/>
              <w:left w:val="nil"/>
              <w:bottom w:val="nil"/>
              <w:right w:val="nil"/>
            </w:tcBorders>
            <w:shd w:val="clear" w:color="auto" w:fill="auto"/>
            <w:noWrap/>
            <w:vAlign w:val="bottom"/>
            <w:hideMark/>
          </w:tcPr>
          <w:p w14:paraId="29216901" w14:textId="77777777" w:rsidR="00B362E9" w:rsidRDefault="00B362E9">
            <w:pPr>
              <w:jc w:val="right"/>
              <w:rPr>
                <w:rFonts w:ascii="Cambria" w:hAnsi="Cambria" w:cs="Arial"/>
                <w:color w:val="000000"/>
                <w:sz w:val="18"/>
                <w:szCs w:val="18"/>
              </w:rPr>
            </w:pPr>
            <w:r>
              <w:rPr>
                <w:rFonts w:ascii="Cambria" w:hAnsi="Cambria"/>
                <w:color w:val="000000"/>
                <w:sz w:val="18"/>
              </w:rPr>
              <w:t>45 440</w:t>
            </w:r>
          </w:p>
        </w:tc>
        <w:tc>
          <w:tcPr>
            <w:tcW w:w="921" w:type="pct"/>
            <w:tcBorders>
              <w:top w:val="nil"/>
              <w:left w:val="nil"/>
              <w:bottom w:val="nil"/>
              <w:right w:val="nil"/>
            </w:tcBorders>
            <w:shd w:val="clear" w:color="auto" w:fill="auto"/>
            <w:noWrap/>
            <w:vAlign w:val="bottom"/>
            <w:hideMark/>
          </w:tcPr>
          <w:p w14:paraId="01C613F9" w14:textId="77777777" w:rsidR="00B362E9" w:rsidRDefault="00B362E9">
            <w:pPr>
              <w:jc w:val="right"/>
              <w:rPr>
                <w:rFonts w:ascii="Cambria" w:hAnsi="Cambria" w:cs="Arial"/>
                <w:color w:val="000000"/>
                <w:sz w:val="18"/>
                <w:szCs w:val="18"/>
              </w:rPr>
            </w:pPr>
            <w:r>
              <w:rPr>
                <w:rFonts w:ascii="Cambria" w:hAnsi="Cambria"/>
                <w:color w:val="000000"/>
                <w:sz w:val="18"/>
              </w:rPr>
              <w:t>44 354</w:t>
            </w:r>
          </w:p>
        </w:tc>
        <w:tc>
          <w:tcPr>
            <w:tcW w:w="921" w:type="pct"/>
            <w:tcBorders>
              <w:top w:val="nil"/>
              <w:left w:val="nil"/>
              <w:bottom w:val="nil"/>
              <w:right w:val="nil"/>
            </w:tcBorders>
            <w:shd w:val="clear" w:color="auto" w:fill="auto"/>
            <w:noWrap/>
            <w:vAlign w:val="bottom"/>
            <w:hideMark/>
          </w:tcPr>
          <w:p w14:paraId="26F8EB4F" w14:textId="77777777" w:rsidR="00B362E9" w:rsidRDefault="00B362E9">
            <w:pPr>
              <w:jc w:val="right"/>
              <w:rPr>
                <w:rFonts w:ascii="Cambria" w:hAnsi="Cambria" w:cs="Arial"/>
                <w:color w:val="000000"/>
                <w:sz w:val="18"/>
                <w:szCs w:val="18"/>
              </w:rPr>
            </w:pPr>
            <w:r>
              <w:rPr>
                <w:rFonts w:ascii="Cambria" w:hAnsi="Cambria"/>
                <w:color w:val="000000"/>
                <w:sz w:val="18"/>
              </w:rPr>
              <w:t>1 086</w:t>
            </w:r>
          </w:p>
        </w:tc>
      </w:tr>
      <w:tr w:rsidR="00B362E9" w14:paraId="157C1083" w14:textId="77777777" w:rsidTr="00B362E9">
        <w:trPr>
          <w:trHeight w:val="228"/>
        </w:trPr>
        <w:tc>
          <w:tcPr>
            <w:tcW w:w="2238" w:type="pct"/>
            <w:tcBorders>
              <w:top w:val="nil"/>
              <w:left w:val="nil"/>
              <w:bottom w:val="nil"/>
              <w:right w:val="nil"/>
            </w:tcBorders>
            <w:shd w:val="clear" w:color="auto" w:fill="auto"/>
            <w:noWrap/>
            <w:vAlign w:val="bottom"/>
            <w:hideMark/>
          </w:tcPr>
          <w:p w14:paraId="4F689DFB" w14:textId="77777777" w:rsidR="00B362E9" w:rsidRDefault="00B362E9">
            <w:pPr>
              <w:rPr>
                <w:rFonts w:ascii="Cambria" w:hAnsi="Cambria" w:cs="Arial"/>
                <w:color w:val="000000"/>
                <w:sz w:val="18"/>
                <w:szCs w:val="18"/>
              </w:rPr>
            </w:pPr>
            <w:r>
              <w:rPr>
                <w:rFonts w:ascii="Cambria" w:hAnsi="Cambria"/>
                <w:color w:val="000000"/>
                <w:sz w:val="18"/>
              </w:rPr>
              <w:t>Frais accessoires sur les achats</w:t>
            </w:r>
          </w:p>
        </w:tc>
        <w:tc>
          <w:tcPr>
            <w:tcW w:w="921" w:type="pct"/>
            <w:tcBorders>
              <w:top w:val="nil"/>
              <w:left w:val="nil"/>
              <w:bottom w:val="nil"/>
              <w:right w:val="nil"/>
            </w:tcBorders>
            <w:shd w:val="clear" w:color="auto" w:fill="auto"/>
            <w:noWrap/>
            <w:vAlign w:val="bottom"/>
            <w:hideMark/>
          </w:tcPr>
          <w:p w14:paraId="7B819393" w14:textId="77777777" w:rsidR="00B362E9" w:rsidRDefault="00B362E9">
            <w:pPr>
              <w:jc w:val="right"/>
              <w:rPr>
                <w:rFonts w:ascii="Cambria" w:hAnsi="Cambria" w:cs="Arial"/>
                <w:color w:val="000000"/>
                <w:sz w:val="18"/>
                <w:szCs w:val="18"/>
              </w:rPr>
            </w:pPr>
            <w:r>
              <w:rPr>
                <w:rFonts w:ascii="Cambria" w:hAnsi="Cambria"/>
                <w:color w:val="000000"/>
                <w:sz w:val="18"/>
              </w:rPr>
              <w:t>197 312</w:t>
            </w:r>
          </w:p>
        </w:tc>
        <w:tc>
          <w:tcPr>
            <w:tcW w:w="921" w:type="pct"/>
            <w:tcBorders>
              <w:top w:val="nil"/>
              <w:left w:val="nil"/>
              <w:bottom w:val="nil"/>
              <w:right w:val="nil"/>
            </w:tcBorders>
            <w:shd w:val="clear" w:color="auto" w:fill="auto"/>
            <w:noWrap/>
            <w:vAlign w:val="bottom"/>
            <w:hideMark/>
          </w:tcPr>
          <w:p w14:paraId="35077619" w14:textId="77777777" w:rsidR="00B362E9" w:rsidRDefault="00B362E9">
            <w:pPr>
              <w:jc w:val="right"/>
              <w:rPr>
                <w:rFonts w:ascii="Cambria" w:hAnsi="Cambria" w:cs="Arial"/>
                <w:color w:val="000000"/>
                <w:sz w:val="18"/>
                <w:szCs w:val="18"/>
              </w:rPr>
            </w:pPr>
            <w:r>
              <w:rPr>
                <w:rFonts w:ascii="Cambria" w:hAnsi="Cambria"/>
                <w:color w:val="000000"/>
                <w:sz w:val="18"/>
              </w:rPr>
              <w:t>302 547</w:t>
            </w:r>
          </w:p>
        </w:tc>
        <w:tc>
          <w:tcPr>
            <w:tcW w:w="921" w:type="pct"/>
            <w:tcBorders>
              <w:top w:val="nil"/>
              <w:left w:val="nil"/>
              <w:bottom w:val="nil"/>
              <w:right w:val="nil"/>
            </w:tcBorders>
            <w:shd w:val="clear" w:color="auto" w:fill="auto"/>
            <w:noWrap/>
            <w:vAlign w:val="bottom"/>
            <w:hideMark/>
          </w:tcPr>
          <w:p w14:paraId="7A4A751F" w14:textId="77777777" w:rsidR="00B362E9" w:rsidRDefault="00B362E9">
            <w:pPr>
              <w:jc w:val="right"/>
              <w:rPr>
                <w:rFonts w:ascii="Cambria" w:hAnsi="Cambria" w:cs="Arial"/>
                <w:color w:val="000000"/>
                <w:sz w:val="18"/>
                <w:szCs w:val="18"/>
              </w:rPr>
            </w:pPr>
            <w:r>
              <w:rPr>
                <w:rFonts w:ascii="Cambria" w:hAnsi="Cambria"/>
                <w:color w:val="000000"/>
                <w:sz w:val="18"/>
              </w:rPr>
              <w:t>(105 234)</w:t>
            </w:r>
          </w:p>
        </w:tc>
      </w:tr>
      <w:tr w:rsidR="00B362E9" w14:paraId="79A41052" w14:textId="77777777" w:rsidTr="00B362E9">
        <w:trPr>
          <w:trHeight w:val="228"/>
        </w:trPr>
        <w:tc>
          <w:tcPr>
            <w:tcW w:w="2238" w:type="pct"/>
            <w:tcBorders>
              <w:top w:val="nil"/>
              <w:left w:val="nil"/>
              <w:bottom w:val="nil"/>
              <w:right w:val="nil"/>
            </w:tcBorders>
            <w:shd w:val="clear" w:color="auto" w:fill="auto"/>
            <w:noWrap/>
            <w:vAlign w:val="bottom"/>
            <w:hideMark/>
          </w:tcPr>
          <w:p w14:paraId="53923AF2" w14:textId="77777777" w:rsidR="00B362E9" w:rsidRDefault="00B362E9">
            <w:pPr>
              <w:rPr>
                <w:rFonts w:ascii="Cambria" w:hAnsi="Cambria" w:cs="Arial"/>
                <w:color w:val="000000"/>
                <w:sz w:val="18"/>
                <w:szCs w:val="18"/>
              </w:rPr>
            </w:pPr>
            <w:r>
              <w:rPr>
                <w:rFonts w:ascii="Cambria" w:hAnsi="Cambria"/>
                <w:color w:val="000000"/>
                <w:sz w:val="18"/>
              </w:rPr>
              <w:t>Variation des stocks de marchandises</w:t>
            </w:r>
          </w:p>
        </w:tc>
        <w:tc>
          <w:tcPr>
            <w:tcW w:w="921" w:type="pct"/>
            <w:tcBorders>
              <w:top w:val="nil"/>
              <w:left w:val="nil"/>
              <w:bottom w:val="nil"/>
              <w:right w:val="nil"/>
            </w:tcBorders>
            <w:shd w:val="clear" w:color="auto" w:fill="auto"/>
            <w:noWrap/>
            <w:vAlign w:val="bottom"/>
            <w:hideMark/>
          </w:tcPr>
          <w:p w14:paraId="2BEC2916" w14:textId="77777777" w:rsidR="00B362E9" w:rsidRDefault="00B362E9">
            <w:pPr>
              <w:jc w:val="right"/>
              <w:rPr>
                <w:rFonts w:ascii="Cambria" w:hAnsi="Cambria" w:cs="Arial"/>
                <w:color w:val="000000"/>
                <w:sz w:val="18"/>
                <w:szCs w:val="18"/>
              </w:rPr>
            </w:pPr>
            <w:r>
              <w:rPr>
                <w:rFonts w:ascii="Cambria" w:hAnsi="Cambria"/>
                <w:color w:val="000000"/>
                <w:sz w:val="18"/>
              </w:rPr>
              <w:t>377 776</w:t>
            </w:r>
          </w:p>
        </w:tc>
        <w:tc>
          <w:tcPr>
            <w:tcW w:w="921" w:type="pct"/>
            <w:tcBorders>
              <w:top w:val="nil"/>
              <w:left w:val="nil"/>
              <w:bottom w:val="nil"/>
              <w:right w:val="nil"/>
            </w:tcBorders>
            <w:shd w:val="clear" w:color="auto" w:fill="auto"/>
            <w:noWrap/>
            <w:vAlign w:val="bottom"/>
            <w:hideMark/>
          </w:tcPr>
          <w:p w14:paraId="1DF0FC4C" w14:textId="77777777" w:rsidR="00B362E9" w:rsidRDefault="00B362E9">
            <w:pPr>
              <w:jc w:val="right"/>
              <w:rPr>
                <w:rFonts w:ascii="Cambria" w:hAnsi="Cambria" w:cs="Arial"/>
                <w:color w:val="000000"/>
                <w:sz w:val="18"/>
                <w:szCs w:val="18"/>
              </w:rPr>
            </w:pPr>
            <w:r>
              <w:rPr>
                <w:rFonts w:ascii="Cambria" w:hAnsi="Cambria"/>
                <w:color w:val="000000"/>
                <w:sz w:val="18"/>
              </w:rPr>
              <w:t>(513 810)</w:t>
            </w:r>
          </w:p>
        </w:tc>
        <w:tc>
          <w:tcPr>
            <w:tcW w:w="921" w:type="pct"/>
            <w:tcBorders>
              <w:top w:val="nil"/>
              <w:left w:val="nil"/>
              <w:bottom w:val="nil"/>
              <w:right w:val="nil"/>
            </w:tcBorders>
            <w:shd w:val="clear" w:color="auto" w:fill="auto"/>
            <w:noWrap/>
            <w:vAlign w:val="bottom"/>
            <w:hideMark/>
          </w:tcPr>
          <w:p w14:paraId="410BB824" w14:textId="77777777" w:rsidR="00B362E9" w:rsidRDefault="00B362E9">
            <w:pPr>
              <w:jc w:val="right"/>
              <w:rPr>
                <w:rFonts w:ascii="Cambria" w:hAnsi="Cambria" w:cs="Arial"/>
                <w:color w:val="000000"/>
                <w:sz w:val="18"/>
                <w:szCs w:val="18"/>
              </w:rPr>
            </w:pPr>
            <w:r>
              <w:rPr>
                <w:rFonts w:ascii="Cambria" w:hAnsi="Cambria"/>
                <w:color w:val="000000"/>
                <w:sz w:val="18"/>
              </w:rPr>
              <w:t>891 586</w:t>
            </w:r>
          </w:p>
        </w:tc>
      </w:tr>
      <w:tr w:rsidR="00B362E9" w14:paraId="5D456133" w14:textId="77777777" w:rsidTr="00B362E9">
        <w:trPr>
          <w:trHeight w:val="228"/>
        </w:trPr>
        <w:tc>
          <w:tcPr>
            <w:tcW w:w="2238" w:type="pct"/>
            <w:tcBorders>
              <w:top w:val="nil"/>
              <w:left w:val="nil"/>
              <w:bottom w:val="nil"/>
              <w:right w:val="nil"/>
            </w:tcBorders>
            <w:shd w:val="clear" w:color="auto" w:fill="auto"/>
            <w:noWrap/>
            <w:vAlign w:val="bottom"/>
            <w:hideMark/>
          </w:tcPr>
          <w:p w14:paraId="2613126D" w14:textId="77777777" w:rsidR="00B362E9" w:rsidRDefault="00B362E9">
            <w:pPr>
              <w:rPr>
                <w:rFonts w:ascii="Cambria" w:hAnsi="Cambria" w:cs="Arial"/>
                <w:b/>
                <w:bCs/>
                <w:color w:val="000000"/>
                <w:sz w:val="18"/>
                <w:szCs w:val="18"/>
              </w:rPr>
            </w:pPr>
            <w:r>
              <w:rPr>
                <w:rFonts w:ascii="Cambria" w:hAnsi="Cambria"/>
                <w:b/>
                <w:color w:val="000000"/>
                <w:sz w:val="18"/>
              </w:rPr>
              <w:t>Total Coûts des matières premières, des produits semi-finis</w:t>
            </w:r>
          </w:p>
        </w:tc>
        <w:tc>
          <w:tcPr>
            <w:tcW w:w="921" w:type="pct"/>
            <w:tcBorders>
              <w:top w:val="nil"/>
              <w:left w:val="nil"/>
              <w:bottom w:val="nil"/>
              <w:right w:val="nil"/>
            </w:tcBorders>
            <w:shd w:val="clear" w:color="auto" w:fill="auto"/>
            <w:noWrap/>
            <w:vAlign w:val="bottom"/>
            <w:hideMark/>
          </w:tcPr>
          <w:p w14:paraId="44B6A428" w14:textId="77777777" w:rsidR="00B362E9" w:rsidRDefault="00B362E9">
            <w:pPr>
              <w:rPr>
                <w:rFonts w:ascii="Cambria" w:hAnsi="Cambria" w:cs="Arial"/>
                <w:b/>
                <w:bCs/>
                <w:color w:val="000000"/>
                <w:sz w:val="18"/>
                <w:szCs w:val="18"/>
              </w:rPr>
            </w:pPr>
          </w:p>
        </w:tc>
        <w:tc>
          <w:tcPr>
            <w:tcW w:w="921" w:type="pct"/>
            <w:tcBorders>
              <w:top w:val="nil"/>
              <w:left w:val="nil"/>
              <w:bottom w:val="nil"/>
              <w:right w:val="nil"/>
            </w:tcBorders>
            <w:shd w:val="clear" w:color="auto" w:fill="auto"/>
            <w:noWrap/>
            <w:vAlign w:val="bottom"/>
            <w:hideMark/>
          </w:tcPr>
          <w:p w14:paraId="2DC47417" w14:textId="77777777" w:rsidR="00B362E9" w:rsidRDefault="00B362E9">
            <w:pPr>
              <w:rPr>
                <w:sz w:val="20"/>
                <w:szCs w:val="20"/>
              </w:rPr>
            </w:pPr>
          </w:p>
        </w:tc>
        <w:tc>
          <w:tcPr>
            <w:tcW w:w="921" w:type="pct"/>
            <w:tcBorders>
              <w:top w:val="nil"/>
              <w:left w:val="nil"/>
              <w:bottom w:val="nil"/>
              <w:right w:val="nil"/>
            </w:tcBorders>
            <w:shd w:val="clear" w:color="auto" w:fill="auto"/>
            <w:noWrap/>
            <w:vAlign w:val="bottom"/>
            <w:hideMark/>
          </w:tcPr>
          <w:p w14:paraId="64A65CDC" w14:textId="77777777" w:rsidR="00B362E9" w:rsidRDefault="00B362E9">
            <w:pPr>
              <w:rPr>
                <w:sz w:val="20"/>
                <w:szCs w:val="20"/>
              </w:rPr>
            </w:pPr>
          </w:p>
        </w:tc>
      </w:tr>
      <w:tr w:rsidR="00B362E9" w14:paraId="524CF547" w14:textId="77777777" w:rsidTr="00B362E9">
        <w:trPr>
          <w:trHeight w:val="240"/>
        </w:trPr>
        <w:tc>
          <w:tcPr>
            <w:tcW w:w="2238" w:type="pct"/>
            <w:tcBorders>
              <w:top w:val="nil"/>
              <w:left w:val="nil"/>
              <w:bottom w:val="nil"/>
              <w:right w:val="nil"/>
            </w:tcBorders>
            <w:shd w:val="clear" w:color="auto" w:fill="auto"/>
            <w:noWrap/>
            <w:vAlign w:val="bottom"/>
            <w:hideMark/>
          </w:tcPr>
          <w:p w14:paraId="49AED657" w14:textId="77777777" w:rsidR="00B362E9" w:rsidRDefault="00B362E9">
            <w:pPr>
              <w:rPr>
                <w:rFonts w:ascii="Cambria" w:hAnsi="Cambria" w:cs="Arial"/>
                <w:b/>
                <w:bCs/>
                <w:color w:val="000000"/>
                <w:sz w:val="18"/>
                <w:szCs w:val="18"/>
              </w:rPr>
            </w:pPr>
            <w:r>
              <w:rPr>
                <w:rFonts w:ascii="Cambria" w:hAnsi="Cambria"/>
                <w:b/>
                <w:color w:val="000000"/>
                <w:sz w:val="18"/>
              </w:rPr>
              <w:t xml:space="preserve"> </w:t>
            </w:r>
            <w:proofErr w:type="gramStart"/>
            <w:r>
              <w:rPr>
                <w:rFonts w:ascii="Cambria" w:hAnsi="Cambria"/>
                <w:b/>
                <w:color w:val="000000"/>
                <w:sz w:val="18"/>
              </w:rPr>
              <w:t>et</w:t>
            </w:r>
            <w:proofErr w:type="gramEnd"/>
            <w:r>
              <w:rPr>
                <w:rFonts w:ascii="Cambria" w:hAnsi="Cambria"/>
                <w:b/>
                <w:color w:val="000000"/>
                <w:sz w:val="18"/>
              </w:rPr>
              <w:t xml:space="preserve"> consommables</w:t>
            </w:r>
          </w:p>
        </w:tc>
        <w:tc>
          <w:tcPr>
            <w:tcW w:w="921" w:type="pct"/>
            <w:tcBorders>
              <w:top w:val="single" w:sz="4" w:space="0" w:color="auto"/>
              <w:left w:val="nil"/>
              <w:bottom w:val="single" w:sz="8" w:space="0" w:color="auto"/>
              <w:right w:val="nil"/>
            </w:tcBorders>
            <w:shd w:val="clear" w:color="auto" w:fill="auto"/>
            <w:noWrap/>
            <w:vAlign w:val="bottom"/>
            <w:hideMark/>
          </w:tcPr>
          <w:p w14:paraId="5361A843" w14:textId="77777777" w:rsidR="00B362E9" w:rsidRDefault="00B362E9">
            <w:pPr>
              <w:jc w:val="right"/>
              <w:rPr>
                <w:rFonts w:ascii="Cambria" w:hAnsi="Cambria" w:cs="Arial"/>
                <w:b/>
                <w:bCs/>
                <w:color w:val="000000"/>
                <w:sz w:val="18"/>
                <w:szCs w:val="18"/>
              </w:rPr>
            </w:pPr>
            <w:r>
              <w:rPr>
                <w:rFonts w:ascii="Cambria" w:hAnsi="Cambria"/>
                <w:b/>
                <w:color w:val="000000"/>
                <w:sz w:val="18"/>
              </w:rPr>
              <w:t>5 209 797</w:t>
            </w:r>
          </w:p>
        </w:tc>
        <w:tc>
          <w:tcPr>
            <w:tcW w:w="921" w:type="pct"/>
            <w:tcBorders>
              <w:top w:val="single" w:sz="4" w:space="0" w:color="auto"/>
              <w:left w:val="nil"/>
              <w:bottom w:val="single" w:sz="8" w:space="0" w:color="auto"/>
              <w:right w:val="nil"/>
            </w:tcBorders>
            <w:shd w:val="clear" w:color="auto" w:fill="auto"/>
            <w:noWrap/>
            <w:vAlign w:val="bottom"/>
            <w:hideMark/>
          </w:tcPr>
          <w:p w14:paraId="6480F851" w14:textId="77777777" w:rsidR="00B362E9" w:rsidRDefault="00B362E9">
            <w:pPr>
              <w:jc w:val="right"/>
              <w:rPr>
                <w:rFonts w:ascii="Cambria" w:hAnsi="Cambria" w:cs="Arial"/>
                <w:b/>
                <w:bCs/>
                <w:color w:val="000000"/>
                <w:sz w:val="18"/>
                <w:szCs w:val="18"/>
              </w:rPr>
            </w:pPr>
            <w:r>
              <w:rPr>
                <w:rFonts w:ascii="Cambria" w:hAnsi="Cambria"/>
                <w:b/>
                <w:color w:val="000000"/>
                <w:sz w:val="18"/>
              </w:rPr>
              <w:t>5 897 644</w:t>
            </w:r>
          </w:p>
        </w:tc>
        <w:tc>
          <w:tcPr>
            <w:tcW w:w="921" w:type="pct"/>
            <w:tcBorders>
              <w:top w:val="single" w:sz="4" w:space="0" w:color="auto"/>
              <w:left w:val="nil"/>
              <w:bottom w:val="single" w:sz="8" w:space="0" w:color="auto"/>
              <w:right w:val="nil"/>
            </w:tcBorders>
            <w:shd w:val="clear" w:color="auto" w:fill="auto"/>
            <w:noWrap/>
            <w:vAlign w:val="bottom"/>
            <w:hideMark/>
          </w:tcPr>
          <w:p w14:paraId="42C31D6F" w14:textId="77777777" w:rsidR="00B362E9" w:rsidRDefault="00B362E9">
            <w:pPr>
              <w:jc w:val="right"/>
              <w:rPr>
                <w:rFonts w:ascii="Cambria" w:hAnsi="Cambria" w:cs="Arial"/>
                <w:b/>
                <w:bCs/>
                <w:color w:val="000000"/>
                <w:sz w:val="18"/>
                <w:szCs w:val="18"/>
              </w:rPr>
            </w:pPr>
            <w:r>
              <w:rPr>
                <w:rFonts w:ascii="Cambria" w:hAnsi="Cambria"/>
                <w:b/>
                <w:color w:val="000000"/>
                <w:sz w:val="18"/>
              </w:rPr>
              <w:t>(687 847)</w:t>
            </w:r>
          </w:p>
        </w:tc>
      </w:tr>
    </w:tbl>
    <w:p w14:paraId="20D58AEE" w14:textId="1387010A" w:rsidR="00F25944" w:rsidRDefault="00F25944" w:rsidP="00E16D12">
      <w:pPr>
        <w:spacing w:after="200" w:line="276" w:lineRule="auto"/>
        <w:jc w:val="both"/>
        <w:rPr>
          <w:rFonts w:ascii="Cambria" w:hAnsi="Cambria"/>
          <w:sz w:val="22"/>
          <w:szCs w:val="22"/>
        </w:rPr>
      </w:pPr>
    </w:p>
    <w:p w14:paraId="31569E4C" w14:textId="6F7CD93D" w:rsidR="00B2745E" w:rsidRPr="00C17031" w:rsidRDefault="00B2745E" w:rsidP="00B2745E">
      <w:pPr>
        <w:spacing w:after="200" w:line="276" w:lineRule="auto"/>
        <w:jc w:val="both"/>
        <w:rPr>
          <w:rFonts w:ascii="Cambria" w:hAnsi="Cambria"/>
          <w:sz w:val="22"/>
          <w:szCs w:val="22"/>
        </w:rPr>
      </w:pPr>
      <w:r>
        <w:rPr>
          <w:rFonts w:ascii="Cambria" w:hAnsi="Cambria"/>
          <w:sz w:val="22"/>
        </w:rPr>
        <w:t xml:space="preserve">Les coûts des matières premières, des matériaux auxiliaires et des consommables se réfèrent principalement à l'achat de marchandises destinées à être revendues dans les différents points de vente. </w:t>
      </w:r>
    </w:p>
    <w:p w14:paraId="6303A6F8" w14:textId="0679D8E2" w:rsidR="00934C5B" w:rsidRDefault="008039A9" w:rsidP="00E16D12">
      <w:pPr>
        <w:spacing w:after="200" w:line="276" w:lineRule="auto"/>
        <w:jc w:val="both"/>
        <w:rPr>
          <w:rFonts w:ascii="Cambria" w:hAnsi="Cambria"/>
          <w:sz w:val="22"/>
          <w:szCs w:val="22"/>
        </w:rPr>
      </w:pPr>
      <w:r>
        <w:rPr>
          <w:rFonts w:ascii="Cambria" w:hAnsi="Cambria"/>
          <w:sz w:val="22"/>
        </w:rPr>
        <w:t xml:space="preserve">La réduction de ces coûts par rapport à l'année précédente, égale à 688 000 euros, est principalement due à une réduction des coûts d'achat des marchandises. </w:t>
      </w:r>
    </w:p>
    <w:p w14:paraId="1E295E60" w14:textId="77777777" w:rsidR="00E16D12" w:rsidRPr="005C0658" w:rsidRDefault="00E16D12" w:rsidP="00E16D12">
      <w:pPr>
        <w:pStyle w:val="Titolo2"/>
        <w:numPr>
          <w:ilvl w:val="0"/>
          <w:numId w:val="6"/>
        </w:numPr>
        <w:spacing w:line="240" w:lineRule="auto"/>
        <w:ind w:left="357" w:right="0" w:hanging="357"/>
        <w:jc w:val="left"/>
        <w:rPr>
          <w:i w:val="0"/>
        </w:rPr>
      </w:pPr>
      <w:bookmarkStart w:id="158" w:name="_Toc112768690"/>
      <w:r>
        <w:rPr>
          <w:i w:val="0"/>
        </w:rPr>
        <w:t>Coûts de services</w:t>
      </w:r>
      <w:bookmarkEnd w:id="158"/>
    </w:p>
    <w:p w14:paraId="34163A07" w14:textId="77777777" w:rsidR="00E16D12" w:rsidRPr="00C17031" w:rsidRDefault="00E16D12" w:rsidP="00E16D12">
      <w:pPr>
        <w:rPr>
          <w:rFonts w:ascii="Cambria" w:hAnsi="Cambria"/>
          <w:highlight w:val="green"/>
        </w:rPr>
      </w:pPr>
    </w:p>
    <w:p w14:paraId="3A504DCD" w14:textId="34198A96" w:rsidR="00E65E66" w:rsidRDefault="00E16D12" w:rsidP="00E65E66">
      <w:pPr>
        <w:spacing w:after="200" w:line="276" w:lineRule="auto"/>
        <w:jc w:val="both"/>
        <w:rPr>
          <w:rFonts w:ascii="Cambria" w:hAnsi="Cambria"/>
          <w:sz w:val="22"/>
          <w:szCs w:val="22"/>
        </w:rPr>
      </w:pPr>
      <w:r>
        <w:rPr>
          <w:rFonts w:ascii="Cambria" w:hAnsi="Cambria"/>
          <w:sz w:val="22"/>
        </w:rPr>
        <w:t>La composition du poste « Coûts de services » pour la période du 1er janvier au 30 juin 2021, par rapport aux mêmes valeurs pour la période du 1er janvier au 30 juin 2020, est la suivante :</w:t>
      </w:r>
    </w:p>
    <w:tbl>
      <w:tblPr>
        <w:tblW w:w="9580" w:type="dxa"/>
        <w:tblCellMar>
          <w:left w:w="70" w:type="dxa"/>
          <w:right w:w="70" w:type="dxa"/>
        </w:tblCellMar>
        <w:tblLook w:val="04A0" w:firstRow="1" w:lastRow="0" w:firstColumn="1" w:lastColumn="0" w:noHBand="0" w:noVBand="1"/>
      </w:tblPr>
      <w:tblGrid>
        <w:gridCol w:w="4600"/>
        <w:gridCol w:w="1660"/>
        <w:gridCol w:w="1660"/>
        <w:gridCol w:w="1660"/>
      </w:tblGrid>
      <w:tr w:rsidR="00E65E66" w14:paraId="690AB5AD" w14:textId="77777777" w:rsidTr="00E65E66">
        <w:trPr>
          <w:trHeight w:val="495"/>
        </w:trPr>
        <w:tc>
          <w:tcPr>
            <w:tcW w:w="4600" w:type="dxa"/>
            <w:tcBorders>
              <w:top w:val="single" w:sz="4" w:space="0" w:color="0070C0"/>
              <w:left w:val="nil"/>
              <w:bottom w:val="single" w:sz="8" w:space="0" w:color="0070C0"/>
              <w:right w:val="nil"/>
            </w:tcBorders>
            <w:shd w:val="clear" w:color="auto" w:fill="auto"/>
            <w:noWrap/>
            <w:vAlign w:val="bottom"/>
            <w:hideMark/>
          </w:tcPr>
          <w:p w14:paraId="3ED95668" w14:textId="77777777" w:rsidR="00E65E66" w:rsidRDefault="00E65E66">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660" w:type="dxa"/>
            <w:tcBorders>
              <w:top w:val="single" w:sz="4" w:space="0" w:color="0070C0"/>
              <w:left w:val="nil"/>
              <w:bottom w:val="single" w:sz="8" w:space="0" w:color="0070C0"/>
              <w:right w:val="nil"/>
            </w:tcBorders>
            <w:shd w:val="clear" w:color="auto" w:fill="auto"/>
            <w:vAlign w:val="bottom"/>
            <w:hideMark/>
          </w:tcPr>
          <w:p w14:paraId="32D4ACDF" w14:textId="77777777" w:rsidR="00E65E66" w:rsidRDefault="00E65E66">
            <w:pPr>
              <w:jc w:val="center"/>
              <w:rPr>
                <w:rFonts w:ascii="Cambria" w:hAnsi="Cambria" w:cs="Arial"/>
                <w:b/>
                <w:bCs/>
                <w:color w:val="000000"/>
                <w:sz w:val="18"/>
                <w:szCs w:val="18"/>
              </w:rPr>
            </w:pPr>
            <w:r>
              <w:rPr>
                <w:rFonts w:ascii="Cambria" w:hAnsi="Cambria"/>
                <w:b/>
                <w:color w:val="000000"/>
                <w:sz w:val="18"/>
              </w:rPr>
              <w:t xml:space="preserve">1er janvier 2021 - </w:t>
            </w:r>
            <w:r>
              <w:rPr>
                <w:rFonts w:ascii="Cambria" w:hAnsi="Cambria"/>
                <w:b/>
                <w:bCs/>
                <w:color w:val="000000"/>
                <w:sz w:val="18"/>
                <w:szCs w:val="18"/>
              </w:rPr>
              <w:br/>
            </w:r>
            <w:r>
              <w:rPr>
                <w:rFonts w:ascii="Cambria" w:hAnsi="Cambria"/>
                <w:b/>
                <w:color w:val="000000"/>
                <w:sz w:val="18"/>
              </w:rPr>
              <w:t>30 juin 2021</w:t>
            </w:r>
          </w:p>
        </w:tc>
        <w:tc>
          <w:tcPr>
            <w:tcW w:w="1660" w:type="dxa"/>
            <w:tcBorders>
              <w:top w:val="single" w:sz="4" w:space="0" w:color="0070C0"/>
              <w:left w:val="nil"/>
              <w:bottom w:val="single" w:sz="8" w:space="0" w:color="0070C0"/>
              <w:right w:val="nil"/>
            </w:tcBorders>
            <w:shd w:val="clear" w:color="auto" w:fill="auto"/>
            <w:vAlign w:val="bottom"/>
            <w:hideMark/>
          </w:tcPr>
          <w:p w14:paraId="23F8BFBB" w14:textId="77777777" w:rsidR="00E65E66" w:rsidRDefault="00E65E66">
            <w:pPr>
              <w:jc w:val="center"/>
              <w:rPr>
                <w:rFonts w:ascii="Cambria" w:hAnsi="Cambria" w:cs="Arial"/>
                <w:b/>
                <w:bCs/>
                <w:color w:val="000000"/>
                <w:sz w:val="18"/>
                <w:szCs w:val="18"/>
              </w:rPr>
            </w:pPr>
            <w:r>
              <w:rPr>
                <w:rFonts w:ascii="Cambria" w:hAnsi="Cambria"/>
                <w:b/>
                <w:color w:val="000000"/>
                <w:sz w:val="18"/>
              </w:rPr>
              <w:t xml:space="preserve">1er janvier 2020 - </w:t>
            </w:r>
            <w:r>
              <w:rPr>
                <w:rFonts w:ascii="Cambria" w:hAnsi="Cambria"/>
                <w:b/>
                <w:bCs/>
                <w:color w:val="000000"/>
                <w:sz w:val="18"/>
                <w:szCs w:val="18"/>
              </w:rPr>
              <w:br/>
            </w:r>
            <w:r>
              <w:rPr>
                <w:rFonts w:ascii="Cambria" w:hAnsi="Cambria"/>
                <w:b/>
                <w:color w:val="000000"/>
                <w:sz w:val="18"/>
              </w:rPr>
              <w:t>30 juin 2020</w:t>
            </w:r>
          </w:p>
        </w:tc>
        <w:tc>
          <w:tcPr>
            <w:tcW w:w="1660" w:type="dxa"/>
            <w:tcBorders>
              <w:top w:val="single" w:sz="4" w:space="0" w:color="0070C0"/>
              <w:left w:val="nil"/>
              <w:bottom w:val="single" w:sz="8" w:space="0" w:color="0070C0"/>
              <w:right w:val="nil"/>
            </w:tcBorders>
            <w:shd w:val="clear" w:color="auto" w:fill="auto"/>
            <w:vAlign w:val="bottom"/>
            <w:hideMark/>
          </w:tcPr>
          <w:p w14:paraId="18E01ECF" w14:textId="77777777" w:rsidR="00E65E66" w:rsidRDefault="00E65E66">
            <w:pPr>
              <w:jc w:val="center"/>
              <w:rPr>
                <w:rFonts w:ascii="Cambria" w:hAnsi="Cambria" w:cs="Arial"/>
                <w:b/>
                <w:bCs/>
                <w:color w:val="000000"/>
                <w:sz w:val="18"/>
                <w:szCs w:val="18"/>
              </w:rPr>
            </w:pPr>
            <w:r>
              <w:rPr>
                <w:rFonts w:ascii="Cambria" w:hAnsi="Cambria"/>
                <w:b/>
                <w:color w:val="000000"/>
                <w:sz w:val="18"/>
              </w:rPr>
              <w:t>Variations</w:t>
            </w:r>
          </w:p>
        </w:tc>
      </w:tr>
      <w:tr w:rsidR="00E65E66" w14:paraId="01F02372" w14:textId="77777777" w:rsidTr="00E65E66">
        <w:trPr>
          <w:trHeight w:val="240"/>
        </w:trPr>
        <w:tc>
          <w:tcPr>
            <w:tcW w:w="4600" w:type="dxa"/>
            <w:tcBorders>
              <w:top w:val="nil"/>
              <w:left w:val="nil"/>
              <w:bottom w:val="nil"/>
              <w:right w:val="nil"/>
            </w:tcBorders>
            <w:shd w:val="clear" w:color="auto" w:fill="auto"/>
            <w:noWrap/>
            <w:vAlign w:val="bottom"/>
            <w:hideMark/>
          </w:tcPr>
          <w:p w14:paraId="5AE89CD1" w14:textId="77777777" w:rsidR="00E65E66" w:rsidRDefault="00E65E66">
            <w:pPr>
              <w:rPr>
                <w:rFonts w:ascii="Cambria" w:hAnsi="Cambria" w:cs="Arial"/>
                <w:color w:val="000000"/>
                <w:sz w:val="18"/>
                <w:szCs w:val="18"/>
              </w:rPr>
            </w:pPr>
            <w:r>
              <w:rPr>
                <w:rFonts w:ascii="Cambria" w:hAnsi="Cambria"/>
                <w:color w:val="000000"/>
                <w:sz w:val="18"/>
              </w:rPr>
              <w:t>Frais de téléphone</w:t>
            </w:r>
          </w:p>
        </w:tc>
        <w:tc>
          <w:tcPr>
            <w:tcW w:w="1660" w:type="dxa"/>
            <w:tcBorders>
              <w:top w:val="nil"/>
              <w:left w:val="nil"/>
              <w:bottom w:val="nil"/>
              <w:right w:val="nil"/>
            </w:tcBorders>
            <w:shd w:val="clear" w:color="auto" w:fill="auto"/>
            <w:noWrap/>
            <w:vAlign w:val="bottom"/>
            <w:hideMark/>
          </w:tcPr>
          <w:p w14:paraId="28D4D824" w14:textId="77777777" w:rsidR="00E65E66" w:rsidRDefault="00E65E66">
            <w:pPr>
              <w:jc w:val="right"/>
              <w:rPr>
                <w:rFonts w:ascii="Cambria" w:hAnsi="Cambria" w:cs="Arial"/>
                <w:color w:val="000000"/>
                <w:sz w:val="18"/>
                <w:szCs w:val="18"/>
              </w:rPr>
            </w:pPr>
            <w:r>
              <w:rPr>
                <w:rFonts w:ascii="Cambria" w:hAnsi="Cambria"/>
                <w:color w:val="000000"/>
                <w:sz w:val="18"/>
              </w:rPr>
              <w:t>20 233</w:t>
            </w:r>
          </w:p>
        </w:tc>
        <w:tc>
          <w:tcPr>
            <w:tcW w:w="1660" w:type="dxa"/>
            <w:tcBorders>
              <w:top w:val="nil"/>
              <w:left w:val="nil"/>
              <w:bottom w:val="nil"/>
              <w:right w:val="nil"/>
            </w:tcBorders>
            <w:shd w:val="clear" w:color="auto" w:fill="auto"/>
            <w:noWrap/>
            <w:vAlign w:val="bottom"/>
            <w:hideMark/>
          </w:tcPr>
          <w:p w14:paraId="0874AB3B" w14:textId="77777777" w:rsidR="00E65E66" w:rsidRDefault="00E65E66">
            <w:pPr>
              <w:jc w:val="right"/>
              <w:rPr>
                <w:rFonts w:ascii="Cambria" w:hAnsi="Cambria" w:cs="Arial"/>
                <w:color w:val="000000"/>
                <w:sz w:val="18"/>
                <w:szCs w:val="18"/>
              </w:rPr>
            </w:pPr>
            <w:r>
              <w:rPr>
                <w:rFonts w:ascii="Cambria" w:hAnsi="Cambria"/>
                <w:color w:val="000000"/>
                <w:sz w:val="18"/>
              </w:rPr>
              <w:t>16 466</w:t>
            </w:r>
          </w:p>
        </w:tc>
        <w:tc>
          <w:tcPr>
            <w:tcW w:w="1660" w:type="dxa"/>
            <w:tcBorders>
              <w:top w:val="nil"/>
              <w:left w:val="nil"/>
              <w:bottom w:val="nil"/>
              <w:right w:val="nil"/>
            </w:tcBorders>
            <w:shd w:val="clear" w:color="auto" w:fill="auto"/>
            <w:noWrap/>
            <w:vAlign w:val="bottom"/>
            <w:hideMark/>
          </w:tcPr>
          <w:p w14:paraId="7ED9BB37" w14:textId="77777777" w:rsidR="00E65E66" w:rsidRDefault="00E65E66">
            <w:pPr>
              <w:jc w:val="right"/>
              <w:rPr>
                <w:rFonts w:ascii="Cambria" w:hAnsi="Cambria" w:cs="Arial"/>
                <w:color w:val="000000"/>
                <w:sz w:val="18"/>
                <w:szCs w:val="18"/>
              </w:rPr>
            </w:pPr>
            <w:r>
              <w:rPr>
                <w:rFonts w:ascii="Cambria" w:hAnsi="Cambria"/>
                <w:color w:val="000000"/>
                <w:sz w:val="18"/>
              </w:rPr>
              <w:t>3 767</w:t>
            </w:r>
          </w:p>
        </w:tc>
      </w:tr>
      <w:tr w:rsidR="00E65E66" w14:paraId="1E409160" w14:textId="77777777" w:rsidTr="00E65E66">
        <w:trPr>
          <w:trHeight w:val="240"/>
        </w:trPr>
        <w:tc>
          <w:tcPr>
            <w:tcW w:w="4600" w:type="dxa"/>
            <w:tcBorders>
              <w:top w:val="nil"/>
              <w:left w:val="nil"/>
              <w:bottom w:val="nil"/>
              <w:right w:val="nil"/>
            </w:tcBorders>
            <w:shd w:val="clear" w:color="auto" w:fill="auto"/>
            <w:noWrap/>
            <w:vAlign w:val="bottom"/>
            <w:hideMark/>
          </w:tcPr>
          <w:p w14:paraId="748C86A1" w14:textId="77777777" w:rsidR="00E65E66" w:rsidRDefault="00E65E66">
            <w:pPr>
              <w:rPr>
                <w:rFonts w:ascii="Cambria" w:hAnsi="Cambria" w:cs="Arial"/>
                <w:color w:val="000000"/>
                <w:sz w:val="18"/>
                <w:szCs w:val="18"/>
              </w:rPr>
            </w:pPr>
            <w:r>
              <w:rPr>
                <w:rFonts w:ascii="Cambria" w:hAnsi="Cambria"/>
                <w:color w:val="000000"/>
                <w:sz w:val="18"/>
              </w:rPr>
              <w:t>Services de sécurité</w:t>
            </w:r>
          </w:p>
        </w:tc>
        <w:tc>
          <w:tcPr>
            <w:tcW w:w="1660" w:type="dxa"/>
            <w:tcBorders>
              <w:top w:val="nil"/>
              <w:left w:val="nil"/>
              <w:bottom w:val="nil"/>
              <w:right w:val="nil"/>
            </w:tcBorders>
            <w:shd w:val="clear" w:color="auto" w:fill="auto"/>
            <w:noWrap/>
            <w:vAlign w:val="bottom"/>
            <w:hideMark/>
          </w:tcPr>
          <w:p w14:paraId="4E15D3DD" w14:textId="77777777" w:rsidR="00E65E66" w:rsidRDefault="00E65E66">
            <w:pPr>
              <w:jc w:val="right"/>
              <w:rPr>
                <w:rFonts w:ascii="Cambria" w:hAnsi="Cambria" w:cs="Arial"/>
                <w:color w:val="000000"/>
                <w:sz w:val="18"/>
                <w:szCs w:val="18"/>
              </w:rPr>
            </w:pPr>
            <w:r>
              <w:rPr>
                <w:rFonts w:ascii="Cambria" w:hAnsi="Cambria"/>
                <w:color w:val="000000"/>
                <w:sz w:val="18"/>
              </w:rPr>
              <w:t>14 301</w:t>
            </w:r>
          </w:p>
        </w:tc>
        <w:tc>
          <w:tcPr>
            <w:tcW w:w="1660" w:type="dxa"/>
            <w:tcBorders>
              <w:top w:val="nil"/>
              <w:left w:val="nil"/>
              <w:bottom w:val="nil"/>
              <w:right w:val="nil"/>
            </w:tcBorders>
            <w:shd w:val="clear" w:color="auto" w:fill="auto"/>
            <w:noWrap/>
            <w:vAlign w:val="bottom"/>
            <w:hideMark/>
          </w:tcPr>
          <w:p w14:paraId="366D9C21" w14:textId="77777777" w:rsidR="00E65E66" w:rsidRDefault="00E65E66">
            <w:pPr>
              <w:jc w:val="right"/>
              <w:rPr>
                <w:rFonts w:ascii="Cambria" w:hAnsi="Cambria" w:cs="Arial"/>
                <w:color w:val="000000"/>
                <w:sz w:val="18"/>
                <w:szCs w:val="18"/>
              </w:rPr>
            </w:pPr>
            <w:r>
              <w:rPr>
                <w:rFonts w:ascii="Cambria" w:hAnsi="Cambria"/>
                <w:color w:val="000000"/>
                <w:sz w:val="18"/>
              </w:rPr>
              <w:t>16 795</w:t>
            </w:r>
          </w:p>
        </w:tc>
        <w:tc>
          <w:tcPr>
            <w:tcW w:w="1660" w:type="dxa"/>
            <w:tcBorders>
              <w:top w:val="nil"/>
              <w:left w:val="nil"/>
              <w:bottom w:val="nil"/>
              <w:right w:val="nil"/>
            </w:tcBorders>
            <w:shd w:val="clear" w:color="auto" w:fill="auto"/>
            <w:noWrap/>
            <w:vAlign w:val="bottom"/>
            <w:hideMark/>
          </w:tcPr>
          <w:p w14:paraId="260B6579" w14:textId="77777777" w:rsidR="00E65E66" w:rsidRDefault="00E65E66">
            <w:pPr>
              <w:jc w:val="right"/>
              <w:rPr>
                <w:rFonts w:ascii="Cambria" w:hAnsi="Cambria" w:cs="Arial"/>
                <w:color w:val="000000"/>
                <w:sz w:val="18"/>
                <w:szCs w:val="18"/>
              </w:rPr>
            </w:pPr>
            <w:r>
              <w:rPr>
                <w:rFonts w:ascii="Cambria" w:hAnsi="Cambria"/>
                <w:color w:val="000000"/>
                <w:sz w:val="18"/>
              </w:rPr>
              <w:t>(2 494)</w:t>
            </w:r>
          </w:p>
        </w:tc>
      </w:tr>
      <w:tr w:rsidR="00E65E66" w14:paraId="1A96161C" w14:textId="77777777" w:rsidTr="00E65E66">
        <w:trPr>
          <w:trHeight w:val="240"/>
        </w:trPr>
        <w:tc>
          <w:tcPr>
            <w:tcW w:w="4600" w:type="dxa"/>
            <w:tcBorders>
              <w:top w:val="nil"/>
              <w:left w:val="nil"/>
              <w:bottom w:val="nil"/>
              <w:right w:val="nil"/>
            </w:tcBorders>
            <w:shd w:val="clear" w:color="auto" w:fill="auto"/>
            <w:noWrap/>
            <w:vAlign w:val="bottom"/>
            <w:hideMark/>
          </w:tcPr>
          <w:p w14:paraId="2E15CF1E" w14:textId="77777777" w:rsidR="00E65E66" w:rsidRDefault="00E65E66">
            <w:pPr>
              <w:rPr>
                <w:rFonts w:ascii="Cambria" w:hAnsi="Cambria" w:cs="Arial"/>
                <w:color w:val="000000"/>
                <w:sz w:val="18"/>
                <w:szCs w:val="18"/>
              </w:rPr>
            </w:pPr>
            <w:r>
              <w:rPr>
                <w:rFonts w:ascii="Cambria" w:hAnsi="Cambria"/>
                <w:color w:val="000000"/>
                <w:sz w:val="18"/>
              </w:rPr>
              <w:t>Électricité</w:t>
            </w:r>
          </w:p>
        </w:tc>
        <w:tc>
          <w:tcPr>
            <w:tcW w:w="1660" w:type="dxa"/>
            <w:tcBorders>
              <w:top w:val="nil"/>
              <w:left w:val="nil"/>
              <w:bottom w:val="nil"/>
              <w:right w:val="nil"/>
            </w:tcBorders>
            <w:shd w:val="clear" w:color="auto" w:fill="auto"/>
            <w:noWrap/>
            <w:vAlign w:val="bottom"/>
            <w:hideMark/>
          </w:tcPr>
          <w:p w14:paraId="15B77111" w14:textId="77777777" w:rsidR="00E65E66" w:rsidRDefault="00E65E66">
            <w:pPr>
              <w:jc w:val="right"/>
              <w:rPr>
                <w:rFonts w:ascii="Cambria" w:hAnsi="Cambria" w:cs="Arial"/>
                <w:color w:val="000000"/>
                <w:sz w:val="18"/>
                <w:szCs w:val="18"/>
              </w:rPr>
            </w:pPr>
            <w:r>
              <w:rPr>
                <w:rFonts w:ascii="Cambria" w:hAnsi="Cambria"/>
                <w:color w:val="000000"/>
                <w:sz w:val="18"/>
              </w:rPr>
              <w:t>112 377</w:t>
            </w:r>
          </w:p>
        </w:tc>
        <w:tc>
          <w:tcPr>
            <w:tcW w:w="1660" w:type="dxa"/>
            <w:tcBorders>
              <w:top w:val="nil"/>
              <w:left w:val="nil"/>
              <w:bottom w:val="nil"/>
              <w:right w:val="nil"/>
            </w:tcBorders>
            <w:shd w:val="clear" w:color="auto" w:fill="auto"/>
            <w:noWrap/>
            <w:vAlign w:val="bottom"/>
            <w:hideMark/>
          </w:tcPr>
          <w:p w14:paraId="3979515F" w14:textId="77777777" w:rsidR="00E65E66" w:rsidRDefault="00E65E66">
            <w:pPr>
              <w:jc w:val="right"/>
              <w:rPr>
                <w:rFonts w:ascii="Cambria" w:hAnsi="Cambria" w:cs="Arial"/>
                <w:color w:val="000000"/>
                <w:sz w:val="18"/>
                <w:szCs w:val="18"/>
              </w:rPr>
            </w:pPr>
            <w:r>
              <w:rPr>
                <w:rFonts w:ascii="Cambria" w:hAnsi="Cambria"/>
                <w:color w:val="000000"/>
                <w:sz w:val="18"/>
              </w:rPr>
              <w:t>78 838</w:t>
            </w:r>
          </w:p>
        </w:tc>
        <w:tc>
          <w:tcPr>
            <w:tcW w:w="1660" w:type="dxa"/>
            <w:tcBorders>
              <w:top w:val="nil"/>
              <w:left w:val="nil"/>
              <w:bottom w:val="nil"/>
              <w:right w:val="nil"/>
            </w:tcBorders>
            <w:shd w:val="clear" w:color="auto" w:fill="auto"/>
            <w:noWrap/>
            <w:vAlign w:val="bottom"/>
            <w:hideMark/>
          </w:tcPr>
          <w:p w14:paraId="7E338C30" w14:textId="77777777" w:rsidR="00E65E66" w:rsidRDefault="00E65E66">
            <w:pPr>
              <w:jc w:val="right"/>
              <w:rPr>
                <w:rFonts w:ascii="Cambria" w:hAnsi="Cambria" w:cs="Arial"/>
                <w:color w:val="000000"/>
                <w:sz w:val="18"/>
                <w:szCs w:val="18"/>
              </w:rPr>
            </w:pPr>
            <w:r>
              <w:rPr>
                <w:rFonts w:ascii="Cambria" w:hAnsi="Cambria"/>
                <w:color w:val="000000"/>
                <w:sz w:val="18"/>
              </w:rPr>
              <w:t>33 539</w:t>
            </w:r>
          </w:p>
        </w:tc>
      </w:tr>
      <w:tr w:rsidR="00E65E66" w14:paraId="0AE68E44" w14:textId="77777777" w:rsidTr="00E65E66">
        <w:trPr>
          <w:trHeight w:val="240"/>
        </w:trPr>
        <w:tc>
          <w:tcPr>
            <w:tcW w:w="4600" w:type="dxa"/>
            <w:tcBorders>
              <w:top w:val="nil"/>
              <w:left w:val="nil"/>
              <w:bottom w:val="nil"/>
              <w:right w:val="nil"/>
            </w:tcBorders>
            <w:shd w:val="clear" w:color="auto" w:fill="auto"/>
            <w:noWrap/>
            <w:vAlign w:val="bottom"/>
            <w:hideMark/>
          </w:tcPr>
          <w:p w14:paraId="0ADAEFA4" w14:textId="77777777" w:rsidR="00E65E66" w:rsidRDefault="00E65E66">
            <w:pPr>
              <w:rPr>
                <w:rFonts w:ascii="Cambria" w:hAnsi="Cambria" w:cs="Arial"/>
                <w:color w:val="000000"/>
                <w:sz w:val="18"/>
                <w:szCs w:val="18"/>
              </w:rPr>
            </w:pPr>
            <w:r>
              <w:rPr>
                <w:rFonts w:ascii="Cambria" w:hAnsi="Cambria"/>
                <w:color w:val="000000"/>
                <w:sz w:val="18"/>
              </w:rPr>
              <w:t>Alimentation en eau</w:t>
            </w:r>
          </w:p>
        </w:tc>
        <w:tc>
          <w:tcPr>
            <w:tcW w:w="1660" w:type="dxa"/>
            <w:tcBorders>
              <w:top w:val="nil"/>
              <w:left w:val="nil"/>
              <w:bottom w:val="nil"/>
              <w:right w:val="nil"/>
            </w:tcBorders>
            <w:shd w:val="clear" w:color="auto" w:fill="auto"/>
            <w:noWrap/>
            <w:vAlign w:val="bottom"/>
            <w:hideMark/>
          </w:tcPr>
          <w:p w14:paraId="0C28144A" w14:textId="77777777" w:rsidR="00E65E66" w:rsidRDefault="00E65E66">
            <w:pPr>
              <w:jc w:val="right"/>
              <w:rPr>
                <w:rFonts w:ascii="Cambria" w:hAnsi="Cambria" w:cs="Arial"/>
                <w:color w:val="000000"/>
                <w:sz w:val="18"/>
                <w:szCs w:val="18"/>
              </w:rPr>
            </w:pPr>
            <w:r>
              <w:rPr>
                <w:rFonts w:ascii="Cambria" w:hAnsi="Cambria"/>
                <w:color w:val="000000"/>
                <w:sz w:val="18"/>
              </w:rPr>
              <w:t>2 689</w:t>
            </w:r>
          </w:p>
        </w:tc>
        <w:tc>
          <w:tcPr>
            <w:tcW w:w="1660" w:type="dxa"/>
            <w:tcBorders>
              <w:top w:val="nil"/>
              <w:left w:val="nil"/>
              <w:bottom w:val="nil"/>
              <w:right w:val="nil"/>
            </w:tcBorders>
            <w:shd w:val="clear" w:color="auto" w:fill="auto"/>
            <w:noWrap/>
            <w:vAlign w:val="bottom"/>
            <w:hideMark/>
          </w:tcPr>
          <w:p w14:paraId="789F06B6" w14:textId="77777777" w:rsidR="00E65E66" w:rsidRDefault="00E65E66">
            <w:pPr>
              <w:jc w:val="right"/>
              <w:rPr>
                <w:rFonts w:ascii="Cambria" w:hAnsi="Cambria" w:cs="Arial"/>
                <w:color w:val="000000"/>
                <w:sz w:val="18"/>
                <w:szCs w:val="18"/>
              </w:rPr>
            </w:pPr>
            <w:r>
              <w:rPr>
                <w:rFonts w:ascii="Cambria" w:hAnsi="Cambria"/>
                <w:color w:val="000000"/>
                <w:sz w:val="18"/>
              </w:rPr>
              <w:t>3 993</w:t>
            </w:r>
          </w:p>
        </w:tc>
        <w:tc>
          <w:tcPr>
            <w:tcW w:w="1660" w:type="dxa"/>
            <w:tcBorders>
              <w:top w:val="nil"/>
              <w:left w:val="nil"/>
              <w:bottom w:val="nil"/>
              <w:right w:val="nil"/>
            </w:tcBorders>
            <w:shd w:val="clear" w:color="auto" w:fill="auto"/>
            <w:noWrap/>
            <w:vAlign w:val="bottom"/>
            <w:hideMark/>
          </w:tcPr>
          <w:p w14:paraId="07D17E4A" w14:textId="77777777" w:rsidR="00E65E66" w:rsidRDefault="00E65E66">
            <w:pPr>
              <w:jc w:val="right"/>
              <w:rPr>
                <w:rFonts w:ascii="Cambria" w:hAnsi="Cambria" w:cs="Arial"/>
                <w:color w:val="000000"/>
                <w:sz w:val="18"/>
                <w:szCs w:val="18"/>
              </w:rPr>
            </w:pPr>
            <w:r>
              <w:rPr>
                <w:rFonts w:ascii="Cambria" w:hAnsi="Cambria"/>
                <w:color w:val="000000"/>
                <w:sz w:val="18"/>
              </w:rPr>
              <w:t>(1 304)</w:t>
            </w:r>
          </w:p>
        </w:tc>
      </w:tr>
      <w:tr w:rsidR="00E65E66" w14:paraId="562BD8CC" w14:textId="77777777" w:rsidTr="00E65E66">
        <w:trPr>
          <w:trHeight w:val="240"/>
        </w:trPr>
        <w:tc>
          <w:tcPr>
            <w:tcW w:w="4600" w:type="dxa"/>
            <w:tcBorders>
              <w:top w:val="nil"/>
              <w:left w:val="nil"/>
              <w:bottom w:val="nil"/>
              <w:right w:val="nil"/>
            </w:tcBorders>
            <w:shd w:val="clear" w:color="auto" w:fill="auto"/>
            <w:noWrap/>
            <w:vAlign w:val="bottom"/>
            <w:hideMark/>
          </w:tcPr>
          <w:p w14:paraId="49EC6EB7" w14:textId="77777777" w:rsidR="00E65E66" w:rsidRDefault="00E65E66">
            <w:pPr>
              <w:rPr>
                <w:rFonts w:ascii="Cambria" w:hAnsi="Cambria" w:cs="Arial"/>
                <w:color w:val="000000"/>
                <w:sz w:val="18"/>
                <w:szCs w:val="18"/>
              </w:rPr>
            </w:pPr>
            <w:r>
              <w:rPr>
                <w:rFonts w:ascii="Cambria" w:hAnsi="Cambria"/>
                <w:color w:val="000000"/>
                <w:sz w:val="18"/>
              </w:rPr>
              <w:t>Maintenance et réparations</w:t>
            </w:r>
          </w:p>
        </w:tc>
        <w:tc>
          <w:tcPr>
            <w:tcW w:w="1660" w:type="dxa"/>
            <w:tcBorders>
              <w:top w:val="nil"/>
              <w:left w:val="nil"/>
              <w:bottom w:val="nil"/>
              <w:right w:val="nil"/>
            </w:tcBorders>
            <w:shd w:val="clear" w:color="auto" w:fill="auto"/>
            <w:noWrap/>
            <w:vAlign w:val="bottom"/>
            <w:hideMark/>
          </w:tcPr>
          <w:p w14:paraId="0E603C2C" w14:textId="77777777" w:rsidR="00E65E66" w:rsidRDefault="00E65E66">
            <w:pPr>
              <w:jc w:val="right"/>
              <w:rPr>
                <w:rFonts w:ascii="Cambria" w:hAnsi="Cambria" w:cs="Arial"/>
                <w:color w:val="000000"/>
                <w:sz w:val="18"/>
                <w:szCs w:val="18"/>
              </w:rPr>
            </w:pPr>
            <w:r>
              <w:rPr>
                <w:rFonts w:ascii="Cambria" w:hAnsi="Cambria"/>
                <w:color w:val="000000"/>
                <w:sz w:val="18"/>
              </w:rPr>
              <w:t>29 387</w:t>
            </w:r>
          </w:p>
        </w:tc>
        <w:tc>
          <w:tcPr>
            <w:tcW w:w="1660" w:type="dxa"/>
            <w:tcBorders>
              <w:top w:val="nil"/>
              <w:left w:val="nil"/>
              <w:bottom w:val="nil"/>
              <w:right w:val="nil"/>
            </w:tcBorders>
            <w:shd w:val="clear" w:color="auto" w:fill="auto"/>
            <w:noWrap/>
            <w:vAlign w:val="bottom"/>
            <w:hideMark/>
          </w:tcPr>
          <w:p w14:paraId="1CF127B9" w14:textId="77777777" w:rsidR="00E65E66" w:rsidRDefault="00E65E66">
            <w:pPr>
              <w:jc w:val="right"/>
              <w:rPr>
                <w:rFonts w:ascii="Cambria" w:hAnsi="Cambria" w:cs="Arial"/>
                <w:color w:val="000000"/>
                <w:sz w:val="18"/>
                <w:szCs w:val="18"/>
              </w:rPr>
            </w:pPr>
            <w:r>
              <w:rPr>
                <w:rFonts w:ascii="Cambria" w:hAnsi="Cambria"/>
                <w:color w:val="000000"/>
                <w:sz w:val="18"/>
              </w:rPr>
              <w:t>119 360</w:t>
            </w:r>
          </w:p>
        </w:tc>
        <w:tc>
          <w:tcPr>
            <w:tcW w:w="1660" w:type="dxa"/>
            <w:tcBorders>
              <w:top w:val="nil"/>
              <w:left w:val="nil"/>
              <w:bottom w:val="nil"/>
              <w:right w:val="nil"/>
            </w:tcBorders>
            <w:shd w:val="clear" w:color="auto" w:fill="auto"/>
            <w:noWrap/>
            <w:vAlign w:val="bottom"/>
            <w:hideMark/>
          </w:tcPr>
          <w:p w14:paraId="6A8D9F79" w14:textId="77777777" w:rsidR="00E65E66" w:rsidRDefault="00E65E66">
            <w:pPr>
              <w:jc w:val="right"/>
              <w:rPr>
                <w:rFonts w:ascii="Cambria" w:hAnsi="Cambria" w:cs="Arial"/>
                <w:color w:val="000000"/>
                <w:sz w:val="18"/>
                <w:szCs w:val="18"/>
              </w:rPr>
            </w:pPr>
            <w:r>
              <w:rPr>
                <w:rFonts w:ascii="Cambria" w:hAnsi="Cambria"/>
                <w:color w:val="000000"/>
                <w:sz w:val="18"/>
              </w:rPr>
              <w:t>(89 973)</w:t>
            </w:r>
          </w:p>
        </w:tc>
      </w:tr>
      <w:tr w:rsidR="00E65E66" w14:paraId="613E188C" w14:textId="77777777" w:rsidTr="00E65E66">
        <w:trPr>
          <w:trHeight w:val="240"/>
        </w:trPr>
        <w:tc>
          <w:tcPr>
            <w:tcW w:w="4600" w:type="dxa"/>
            <w:tcBorders>
              <w:top w:val="nil"/>
              <w:left w:val="nil"/>
              <w:bottom w:val="nil"/>
              <w:right w:val="nil"/>
            </w:tcBorders>
            <w:shd w:val="clear" w:color="auto" w:fill="auto"/>
            <w:noWrap/>
            <w:vAlign w:val="bottom"/>
            <w:hideMark/>
          </w:tcPr>
          <w:p w14:paraId="6B28DCE7" w14:textId="77777777" w:rsidR="00E65E66" w:rsidRDefault="00E65E66">
            <w:pPr>
              <w:rPr>
                <w:rFonts w:ascii="Cambria" w:hAnsi="Cambria" w:cs="Arial"/>
                <w:color w:val="000000"/>
                <w:sz w:val="18"/>
                <w:szCs w:val="18"/>
              </w:rPr>
            </w:pPr>
            <w:r>
              <w:rPr>
                <w:rFonts w:ascii="Cambria" w:hAnsi="Cambria"/>
                <w:color w:val="000000"/>
                <w:sz w:val="18"/>
              </w:rPr>
              <w:t>Assurances</w:t>
            </w:r>
          </w:p>
        </w:tc>
        <w:tc>
          <w:tcPr>
            <w:tcW w:w="1660" w:type="dxa"/>
            <w:tcBorders>
              <w:top w:val="nil"/>
              <w:left w:val="nil"/>
              <w:bottom w:val="nil"/>
              <w:right w:val="nil"/>
            </w:tcBorders>
            <w:shd w:val="clear" w:color="auto" w:fill="auto"/>
            <w:noWrap/>
            <w:vAlign w:val="bottom"/>
            <w:hideMark/>
          </w:tcPr>
          <w:p w14:paraId="19AF7F1C" w14:textId="77777777" w:rsidR="00E65E66" w:rsidRDefault="00E65E66">
            <w:pPr>
              <w:jc w:val="right"/>
              <w:rPr>
                <w:rFonts w:ascii="Cambria" w:hAnsi="Cambria" w:cs="Arial"/>
                <w:color w:val="000000"/>
                <w:sz w:val="18"/>
                <w:szCs w:val="18"/>
              </w:rPr>
            </w:pPr>
            <w:r>
              <w:rPr>
                <w:rFonts w:ascii="Cambria" w:hAnsi="Cambria"/>
                <w:color w:val="000000"/>
                <w:sz w:val="18"/>
              </w:rPr>
              <w:t>20 070</w:t>
            </w:r>
          </w:p>
        </w:tc>
        <w:tc>
          <w:tcPr>
            <w:tcW w:w="1660" w:type="dxa"/>
            <w:tcBorders>
              <w:top w:val="nil"/>
              <w:left w:val="nil"/>
              <w:bottom w:val="nil"/>
              <w:right w:val="nil"/>
            </w:tcBorders>
            <w:shd w:val="clear" w:color="auto" w:fill="auto"/>
            <w:noWrap/>
            <w:vAlign w:val="bottom"/>
            <w:hideMark/>
          </w:tcPr>
          <w:p w14:paraId="7CAC0BF1" w14:textId="77777777" w:rsidR="00E65E66" w:rsidRDefault="00E65E66">
            <w:pPr>
              <w:jc w:val="right"/>
              <w:rPr>
                <w:rFonts w:ascii="Cambria" w:hAnsi="Cambria" w:cs="Arial"/>
                <w:color w:val="000000"/>
                <w:sz w:val="18"/>
                <w:szCs w:val="18"/>
              </w:rPr>
            </w:pPr>
            <w:r>
              <w:rPr>
                <w:rFonts w:ascii="Cambria" w:hAnsi="Cambria"/>
                <w:color w:val="000000"/>
                <w:sz w:val="18"/>
              </w:rPr>
              <w:t>20 771</w:t>
            </w:r>
          </w:p>
        </w:tc>
        <w:tc>
          <w:tcPr>
            <w:tcW w:w="1660" w:type="dxa"/>
            <w:tcBorders>
              <w:top w:val="nil"/>
              <w:left w:val="nil"/>
              <w:bottom w:val="nil"/>
              <w:right w:val="nil"/>
            </w:tcBorders>
            <w:shd w:val="clear" w:color="auto" w:fill="auto"/>
            <w:noWrap/>
            <w:vAlign w:val="bottom"/>
            <w:hideMark/>
          </w:tcPr>
          <w:p w14:paraId="6F531449" w14:textId="77777777" w:rsidR="00E65E66" w:rsidRDefault="00E65E66">
            <w:pPr>
              <w:jc w:val="right"/>
              <w:rPr>
                <w:rFonts w:ascii="Cambria" w:hAnsi="Cambria" w:cs="Arial"/>
                <w:color w:val="000000"/>
                <w:sz w:val="18"/>
                <w:szCs w:val="18"/>
              </w:rPr>
            </w:pPr>
            <w:r>
              <w:rPr>
                <w:rFonts w:ascii="Cambria" w:hAnsi="Cambria"/>
                <w:color w:val="000000"/>
                <w:sz w:val="18"/>
              </w:rPr>
              <w:t>(701)</w:t>
            </w:r>
          </w:p>
        </w:tc>
      </w:tr>
      <w:tr w:rsidR="00E65E66" w14:paraId="11D732D3" w14:textId="77777777" w:rsidTr="00E65E66">
        <w:trPr>
          <w:trHeight w:val="240"/>
        </w:trPr>
        <w:tc>
          <w:tcPr>
            <w:tcW w:w="4600" w:type="dxa"/>
            <w:tcBorders>
              <w:top w:val="nil"/>
              <w:left w:val="nil"/>
              <w:bottom w:val="nil"/>
              <w:right w:val="nil"/>
            </w:tcBorders>
            <w:shd w:val="clear" w:color="auto" w:fill="auto"/>
            <w:noWrap/>
            <w:vAlign w:val="bottom"/>
            <w:hideMark/>
          </w:tcPr>
          <w:p w14:paraId="26409F95" w14:textId="77777777" w:rsidR="00E65E66" w:rsidRDefault="00E65E66">
            <w:pPr>
              <w:rPr>
                <w:rFonts w:ascii="Cambria" w:hAnsi="Cambria" w:cs="Arial"/>
                <w:color w:val="000000"/>
                <w:sz w:val="18"/>
                <w:szCs w:val="18"/>
              </w:rPr>
            </w:pPr>
            <w:r>
              <w:rPr>
                <w:rFonts w:ascii="Cambria" w:hAnsi="Cambria"/>
                <w:color w:val="000000"/>
                <w:sz w:val="18"/>
              </w:rPr>
              <w:t>Transport</w:t>
            </w:r>
          </w:p>
        </w:tc>
        <w:tc>
          <w:tcPr>
            <w:tcW w:w="1660" w:type="dxa"/>
            <w:tcBorders>
              <w:top w:val="nil"/>
              <w:left w:val="nil"/>
              <w:bottom w:val="nil"/>
              <w:right w:val="nil"/>
            </w:tcBorders>
            <w:shd w:val="clear" w:color="auto" w:fill="auto"/>
            <w:noWrap/>
            <w:vAlign w:val="bottom"/>
            <w:hideMark/>
          </w:tcPr>
          <w:p w14:paraId="1836E01D" w14:textId="77777777" w:rsidR="00E65E66" w:rsidRDefault="00E65E66">
            <w:pPr>
              <w:jc w:val="right"/>
              <w:rPr>
                <w:rFonts w:ascii="Cambria" w:hAnsi="Cambria" w:cs="Arial"/>
                <w:color w:val="000000"/>
                <w:sz w:val="18"/>
                <w:szCs w:val="18"/>
              </w:rPr>
            </w:pPr>
            <w:r>
              <w:rPr>
                <w:rFonts w:ascii="Cambria" w:hAnsi="Cambria"/>
                <w:color w:val="000000"/>
                <w:sz w:val="18"/>
              </w:rPr>
              <w:t>51 109</w:t>
            </w:r>
          </w:p>
        </w:tc>
        <w:tc>
          <w:tcPr>
            <w:tcW w:w="1660" w:type="dxa"/>
            <w:tcBorders>
              <w:top w:val="nil"/>
              <w:left w:val="nil"/>
              <w:bottom w:val="nil"/>
              <w:right w:val="nil"/>
            </w:tcBorders>
            <w:shd w:val="clear" w:color="auto" w:fill="auto"/>
            <w:noWrap/>
            <w:vAlign w:val="bottom"/>
            <w:hideMark/>
          </w:tcPr>
          <w:p w14:paraId="0C4068DE" w14:textId="77777777" w:rsidR="00E65E66" w:rsidRDefault="00E65E66">
            <w:pPr>
              <w:jc w:val="right"/>
              <w:rPr>
                <w:rFonts w:ascii="Cambria" w:hAnsi="Cambria" w:cs="Arial"/>
                <w:color w:val="000000"/>
                <w:sz w:val="18"/>
                <w:szCs w:val="18"/>
              </w:rPr>
            </w:pPr>
            <w:r>
              <w:rPr>
                <w:rFonts w:ascii="Cambria" w:hAnsi="Cambria"/>
                <w:color w:val="000000"/>
                <w:sz w:val="18"/>
              </w:rPr>
              <w:t>28 752</w:t>
            </w:r>
          </w:p>
        </w:tc>
        <w:tc>
          <w:tcPr>
            <w:tcW w:w="1660" w:type="dxa"/>
            <w:tcBorders>
              <w:top w:val="nil"/>
              <w:left w:val="nil"/>
              <w:bottom w:val="nil"/>
              <w:right w:val="nil"/>
            </w:tcBorders>
            <w:shd w:val="clear" w:color="auto" w:fill="auto"/>
            <w:noWrap/>
            <w:vAlign w:val="bottom"/>
            <w:hideMark/>
          </w:tcPr>
          <w:p w14:paraId="1E03C632" w14:textId="77777777" w:rsidR="00E65E66" w:rsidRDefault="00E65E66">
            <w:pPr>
              <w:jc w:val="right"/>
              <w:rPr>
                <w:rFonts w:ascii="Cambria" w:hAnsi="Cambria" w:cs="Arial"/>
                <w:color w:val="000000"/>
                <w:sz w:val="18"/>
                <w:szCs w:val="18"/>
              </w:rPr>
            </w:pPr>
            <w:r>
              <w:rPr>
                <w:rFonts w:ascii="Cambria" w:hAnsi="Cambria"/>
                <w:color w:val="000000"/>
                <w:sz w:val="18"/>
              </w:rPr>
              <w:t>22 357</w:t>
            </w:r>
          </w:p>
        </w:tc>
      </w:tr>
      <w:tr w:rsidR="00E65E66" w14:paraId="687B97E1" w14:textId="77777777" w:rsidTr="00E65E66">
        <w:trPr>
          <w:trHeight w:val="240"/>
        </w:trPr>
        <w:tc>
          <w:tcPr>
            <w:tcW w:w="4600" w:type="dxa"/>
            <w:tcBorders>
              <w:top w:val="nil"/>
              <w:left w:val="nil"/>
              <w:bottom w:val="nil"/>
              <w:right w:val="nil"/>
            </w:tcBorders>
            <w:shd w:val="clear" w:color="auto" w:fill="auto"/>
            <w:noWrap/>
            <w:vAlign w:val="bottom"/>
            <w:hideMark/>
          </w:tcPr>
          <w:p w14:paraId="07C58725" w14:textId="77777777" w:rsidR="00E65E66" w:rsidRDefault="00E65E66">
            <w:pPr>
              <w:rPr>
                <w:rFonts w:ascii="Cambria" w:hAnsi="Cambria" w:cs="Arial"/>
                <w:color w:val="000000"/>
                <w:sz w:val="18"/>
                <w:szCs w:val="18"/>
              </w:rPr>
            </w:pPr>
            <w:r>
              <w:rPr>
                <w:rFonts w:ascii="Cambria" w:hAnsi="Cambria"/>
                <w:color w:val="000000"/>
                <w:sz w:val="18"/>
              </w:rPr>
              <w:t>Publicité</w:t>
            </w:r>
          </w:p>
        </w:tc>
        <w:tc>
          <w:tcPr>
            <w:tcW w:w="1660" w:type="dxa"/>
            <w:tcBorders>
              <w:top w:val="nil"/>
              <w:left w:val="nil"/>
              <w:bottom w:val="nil"/>
              <w:right w:val="nil"/>
            </w:tcBorders>
            <w:shd w:val="clear" w:color="auto" w:fill="auto"/>
            <w:noWrap/>
            <w:vAlign w:val="bottom"/>
            <w:hideMark/>
          </w:tcPr>
          <w:p w14:paraId="3FDE5CA6" w14:textId="77777777" w:rsidR="00E65E66" w:rsidRDefault="00E65E66">
            <w:pPr>
              <w:jc w:val="right"/>
              <w:rPr>
                <w:rFonts w:ascii="Cambria" w:hAnsi="Cambria" w:cs="Arial"/>
                <w:color w:val="000000"/>
                <w:sz w:val="18"/>
                <w:szCs w:val="18"/>
              </w:rPr>
            </w:pPr>
            <w:r>
              <w:rPr>
                <w:rFonts w:ascii="Cambria" w:hAnsi="Cambria"/>
                <w:color w:val="000000"/>
                <w:sz w:val="18"/>
              </w:rPr>
              <w:t>49 657</w:t>
            </w:r>
          </w:p>
        </w:tc>
        <w:tc>
          <w:tcPr>
            <w:tcW w:w="1660" w:type="dxa"/>
            <w:tcBorders>
              <w:top w:val="nil"/>
              <w:left w:val="nil"/>
              <w:bottom w:val="nil"/>
              <w:right w:val="nil"/>
            </w:tcBorders>
            <w:shd w:val="clear" w:color="auto" w:fill="auto"/>
            <w:noWrap/>
            <w:vAlign w:val="bottom"/>
            <w:hideMark/>
          </w:tcPr>
          <w:p w14:paraId="50952DB6" w14:textId="77777777" w:rsidR="00E65E66" w:rsidRDefault="00E65E66">
            <w:pPr>
              <w:jc w:val="right"/>
              <w:rPr>
                <w:rFonts w:ascii="Cambria" w:hAnsi="Cambria" w:cs="Arial"/>
                <w:color w:val="000000"/>
                <w:sz w:val="18"/>
                <w:szCs w:val="18"/>
              </w:rPr>
            </w:pPr>
            <w:r>
              <w:rPr>
                <w:rFonts w:ascii="Cambria" w:hAnsi="Cambria"/>
                <w:color w:val="000000"/>
                <w:sz w:val="18"/>
              </w:rPr>
              <w:t>41 169</w:t>
            </w:r>
          </w:p>
        </w:tc>
        <w:tc>
          <w:tcPr>
            <w:tcW w:w="1660" w:type="dxa"/>
            <w:tcBorders>
              <w:top w:val="nil"/>
              <w:left w:val="nil"/>
              <w:bottom w:val="nil"/>
              <w:right w:val="nil"/>
            </w:tcBorders>
            <w:shd w:val="clear" w:color="auto" w:fill="auto"/>
            <w:noWrap/>
            <w:vAlign w:val="bottom"/>
            <w:hideMark/>
          </w:tcPr>
          <w:p w14:paraId="06077E0E" w14:textId="77777777" w:rsidR="00E65E66" w:rsidRDefault="00E65E66">
            <w:pPr>
              <w:jc w:val="right"/>
              <w:rPr>
                <w:rFonts w:ascii="Cambria" w:hAnsi="Cambria" w:cs="Arial"/>
                <w:color w:val="000000"/>
                <w:sz w:val="18"/>
                <w:szCs w:val="18"/>
              </w:rPr>
            </w:pPr>
            <w:r>
              <w:rPr>
                <w:rFonts w:ascii="Cambria" w:hAnsi="Cambria"/>
                <w:color w:val="000000"/>
                <w:sz w:val="18"/>
              </w:rPr>
              <w:t>8 489</w:t>
            </w:r>
          </w:p>
        </w:tc>
      </w:tr>
      <w:tr w:rsidR="00E65E66" w14:paraId="19A0F2AD" w14:textId="77777777" w:rsidTr="00E65E66">
        <w:trPr>
          <w:trHeight w:val="240"/>
        </w:trPr>
        <w:tc>
          <w:tcPr>
            <w:tcW w:w="4600" w:type="dxa"/>
            <w:tcBorders>
              <w:top w:val="nil"/>
              <w:left w:val="nil"/>
              <w:bottom w:val="nil"/>
              <w:right w:val="nil"/>
            </w:tcBorders>
            <w:shd w:val="clear" w:color="auto" w:fill="auto"/>
            <w:noWrap/>
            <w:vAlign w:val="bottom"/>
            <w:hideMark/>
          </w:tcPr>
          <w:p w14:paraId="687E86CD" w14:textId="77777777" w:rsidR="00E65E66" w:rsidRDefault="00E65E66">
            <w:pPr>
              <w:rPr>
                <w:rFonts w:ascii="Cambria" w:hAnsi="Cambria" w:cs="Arial"/>
                <w:color w:val="000000"/>
                <w:sz w:val="18"/>
                <w:szCs w:val="18"/>
              </w:rPr>
            </w:pPr>
            <w:r>
              <w:rPr>
                <w:rFonts w:ascii="Cambria" w:hAnsi="Cambria"/>
                <w:color w:val="000000"/>
                <w:sz w:val="18"/>
              </w:rPr>
              <w:t>Conseils</w:t>
            </w:r>
          </w:p>
        </w:tc>
        <w:tc>
          <w:tcPr>
            <w:tcW w:w="1660" w:type="dxa"/>
            <w:tcBorders>
              <w:top w:val="nil"/>
              <w:left w:val="nil"/>
              <w:bottom w:val="nil"/>
              <w:right w:val="nil"/>
            </w:tcBorders>
            <w:shd w:val="clear" w:color="auto" w:fill="auto"/>
            <w:noWrap/>
            <w:vAlign w:val="bottom"/>
            <w:hideMark/>
          </w:tcPr>
          <w:p w14:paraId="59064E2C" w14:textId="77777777" w:rsidR="00E65E66" w:rsidRDefault="00E65E66">
            <w:pPr>
              <w:jc w:val="right"/>
              <w:rPr>
                <w:rFonts w:ascii="Cambria" w:hAnsi="Cambria" w:cs="Arial"/>
                <w:color w:val="000000"/>
                <w:sz w:val="18"/>
                <w:szCs w:val="18"/>
              </w:rPr>
            </w:pPr>
            <w:r>
              <w:rPr>
                <w:rFonts w:ascii="Cambria" w:hAnsi="Cambria"/>
                <w:color w:val="000000"/>
                <w:sz w:val="18"/>
              </w:rPr>
              <w:t>121 983</w:t>
            </w:r>
          </w:p>
        </w:tc>
        <w:tc>
          <w:tcPr>
            <w:tcW w:w="1660" w:type="dxa"/>
            <w:tcBorders>
              <w:top w:val="nil"/>
              <w:left w:val="nil"/>
              <w:bottom w:val="nil"/>
              <w:right w:val="nil"/>
            </w:tcBorders>
            <w:shd w:val="clear" w:color="auto" w:fill="auto"/>
            <w:noWrap/>
            <w:vAlign w:val="bottom"/>
            <w:hideMark/>
          </w:tcPr>
          <w:p w14:paraId="61F1D6CF" w14:textId="77777777" w:rsidR="00E65E66" w:rsidRDefault="00E65E66">
            <w:pPr>
              <w:jc w:val="right"/>
              <w:rPr>
                <w:rFonts w:ascii="Cambria" w:hAnsi="Cambria" w:cs="Arial"/>
                <w:color w:val="000000"/>
                <w:sz w:val="18"/>
                <w:szCs w:val="18"/>
              </w:rPr>
            </w:pPr>
            <w:r>
              <w:rPr>
                <w:rFonts w:ascii="Cambria" w:hAnsi="Cambria"/>
                <w:color w:val="000000"/>
                <w:sz w:val="18"/>
              </w:rPr>
              <w:t>60 894</w:t>
            </w:r>
          </w:p>
        </w:tc>
        <w:tc>
          <w:tcPr>
            <w:tcW w:w="1660" w:type="dxa"/>
            <w:tcBorders>
              <w:top w:val="nil"/>
              <w:left w:val="nil"/>
              <w:bottom w:val="nil"/>
              <w:right w:val="nil"/>
            </w:tcBorders>
            <w:shd w:val="clear" w:color="auto" w:fill="auto"/>
            <w:noWrap/>
            <w:vAlign w:val="bottom"/>
            <w:hideMark/>
          </w:tcPr>
          <w:p w14:paraId="15CAA176" w14:textId="77777777" w:rsidR="00E65E66" w:rsidRDefault="00E65E66">
            <w:pPr>
              <w:jc w:val="right"/>
              <w:rPr>
                <w:rFonts w:ascii="Cambria" w:hAnsi="Cambria" w:cs="Arial"/>
                <w:color w:val="000000"/>
                <w:sz w:val="18"/>
                <w:szCs w:val="18"/>
              </w:rPr>
            </w:pPr>
            <w:r>
              <w:rPr>
                <w:rFonts w:ascii="Cambria" w:hAnsi="Cambria"/>
                <w:color w:val="000000"/>
                <w:sz w:val="18"/>
              </w:rPr>
              <w:t>61 089</w:t>
            </w:r>
          </w:p>
        </w:tc>
      </w:tr>
      <w:tr w:rsidR="00E65E66" w14:paraId="582EC755" w14:textId="77777777" w:rsidTr="00E65E66">
        <w:trPr>
          <w:trHeight w:val="240"/>
        </w:trPr>
        <w:tc>
          <w:tcPr>
            <w:tcW w:w="4600" w:type="dxa"/>
            <w:tcBorders>
              <w:top w:val="nil"/>
              <w:left w:val="nil"/>
              <w:bottom w:val="nil"/>
              <w:right w:val="nil"/>
            </w:tcBorders>
            <w:shd w:val="clear" w:color="auto" w:fill="auto"/>
            <w:noWrap/>
            <w:vAlign w:val="bottom"/>
            <w:hideMark/>
          </w:tcPr>
          <w:p w14:paraId="4E8AA346" w14:textId="77777777" w:rsidR="00E65E66" w:rsidRDefault="00E65E66">
            <w:pPr>
              <w:rPr>
                <w:rFonts w:ascii="Cambria" w:hAnsi="Cambria" w:cs="Arial"/>
                <w:color w:val="000000"/>
                <w:sz w:val="18"/>
                <w:szCs w:val="18"/>
              </w:rPr>
            </w:pPr>
            <w:r>
              <w:rPr>
                <w:rFonts w:ascii="Cambria" w:hAnsi="Cambria"/>
                <w:color w:val="000000"/>
                <w:sz w:val="18"/>
              </w:rPr>
              <w:t>Rémunération des organes de la société</w:t>
            </w:r>
          </w:p>
        </w:tc>
        <w:tc>
          <w:tcPr>
            <w:tcW w:w="1660" w:type="dxa"/>
            <w:tcBorders>
              <w:top w:val="nil"/>
              <w:left w:val="nil"/>
              <w:bottom w:val="nil"/>
              <w:right w:val="nil"/>
            </w:tcBorders>
            <w:shd w:val="clear" w:color="auto" w:fill="auto"/>
            <w:noWrap/>
            <w:vAlign w:val="bottom"/>
            <w:hideMark/>
          </w:tcPr>
          <w:p w14:paraId="37A698C2" w14:textId="77777777" w:rsidR="00E65E66" w:rsidRDefault="00E65E66">
            <w:pPr>
              <w:jc w:val="right"/>
              <w:rPr>
                <w:rFonts w:ascii="Cambria" w:hAnsi="Cambria" w:cs="Arial"/>
                <w:color w:val="000000"/>
                <w:sz w:val="18"/>
                <w:szCs w:val="18"/>
              </w:rPr>
            </w:pPr>
            <w:r>
              <w:rPr>
                <w:rFonts w:ascii="Cambria" w:hAnsi="Cambria"/>
                <w:color w:val="000000"/>
                <w:sz w:val="18"/>
              </w:rPr>
              <w:t>98 866</w:t>
            </w:r>
          </w:p>
        </w:tc>
        <w:tc>
          <w:tcPr>
            <w:tcW w:w="1660" w:type="dxa"/>
            <w:tcBorders>
              <w:top w:val="nil"/>
              <w:left w:val="nil"/>
              <w:bottom w:val="nil"/>
              <w:right w:val="nil"/>
            </w:tcBorders>
            <w:shd w:val="clear" w:color="auto" w:fill="auto"/>
            <w:noWrap/>
            <w:vAlign w:val="bottom"/>
            <w:hideMark/>
          </w:tcPr>
          <w:p w14:paraId="0D3F2CA3" w14:textId="77777777" w:rsidR="00E65E66" w:rsidRDefault="00E65E66">
            <w:pPr>
              <w:jc w:val="right"/>
              <w:rPr>
                <w:rFonts w:ascii="Cambria" w:hAnsi="Cambria" w:cs="Arial"/>
                <w:color w:val="000000"/>
                <w:sz w:val="18"/>
                <w:szCs w:val="18"/>
              </w:rPr>
            </w:pPr>
            <w:r>
              <w:rPr>
                <w:rFonts w:ascii="Cambria" w:hAnsi="Cambria"/>
                <w:color w:val="000000"/>
                <w:sz w:val="18"/>
              </w:rPr>
              <w:t>36 896</w:t>
            </w:r>
          </w:p>
        </w:tc>
        <w:tc>
          <w:tcPr>
            <w:tcW w:w="1660" w:type="dxa"/>
            <w:tcBorders>
              <w:top w:val="nil"/>
              <w:left w:val="nil"/>
              <w:bottom w:val="nil"/>
              <w:right w:val="nil"/>
            </w:tcBorders>
            <w:shd w:val="clear" w:color="auto" w:fill="auto"/>
            <w:noWrap/>
            <w:vAlign w:val="bottom"/>
            <w:hideMark/>
          </w:tcPr>
          <w:p w14:paraId="4BA01ABE" w14:textId="77777777" w:rsidR="00E65E66" w:rsidRDefault="00E65E66">
            <w:pPr>
              <w:jc w:val="right"/>
              <w:rPr>
                <w:rFonts w:ascii="Cambria" w:hAnsi="Cambria" w:cs="Arial"/>
                <w:color w:val="000000"/>
                <w:sz w:val="18"/>
                <w:szCs w:val="18"/>
              </w:rPr>
            </w:pPr>
            <w:r>
              <w:rPr>
                <w:rFonts w:ascii="Cambria" w:hAnsi="Cambria"/>
                <w:color w:val="000000"/>
                <w:sz w:val="18"/>
              </w:rPr>
              <w:t>61 971</w:t>
            </w:r>
          </w:p>
        </w:tc>
      </w:tr>
      <w:tr w:rsidR="00E65E66" w14:paraId="199F3885" w14:textId="77777777" w:rsidTr="00E65E66">
        <w:trPr>
          <w:trHeight w:val="240"/>
        </w:trPr>
        <w:tc>
          <w:tcPr>
            <w:tcW w:w="4600" w:type="dxa"/>
            <w:tcBorders>
              <w:top w:val="nil"/>
              <w:left w:val="nil"/>
              <w:bottom w:val="nil"/>
              <w:right w:val="nil"/>
            </w:tcBorders>
            <w:shd w:val="clear" w:color="auto" w:fill="auto"/>
            <w:noWrap/>
            <w:vAlign w:val="bottom"/>
            <w:hideMark/>
          </w:tcPr>
          <w:p w14:paraId="15A1FFB1" w14:textId="77777777" w:rsidR="00E65E66" w:rsidRDefault="00E65E66">
            <w:pPr>
              <w:rPr>
                <w:rFonts w:ascii="Cambria" w:hAnsi="Cambria" w:cs="Arial"/>
                <w:color w:val="000000"/>
                <w:sz w:val="18"/>
                <w:szCs w:val="18"/>
              </w:rPr>
            </w:pPr>
            <w:r>
              <w:rPr>
                <w:rFonts w:ascii="Cambria" w:hAnsi="Cambria"/>
                <w:color w:val="000000"/>
                <w:sz w:val="18"/>
              </w:rPr>
              <w:t>Autres coûts de services</w:t>
            </w:r>
          </w:p>
        </w:tc>
        <w:tc>
          <w:tcPr>
            <w:tcW w:w="1660" w:type="dxa"/>
            <w:tcBorders>
              <w:top w:val="nil"/>
              <w:left w:val="nil"/>
              <w:bottom w:val="nil"/>
              <w:right w:val="nil"/>
            </w:tcBorders>
            <w:shd w:val="clear" w:color="auto" w:fill="auto"/>
            <w:noWrap/>
            <w:vAlign w:val="bottom"/>
            <w:hideMark/>
          </w:tcPr>
          <w:p w14:paraId="02DAEDCA" w14:textId="77777777" w:rsidR="00E65E66" w:rsidRDefault="00E65E66">
            <w:pPr>
              <w:jc w:val="right"/>
              <w:rPr>
                <w:rFonts w:ascii="Cambria" w:hAnsi="Cambria" w:cs="Arial"/>
                <w:color w:val="000000"/>
                <w:sz w:val="18"/>
                <w:szCs w:val="18"/>
              </w:rPr>
            </w:pPr>
            <w:r>
              <w:rPr>
                <w:rFonts w:ascii="Cambria" w:hAnsi="Cambria"/>
                <w:color w:val="000000"/>
                <w:sz w:val="18"/>
              </w:rPr>
              <w:t>171 715</w:t>
            </w:r>
          </w:p>
        </w:tc>
        <w:tc>
          <w:tcPr>
            <w:tcW w:w="1660" w:type="dxa"/>
            <w:tcBorders>
              <w:top w:val="nil"/>
              <w:left w:val="nil"/>
              <w:bottom w:val="nil"/>
              <w:right w:val="nil"/>
            </w:tcBorders>
            <w:shd w:val="clear" w:color="auto" w:fill="auto"/>
            <w:noWrap/>
            <w:vAlign w:val="bottom"/>
            <w:hideMark/>
          </w:tcPr>
          <w:p w14:paraId="23E1129C" w14:textId="77777777" w:rsidR="00E65E66" w:rsidRDefault="00E65E66">
            <w:pPr>
              <w:jc w:val="right"/>
              <w:rPr>
                <w:rFonts w:ascii="Cambria" w:hAnsi="Cambria" w:cs="Arial"/>
                <w:color w:val="000000"/>
                <w:sz w:val="18"/>
                <w:szCs w:val="18"/>
              </w:rPr>
            </w:pPr>
            <w:r>
              <w:rPr>
                <w:rFonts w:ascii="Cambria" w:hAnsi="Cambria"/>
                <w:color w:val="000000"/>
                <w:sz w:val="18"/>
              </w:rPr>
              <w:t>187 909</w:t>
            </w:r>
          </w:p>
        </w:tc>
        <w:tc>
          <w:tcPr>
            <w:tcW w:w="1660" w:type="dxa"/>
            <w:tcBorders>
              <w:top w:val="nil"/>
              <w:left w:val="nil"/>
              <w:bottom w:val="nil"/>
              <w:right w:val="nil"/>
            </w:tcBorders>
            <w:shd w:val="clear" w:color="auto" w:fill="auto"/>
            <w:noWrap/>
            <w:vAlign w:val="bottom"/>
            <w:hideMark/>
          </w:tcPr>
          <w:p w14:paraId="0C93B54E" w14:textId="77777777" w:rsidR="00E65E66" w:rsidRDefault="00E65E66">
            <w:pPr>
              <w:jc w:val="right"/>
              <w:rPr>
                <w:rFonts w:ascii="Cambria" w:hAnsi="Cambria" w:cs="Arial"/>
                <w:color w:val="000000"/>
                <w:sz w:val="18"/>
                <w:szCs w:val="18"/>
              </w:rPr>
            </w:pPr>
            <w:r>
              <w:rPr>
                <w:rFonts w:ascii="Cambria" w:hAnsi="Cambria"/>
                <w:color w:val="000000"/>
                <w:sz w:val="18"/>
              </w:rPr>
              <w:t>(16 193)</w:t>
            </w:r>
          </w:p>
        </w:tc>
      </w:tr>
      <w:tr w:rsidR="00E65E66" w14:paraId="2B2885F6" w14:textId="77777777" w:rsidTr="00E65E66">
        <w:trPr>
          <w:trHeight w:val="255"/>
        </w:trPr>
        <w:tc>
          <w:tcPr>
            <w:tcW w:w="4600" w:type="dxa"/>
            <w:tcBorders>
              <w:top w:val="nil"/>
              <w:left w:val="nil"/>
              <w:bottom w:val="nil"/>
              <w:right w:val="nil"/>
            </w:tcBorders>
            <w:shd w:val="clear" w:color="auto" w:fill="auto"/>
            <w:noWrap/>
            <w:vAlign w:val="bottom"/>
            <w:hideMark/>
          </w:tcPr>
          <w:p w14:paraId="0C480F3A" w14:textId="77777777" w:rsidR="00E65E66" w:rsidRDefault="00E65E66">
            <w:pPr>
              <w:rPr>
                <w:rFonts w:ascii="Cambria" w:hAnsi="Cambria" w:cs="Arial"/>
                <w:b/>
                <w:bCs/>
                <w:color w:val="000000"/>
                <w:sz w:val="18"/>
                <w:szCs w:val="18"/>
              </w:rPr>
            </w:pPr>
            <w:r>
              <w:rPr>
                <w:rFonts w:ascii="Cambria" w:hAnsi="Cambria"/>
                <w:b/>
                <w:color w:val="000000"/>
                <w:sz w:val="18"/>
              </w:rPr>
              <w:t>Total Coûts de services</w:t>
            </w:r>
          </w:p>
        </w:tc>
        <w:tc>
          <w:tcPr>
            <w:tcW w:w="1660" w:type="dxa"/>
            <w:tcBorders>
              <w:top w:val="single" w:sz="4" w:space="0" w:color="auto"/>
              <w:left w:val="nil"/>
              <w:bottom w:val="single" w:sz="8" w:space="0" w:color="auto"/>
              <w:right w:val="nil"/>
            </w:tcBorders>
            <w:shd w:val="clear" w:color="auto" w:fill="auto"/>
            <w:noWrap/>
            <w:vAlign w:val="bottom"/>
            <w:hideMark/>
          </w:tcPr>
          <w:p w14:paraId="437CCD6E" w14:textId="77777777" w:rsidR="00E65E66" w:rsidRDefault="00E65E66">
            <w:pPr>
              <w:jc w:val="right"/>
              <w:rPr>
                <w:rFonts w:ascii="Cambria" w:hAnsi="Cambria" w:cs="Arial"/>
                <w:b/>
                <w:bCs/>
                <w:color w:val="000000"/>
                <w:sz w:val="18"/>
                <w:szCs w:val="18"/>
              </w:rPr>
            </w:pPr>
            <w:r>
              <w:rPr>
                <w:rFonts w:ascii="Cambria" w:hAnsi="Cambria"/>
                <w:b/>
                <w:color w:val="000000"/>
                <w:sz w:val="18"/>
              </w:rPr>
              <w:t>692 387</w:t>
            </w:r>
          </w:p>
        </w:tc>
        <w:tc>
          <w:tcPr>
            <w:tcW w:w="1660" w:type="dxa"/>
            <w:tcBorders>
              <w:top w:val="single" w:sz="4" w:space="0" w:color="auto"/>
              <w:left w:val="nil"/>
              <w:bottom w:val="single" w:sz="8" w:space="0" w:color="auto"/>
              <w:right w:val="nil"/>
            </w:tcBorders>
            <w:shd w:val="clear" w:color="auto" w:fill="auto"/>
            <w:noWrap/>
            <w:vAlign w:val="bottom"/>
            <w:hideMark/>
          </w:tcPr>
          <w:p w14:paraId="25E1D8FE" w14:textId="77777777" w:rsidR="00E65E66" w:rsidRDefault="00E65E66">
            <w:pPr>
              <w:jc w:val="right"/>
              <w:rPr>
                <w:rFonts w:ascii="Cambria" w:hAnsi="Cambria" w:cs="Arial"/>
                <w:b/>
                <w:bCs/>
                <w:color w:val="000000"/>
                <w:sz w:val="18"/>
                <w:szCs w:val="18"/>
              </w:rPr>
            </w:pPr>
            <w:r>
              <w:rPr>
                <w:rFonts w:ascii="Cambria" w:hAnsi="Cambria"/>
                <w:b/>
                <w:color w:val="000000"/>
                <w:sz w:val="18"/>
              </w:rPr>
              <w:t>611 843</w:t>
            </w:r>
          </w:p>
        </w:tc>
        <w:tc>
          <w:tcPr>
            <w:tcW w:w="1660" w:type="dxa"/>
            <w:tcBorders>
              <w:top w:val="single" w:sz="4" w:space="0" w:color="auto"/>
              <w:left w:val="nil"/>
              <w:bottom w:val="single" w:sz="8" w:space="0" w:color="auto"/>
              <w:right w:val="nil"/>
            </w:tcBorders>
            <w:shd w:val="clear" w:color="auto" w:fill="auto"/>
            <w:noWrap/>
            <w:vAlign w:val="bottom"/>
            <w:hideMark/>
          </w:tcPr>
          <w:p w14:paraId="644E4E8E" w14:textId="77777777" w:rsidR="00E65E66" w:rsidRDefault="00E65E66">
            <w:pPr>
              <w:jc w:val="right"/>
              <w:rPr>
                <w:rFonts w:ascii="Cambria" w:hAnsi="Cambria" w:cs="Arial"/>
                <w:b/>
                <w:bCs/>
                <w:color w:val="000000"/>
                <w:sz w:val="18"/>
                <w:szCs w:val="18"/>
              </w:rPr>
            </w:pPr>
            <w:r>
              <w:rPr>
                <w:rFonts w:ascii="Cambria" w:hAnsi="Cambria"/>
                <w:b/>
                <w:color w:val="000000"/>
                <w:sz w:val="18"/>
              </w:rPr>
              <w:t>80 545</w:t>
            </w:r>
          </w:p>
        </w:tc>
      </w:tr>
    </w:tbl>
    <w:p w14:paraId="190213AF" w14:textId="7082040C" w:rsidR="00F25944" w:rsidRDefault="00F25944" w:rsidP="00E16D12">
      <w:pPr>
        <w:spacing w:after="200" w:line="276" w:lineRule="auto"/>
        <w:jc w:val="both"/>
        <w:rPr>
          <w:rFonts w:ascii="Cambria" w:hAnsi="Cambria"/>
          <w:sz w:val="22"/>
          <w:szCs w:val="22"/>
        </w:rPr>
      </w:pPr>
    </w:p>
    <w:p w14:paraId="74029F35" w14:textId="3E278CE4" w:rsidR="00B2745E" w:rsidRPr="00C17031" w:rsidRDefault="00B2745E" w:rsidP="00B2745E">
      <w:pPr>
        <w:spacing w:after="200" w:line="276" w:lineRule="auto"/>
        <w:jc w:val="both"/>
        <w:rPr>
          <w:rFonts w:ascii="Cambria" w:hAnsi="Cambria"/>
          <w:sz w:val="22"/>
          <w:szCs w:val="22"/>
        </w:rPr>
      </w:pPr>
      <w:r>
        <w:rPr>
          <w:rFonts w:ascii="Cambria" w:hAnsi="Cambria"/>
          <w:sz w:val="22"/>
        </w:rPr>
        <w:t>Les coûts des services comprennent les coûts des services d'électricité et d'eau, les coûts des services de sécurité, d'entretien et de réparation, les assurances, les coûts de transport, la publicité, les coûts d'entretien, les services fournis pour le conseil technique, juridique, administratif et professionnel, les coûts relatifs à la rémunération des organes d'administration et de contrôle ainsi que d'autres postes résiduels.</w:t>
      </w:r>
    </w:p>
    <w:p w14:paraId="23A29DD4" w14:textId="058AC1E4" w:rsidR="00E16D12" w:rsidRPr="00C17031" w:rsidRDefault="002B6B57" w:rsidP="00E16D12">
      <w:pPr>
        <w:spacing w:after="200" w:line="276" w:lineRule="auto"/>
        <w:jc w:val="both"/>
        <w:rPr>
          <w:rFonts w:ascii="Cambria" w:hAnsi="Cambria"/>
          <w:sz w:val="22"/>
          <w:szCs w:val="22"/>
        </w:rPr>
      </w:pPr>
      <w:r>
        <w:rPr>
          <w:rFonts w:ascii="Cambria" w:hAnsi="Cambria"/>
          <w:sz w:val="22"/>
        </w:rPr>
        <w:t>L'augmentation du poste par rapport à l'année précédente, égale à 81 milliers d'euros, est en ligne avec l'augmentation du chiffre d'affaires.</w:t>
      </w:r>
    </w:p>
    <w:p w14:paraId="308DA54F" w14:textId="77777777" w:rsidR="00D746FD" w:rsidRPr="00D746FD" w:rsidRDefault="00D746FD" w:rsidP="00D746FD"/>
    <w:p w14:paraId="450B92A1" w14:textId="77777777" w:rsidR="00E16D12" w:rsidRPr="00E20ACA" w:rsidRDefault="00E16D12" w:rsidP="00E16D12">
      <w:pPr>
        <w:pStyle w:val="Titolo2"/>
        <w:numPr>
          <w:ilvl w:val="0"/>
          <w:numId w:val="6"/>
        </w:numPr>
        <w:spacing w:line="240" w:lineRule="auto"/>
        <w:ind w:left="357" w:right="0" w:hanging="357"/>
        <w:jc w:val="left"/>
        <w:rPr>
          <w:i w:val="0"/>
        </w:rPr>
      </w:pPr>
      <w:bookmarkStart w:id="159" w:name="_Toc112768691"/>
      <w:r>
        <w:rPr>
          <w:i w:val="0"/>
        </w:rPr>
        <w:t>Charges de personnel</w:t>
      </w:r>
      <w:bookmarkEnd w:id="159"/>
    </w:p>
    <w:p w14:paraId="6804F68A" w14:textId="77777777" w:rsidR="00E16D12" w:rsidRPr="00C17031" w:rsidRDefault="00E16D12" w:rsidP="00E16D12">
      <w:pPr>
        <w:jc w:val="both"/>
        <w:rPr>
          <w:rFonts w:ascii="Cambria" w:hAnsi="Cambria"/>
          <w:sz w:val="22"/>
          <w:szCs w:val="22"/>
        </w:rPr>
      </w:pPr>
    </w:p>
    <w:p w14:paraId="2172F3FC" w14:textId="6C5C834F" w:rsidR="00E16D12" w:rsidRDefault="00E16D12" w:rsidP="00E16D12">
      <w:pPr>
        <w:spacing w:after="200" w:line="276" w:lineRule="auto"/>
        <w:jc w:val="both"/>
        <w:rPr>
          <w:rFonts w:ascii="Cambria" w:hAnsi="Cambria"/>
          <w:sz w:val="22"/>
          <w:szCs w:val="22"/>
        </w:rPr>
      </w:pPr>
      <w:r>
        <w:rPr>
          <w:rFonts w:ascii="Cambria" w:hAnsi="Cambria"/>
          <w:sz w:val="22"/>
        </w:rPr>
        <w:t>La composition du poste « Charges de personnel » pour la période du 1er janvier au 30 juin 2021, par rapport aux mêmes valeurs pour la période du 1er janvier au 30 juin 2020, est la suivante :</w:t>
      </w:r>
    </w:p>
    <w:tbl>
      <w:tblPr>
        <w:tblW w:w="5000" w:type="pct"/>
        <w:tblCellMar>
          <w:left w:w="70" w:type="dxa"/>
          <w:right w:w="70" w:type="dxa"/>
        </w:tblCellMar>
        <w:tblLook w:val="04A0" w:firstRow="1" w:lastRow="0" w:firstColumn="1" w:lastColumn="0" w:noHBand="0" w:noVBand="1"/>
      </w:tblPr>
      <w:tblGrid>
        <w:gridCol w:w="4600"/>
        <w:gridCol w:w="1680"/>
        <w:gridCol w:w="1679"/>
        <w:gridCol w:w="1679"/>
      </w:tblGrid>
      <w:tr w:rsidR="009D2D3B" w14:paraId="31CF211B" w14:textId="77777777" w:rsidTr="009D2D3B">
        <w:trPr>
          <w:trHeight w:val="495"/>
        </w:trPr>
        <w:tc>
          <w:tcPr>
            <w:tcW w:w="2386" w:type="pct"/>
            <w:tcBorders>
              <w:top w:val="single" w:sz="4" w:space="0" w:color="0070C0"/>
              <w:left w:val="nil"/>
              <w:bottom w:val="single" w:sz="8" w:space="0" w:color="0070C0"/>
              <w:right w:val="nil"/>
            </w:tcBorders>
            <w:shd w:val="clear" w:color="auto" w:fill="auto"/>
            <w:noWrap/>
            <w:vAlign w:val="bottom"/>
            <w:hideMark/>
          </w:tcPr>
          <w:p w14:paraId="48D5CA1A" w14:textId="77777777" w:rsidR="009D2D3B" w:rsidRDefault="009D2D3B">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871" w:type="pct"/>
            <w:tcBorders>
              <w:top w:val="single" w:sz="4" w:space="0" w:color="0070C0"/>
              <w:left w:val="nil"/>
              <w:bottom w:val="single" w:sz="8" w:space="0" w:color="0070C0"/>
              <w:right w:val="nil"/>
            </w:tcBorders>
            <w:shd w:val="clear" w:color="auto" w:fill="auto"/>
            <w:vAlign w:val="bottom"/>
            <w:hideMark/>
          </w:tcPr>
          <w:p w14:paraId="4CB71DFD" w14:textId="77777777" w:rsidR="009D2D3B" w:rsidRDefault="009D2D3B">
            <w:pPr>
              <w:jc w:val="center"/>
              <w:rPr>
                <w:rFonts w:ascii="Cambria" w:hAnsi="Cambria" w:cs="Arial"/>
                <w:b/>
                <w:bCs/>
                <w:color w:val="000000"/>
                <w:sz w:val="18"/>
                <w:szCs w:val="18"/>
              </w:rPr>
            </w:pPr>
            <w:r>
              <w:rPr>
                <w:rFonts w:ascii="Cambria" w:hAnsi="Cambria"/>
                <w:b/>
                <w:color w:val="000000"/>
                <w:sz w:val="18"/>
              </w:rPr>
              <w:t xml:space="preserve">1er janvier 2021 - </w:t>
            </w:r>
            <w:r>
              <w:rPr>
                <w:rFonts w:ascii="Cambria" w:hAnsi="Cambria"/>
                <w:b/>
                <w:bCs/>
                <w:color w:val="000000"/>
                <w:sz w:val="18"/>
                <w:szCs w:val="18"/>
              </w:rPr>
              <w:br/>
            </w:r>
            <w:r>
              <w:rPr>
                <w:rFonts w:ascii="Cambria" w:hAnsi="Cambria"/>
                <w:b/>
                <w:color w:val="000000"/>
                <w:sz w:val="18"/>
              </w:rPr>
              <w:t>30 juin 2021</w:t>
            </w:r>
          </w:p>
        </w:tc>
        <w:tc>
          <w:tcPr>
            <w:tcW w:w="871" w:type="pct"/>
            <w:tcBorders>
              <w:top w:val="single" w:sz="4" w:space="0" w:color="0070C0"/>
              <w:left w:val="nil"/>
              <w:bottom w:val="single" w:sz="8" w:space="0" w:color="0070C0"/>
              <w:right w:val="nil"/>
            </w:tcBorders>
            <w:shd w:val="clear" w:color="auto" w:fill="auto"/>
            <w:vAlign w:val="bottom"/>
            <w:hideMark/>
          </w:tcPr>
          <w:p w14:paraId="280644E2" w14:textId="77777777" w:rsidR="009D2D3B" w:rsidRDefault="009D2D3B">
            <w:pPr>
              <w:jc w:val="center"/>
              <w:rPr>
                <w:rFonts w:ascii="Cambria" w:hAnsi="Cambria" w:cs="Arial"/>
                <w:b/>
                <w:bCs/>
                <w:color w:val="000000"/>
                <w:sz w:val="18"/>
                <w:szCs w:val="18"/>
              </w:rPr>
            </w:pPr>
            <w:r>
              <w:rPr>
                <w:rFonts w:ascii="Cambria" w:hAnsi="Cambria"/>
                <w:b/>
                <w:color w:val="000000"/>
                <w:sz w:val="18"/>
              </w:rPr>
              <w:t xml:space="preserve">1er janvier 2020 - </w:t>
            </w:r>
            <w:r>
              <w:rPr>
                <w:rFonts w:ascii="Cambria" w:hAnsi="Cambria"/>
                <w:b/>
                <w:bCs/>
                <w:color w:val="000000"/>
                <w:sz w:val="18"/>
                <w:szCs w:val="18"/>
              </w:rPr>
              <w:br/>
            </w:r>
            <w:r>
              <w:rPr>
                <w:rFonts w:ascii="Cambria" w:hAnsi="Cambria"/>
                <w:b/>
                <w:color w:val="000000"/>
                <w:sz w:val="18"/>
              </w:rPr>
              <w:t>30 juin 2020</w:t>
            </w:r>
          </w:p>
        </w:tc>
        <w:tc>
          <w:tcPr>
            <w:tcW w:w="871" w:type="pct"/>
            <w:tcBorders>
              <w:top w:val="single" w:sz="4" w:space="0" w:color="0070C0"/>
              <w:left w:val="nil"/>
              <w:bottom w:val="single" w:sz="8" w:space="0" w:color="0070C0"/>
              <w:right w:val="nil"/>
            </w:tcBorders>
            <w:shd w:val="clear" w:color="auto" w:fill="auto"/>
            <w:vAlign w:val="bottom"/>
            <w:hideMark/>
          </w:tcPr>
          <w:p w14:paraId="138D6101" w14:textId="77777777" w:rsidR="009D2D3B" w:rsidRDefault="009D2D3B">
            <w:pPr>
              <w:jc w:val="center"/>
              <w:rPr>
                <w:rFonts w:ascii="Cambria" w:hAnsi="Cambria" w:cs="Arial"/>
                <w:b/>
                <w:bCs/>
                <w:color w:val="000000"/>
                <w:sz w:val="18"/>
                <w:szCs w:val="18"/>
              </w:rPr>
            </w:pPr>
            <w:r>
              <w:rPr>
                <w:rFonts w:ascii="Cambria" w:hAnsi="Cambria"/>
                <w:b/>
                <w:color w:val="000000"/>
                <w:sz w:val="18"/>
              </w:rPr>
              <w:t>Variations</w:t>
            </w:r>
          </w:p>
        </w:tc>
      </w:tr>
      <w:tr w:rsidR="009D2D3B" w14:paraId="4742A003" w14:textId="77777777" w:rsidTr="009D2D3B">
        <w:trPr>
          <w:trHeight w:val="240"/>
        </w:trPr>
        <w:tc>
          <w:tcPr>
            <w:tcW w:w="2386" w:type="pct"/>
            <w:tcBorders>
              <w:top w:val="nil"/>
              <w:left w:val="nil"/>
              <w:bottom w:val="nil"/>
              <w:right w:val="nil"/>
            </w:tcBorders>
            <w:shd w:val="clear" w:color="auto" w:fill="auto"/>
            <w:noWrap/>
            <w:vAlign w:val="bottom"/>
            <w:hideMark/>
          </w:tcPr>
          <w:p w14:paraId="7235D60F" w14:textId="77777777" w:rsidR="009D2D3B" w:rsidRDefault="009D2D3B">
            <w:pPr>
              <w:rPr>
                <w:rFonts w:ascii="Cambria" w:hAnsi="Cambria" w:cs="Arial"/>
                <w:color w:val="000000"/>
                <w:sz w:val="18"/>
                <w:szCs w:val="18"/>
              </w:rPr>
            </w:pPr>
            <w:r>
              <w:rPr>
                <w:rFonts w:ascii="Cambria" w:hAnsi="Cambria"/>
                <w:color w:val="000000"/>
                <w:sz w:val="18"/>
              </w:rPr>
              <w:t>Rémunération</w:t>
            </w:r>
          </w:p>
        </w:tc>
        <w:tc>
          <w:tcPr>
            <w:tcW w:w="871" w:type="pct"/>
            <w:tcBorders>
              <w:top w:val="nil"/>
              <w:left w:val="nil"/>
              <w:bottom w:val="nil"/>
              <w:right w:val="nil"/>
            </w:tcBorders>
            <w:shd w:val="clear" w:color="auto" w:fill="auto"/>
            <w:noWrap/>
            <w:vAlign w:val="bottom"/>
            <w:hideMark/>
          </w:tcPr>
          <w:p w14:paraId="1661E1B5" w14:textId="77777777" w:rsidR="009D2D3B" w:rsidRDefault="009D2D3B">
            <w:pPr>
              <w:jc w:val="right"/>
              <w:rPr>
                <w:rFonts w:ascii="Cambria" w:hAnsi="Cambria" w:cs="Arial"/>
                <w:color w:val="000000"/>
                <w:sz w:val="18"/>
                <w:szCs w:val="18"/>
              </w:rPr>
            </w:pPr>
            <w:r>
              <w:rPr>
                <w:rFonts w:ascii="Cambria" w:hAnsi="Cambria"/>
                <w:color w:val="000000"/>
                <w:sz w:val="18"/>
              </w:rPr>
              <w:t>1 486 986</w:t>
            </w:r>
          </w:p>
        </w:tc>
        <w:tc>
          <w:tcPr>
            <w:tcW w:w="871" w:type="pct"/>
            <w:tcBorders>
              <w:top w:val="nil"/>
              <w:left w:val="nil"/>
              <w:bottom w:val="nil"/>
              <w:right w:val="nil"/>
            </w:tcBorders>
            <w:shd w:val="clear" w:color="auto" w:fill="auto"/>
            <w:noWrap/>
            <w:vAlign w:val="bottom"/>
            <w:hideMark/>
          </w:tcPr>
          <w:p w14:paraId="441C91BA" w14:textId="77777777" w:rsidR="009D2D3B" w:rsidRDefault="009D2D3B">
            <w:pPr>
              <w:jc w:val="right"/>
              <w:rPr>
                <w:rFonts w:ascii="Cambria" w:hAnsi="Cambria" w:cs="Arial"/>
                <w:color w:val="000000"/>
                <w:sz w:val="18"/>
                <w:szCs w:val="18"/>
              </w:rPr>
            </w:pPr>
            <w:r>
              <w:rPr>
                <w:rFonts w:ascii="Cambria" w:hAnsi="Cambria"/>
                <w:color w:val="000000"/>
                <w:sz w:val="18"/>
              </w:rPr>
              <w:t>1 128 483</w:t>
            </w:r>
          </w:p>
        </w:tc>
        <w:tc>
          <w:tcPr>
            <w:tcW w:w="871" w:type="pct"/>
            <w:tcBorders>
              <w:top w:val="nil"/>
              <w:left w:val="nil"/>
              <w:bottom w:val="nil"/>
              <w:right w:val="nil"/>
            </w:tcBorders>
            <w:shd w:val="clear" w:color="auto" w:fill="auto"/>
            <w:noWrap/>
            <w:vAlign w:val="bottom"/>
            <w:hideMark/>
          </w:tcPr>
          <w:p w14:paraId="170F7686" w14:textId="77777777" w:rsidR="009D2D3B" w:rsidRDefault="009D2D3B">
            <w:pPr>
              <w:jc w:val="right"/>
              <w:rPr>
                <w:rFonts w:ascii="Cambria" w:hAnsi="Cambria" w:cs="Arial"/>
                <w:color w:val="000000"/>
                <w:sz w:val="18"/>
                <w:szCs w:val="18"/>
              </w:rPr>
            </w:pPr>
            <w:r>
              <w:rPr>
                <w:rFonts w:ascii="Cambria" w:hAnsi="Cambria"/>
                <w:color w:val="000000"/>
                <w:sz w:val="18"/>
              </w:rPr>
              <w:t>358 503</w:t>
            </w:r>
          </w:p>
        </w:tc>
      </w:tr>
      <w:tr w:rsidR="009D2D3B" w14:paraId="2E897973" w14:textId="77777777" w:rsidTr="009D2D3B">
        <w:trPr>
          <w:trHeight w:val="240"/>
        </w:trPr>
        <w:tc>
          <w:tcPr>
            <w:tcW w:w="2386" w:type="pct"/>
            <w:tcBorders>
              <w:top w:val="nil"/>
              <w:left w:val="nil"/>
              <w:bottom w:val="nil"/>
              <w:right w:val="nil"/>
            </w:tcBorders>
            <w:shd w:val="clear" w:color="auto" w:fill="auto"/>
            <w:noWrap/>
            <w:vAlign w:val="bottom"/>
            <w:hideMark/>
          </w:tcPr>
          <w:p w14:paraId="620168CE" w14:textId="77777777" w:rsidR="009D2D3B" w:rsidRDefault="009D2D3B">
            <w:pPr>
              <w:rPr>
                <w:rFonts w:ascii="Cambria" w:hAnsi="Cambria" w:cs="Arial"/>
                <w:color w:val="000000"/>
                <w:sz w:val="18"/>
                <w:szCs w:val="18"/>
              </w:rPr>
            </w:pPr>
            <w:r>
              <w:rPr>
                <w:rFonts w:ascii="Cambria" w:hAnsi="Cambria"/>
                <w:color w:val="000000"/>
                <w:sz w:val="18"/>
              </w:rPr>
              <w:t xml:space="preserve">Charges de sécurité sociale et d'assurance </w:t>
            </w:r>
          </w:p>
        </w:tc>
        <w:tc>
          <w:tcPr>
            <w:tcW w:w="871" w:type="pct"/>
            <w:tcBorders>
              <w:top w:val="nil"/>
              <w:left w:val="nil"/>
              <w:bottom w:val="nil"/>
              <w:right w:val="nil"/>
            </w:tcBorders>
            <w:shd w:val="clear" w:color="auto" w:fill="auto"/>
            <w:noWrap/>
            <w:vAlign w:val="bottom"/>
            <w:hideMark/>
          </w:tcPr>
          <w:p w14:paraId="6B1E9F3E" w14:textId="77777777" w:rsidR="009D2D3B" w:rsidRDefault="009D2D3B">
            <w:pPr>
              <w:jc w:val="right"/>
              <w:rPr>
                <w:rFonts w:ascii="Cambria" w:hAnsi="Cambria" w:cs="Arial"/>
                <w:color w:val="000000"/>
                <w:sz w:val="18"/>
                <w:szCs w:val="18"/>
              </w:rPr>
            </w:pPr>
            <w:r>
              <w:rPr>
                <w:rFonts w:ascii="Cambria" w:hAnsi="Cambria"/>
                <w:color w:val="000000"/>
                <w:sz w:val="18"/>
              </w:rPr>
              <w:t>333 832</w:t>
            </w:r>
          </w:p>
        </w:tc>
        <w:tc>
          <w:tcPr>
            <w:tcW w:w="871" w:type="pct"/>
            <w:tcBorders>
              <w:top w:val="nil"/>
              <w:left w:val="nil"/>
              <w:bottom w:val="nil"/>
              <w:right w:val="nil"/>
            </w:tcBorders>
            <w:shd w:val="clear" w:color="auto" w:fill="auto"/>
            <w:noWrap/>
            <w:vAlign w:val="bottom"/>
            <w:hideMark/>
          </w:tcPr>
          <w:p w14:paraId="10D009C2" w14:textId="77777777" w:rsidR="009D2D3B" w:rsidRDefault="009D2D3B">
            <w:pPr>
              <w:jc w:val="right"/>
              <w:rPr>
                <w:rFonts w:ascii="Cambria" w:hAnsi="Cambria" w:cs="Arial"/>
                <w:color w:val="000000"/>
                <w:sz w:val="18"/>
                <w:szCs w:val="18"/>
              </w:rPr>
            </w:pPr>
            <w:r>
              <w:rPr>
                <w:rFonts w:ascii="Cambria" w:hAnsi="Cambria"/>
                <w:color w:val="000000"/>
                <w:sz w:val="18"/>
              </w:rPr>
              <w:t>334 924</w:t>
            </w:r>
          </w:p>
        </w:tc>
        <w:tc>
          <w:tcPr>
            <w:tcW w:w="871" w:type="pct"/>
            <w:tcBorders>
              <w:top w:val="nil"/>
              <w:left w:val="nil"/>
              <w:bottom w:val="nil"/>
              <w:right w:val="nil"/>
            </w:tcBorders>
            <w:shd w:val="clear" w:color="auto" w:fill="auto"/>
            <w:noWrap/>
            <w:vAlign w:val="bottom"/>
            <w:hideMark/>
          </w:tcPr>
          <w:p w14:paraId="18131140" w14:textId="77777777" w:rsidR="009D2D3B" w:rsidRDefault="009D2D3B">
            <w:pPr>
              <w:jc w:val="right"/>
              <w:rPr>
                <w:rFonts w:ascii="Cambria" w:hAnsi="Cambria" w:cs="Arial"/>
                <w:color w:val="000000"/>
                <w:sz w:val="18"/>
                <w:szCs w:val="18"/>
              </w:rPr>
            </w:pPr>
            <w:r>
              <w:rPr>
                <w:rFonts w:ascii="Cambria" w:hAnsi="Cambria"/>
                <w:color w:val="000000"/>
                <w:sz w:val="18"/>
              </w:rPr>
              <w:t>(1 092)</w:t>
            </w:r>
          </w:p>
        </w:tc>
      </w:tr>
      <w:tr w:rsidR="009D2D3B" w14:paraId="0228670D" w14:textId="77777777" w:rsidTr="009D2D3B">
        <w:trPr>
          <w:trHeight w:val="240"/>
        </w:trPr>
        <w:tc>
          <w:tcPr>
            <w:tcW w:w="2386" w:type="pct"/>
            <w:tcBorders>
              <w:top w:val="nil"/>
              <w:left w:val="nil"/>
              <w:bottom w:val="nil"/>
              <w:right w:val="nil"/>
            </w:tcBorders>
            <w:shd w:val="clear" w:color="auto" w:fill="auto"/>
            <w:noWrap/>
            <w:vAlign w:val="bottom"/>
            <w:hideMark/>
          </w:tcPr>
          <w:p w14:paraId="6B050944" w14:textId="77777777" w:rsidR="009D2D3B" w:rsidRDefault="009D2D3B">
            <w:pPr>
              <w:rPr>
                <w:rFonts w:ascii="Cambria" w:hAnsi="Cambria" w:cs="Arial"/>
                <w:color w:val="000000"/>
                <w:sz w:val="18"/>
                <w:szCs w:val="18"/>
              </w:rPr>
            </w:pPr>
            <w:r>
              <w:rPr>
                <w:rFonts w:ascii="Cambria" w:hAnsi="Cambria"/>
                <w:color w:val="000000"/>
                <w:sz w:val="18"/>
              </w:rPr>
              <w:t>Provision pour indemnités de départ</w:t>
            </w:r>
          </w:p>
        </w:tc>
        <w:tc>
          <w:tcPr>
            <w:tcW w:w="871" w:type="pct"/>
            <w:tcBorders>
              <w:top w:val="nil"/>
              <w:left w:val="nil"/>
              <w:bottom w:val="nil"/>
              <w:right w:val="nil"/>
            </w:tcBorders>
            <w:shd w:val="clear" w:color="auto" w:fill="auto"/>
            <w:noWrap/>
            <w:vAlign w:val="bottom"/>
            <w:hideMark/>
          </w:tcPr>
          <w:p w14:paraId="3B416366" w14:textId="77777777" w:rsidR="009D2D3B" w:rsidRDefault="009D2D3B">
            <w:pPr>
              <w:jc w:val="right"/>
              <w:rPr>
                <w:rFonts w:ascii="Cambria" w:hAnsi="Cambria" w:cs="Arial"/>
                <w:color w:val="000000"/>
                <w:sz w:val="18"/>
                <w:szCs w:val="18"/>
              </w:rPr>
            </w:pPr>
            <w:r>
              <w:rPr>
                <w:rFonts w:ascii="Cambria" w:hAnsi="Cambria"/>
                <w:color w:val="000000"/>
                <w:sz w:val="18"/>
              </w:rPr>
              <w:t>124 454</w:t>
            </w:r>
          </w:p>
        </w:tc>
        <w:tc>
          <w:tcPr>
            <w:tcW w:w="871" w:type="pct"/>
            <w:tcBorders>
              <w:top w:val="nil"/>
              <w:left w:val="nil"/>
              <w:bottom w:val="nil"/>
              <w:right w:val="nil"/>
            </w:tcBorders>
            <w:shd w:val="clear" w:color="auto" w:fill="auto"/>
            <w:noWrap/>
            <w:vAlign w:val="bottom"/>
            <w:hideMark/>
          </w:tcPr>
          <w:p w14:paraId="568F16E5" w14:textId="77777777" w:rsidR="009D2D3B" w:rsidRDefault="009D2D3B">
            <w:pPr>
              <w:jc w:val="right"/>
              <w:rPr>
                <w:rFonts w:ascii="Cambria" w:hAnsi="Cambria" w:cs="Arial"/>
                <w:color w:val="000000"/>
                <w:sz w:val="18"/>
                <w:szCs w:val="18"/>
              </w:rPr>
            </w:pPr>
            <w:r>
              <w:rPr>
                <w:rFonts w:ascii="Cambria" w:hAnsi="Cambria"/>
                <w:color w:val="000000"/>
                <w:sz w:val="18"/>
              </w:rPr>
              <w:t>106 158</w:t>
            </w:r>
          </w:p>
        </w:tc>
        <w:tc>
          <w:tcPr>
            <w:tcW w:w="871" w:type="pct"/>
            <w:tcBorders>
              <w:top w:val="nil"/>
              <w:left w:val="nil"/>
              <w:bottom w:val="nil"/>
              <w:right w:val="nil"/>
            </w:tcBorders>
            <w:shd w:val="clear" w:color="auto" w:fill="auto"/>
            <w:noWrap/>
            <w:vAlign w:val="bottom"/>
            <w:hideMark/>
          </w:tcPr>
          <w:p w14:paraId="4A6E3D09" w14:textId="77777777" w:rsidR="009D2D3B" w:rsidRDefault="009D2D3B">
            <w:pPr>
              <w:jc w:val="right"/>
              <w:rPr>
                <w:rFonts w:ascii="Cambria" w:hAnsi="Cambria" w:cs="Arial"/>
                <w:color w:val="000000"/>
                <w:sz w:val="18"/>
                <w:szCs w:val="18"/>
              </w:rPr>
            </w:pPr>
            <w:r>
              <w:rPr>
                <w:rFonts w:ascii="Cambria" w:hAnsi="Cambria"/>
                <w:color w:val="000000"/>
                <w:sz w:val="18"/>
              </w:rPr>
              <w:t>18 296</w:t>
            </w:r>
          </w:p>
        </w:tc>
      </w:tr>
      <w:tr w:rsidR="009D2D3B" w14:paraId="402BCF92" w14:textId="77777777" w:rsidTr="009D2D3B">
        <w:trPr>
          <w:trHeight w:val="240"/>
        </w:trPr>
        <w:tc>
          <w:tcPr>
            <w:tcW w:w="2386" w:type="pct"/>
            <w:tcBorders>
              <w:top w:val="nil"/>
              <w:left w:val="nil"/>
              <w:bottom w:val="nil"/>
              <w:right w:val="nil"/>
            </w:tcBorders>
            <w:shd w:val="clear" w:color="auto" w:fill="auto"/>
            <w:noWrap/>
            <w:vAlign w:val="bottom"/>
            <w:hideMark/>
          </w:tcPr>
          <w:p w14:paraId="63061CF6" w14:textId="77777777" w:rsidR="009D2D3B" w:rsidRDefault="009D2D3B">
            <w:pPr>
              <w:rPr>
                <w:rFonts w:ascii="Cambria" w:hAnsi="Cambria" w:cs="Arial"/>
                <w:color w:val="000000"/>
                <w:sz w:val="18"/>
                <w:szCs w:val="18"/>
              </w:rPr>
            </w:pPr>
            <w:r>
              <w:rPr>
                <w:rFonts w:ascii="Cambria" w:hAnsi="Cambria"/>
                <w:color w:val="000000"/>
                <w:sz w:val="18"/>
              </w:rPr>
              <w:t>Autres charges de personnel</w:t>
            </w:r>
          </w:p>
        </w:tc>
        <w:tc>
          <w:tcPr>
            <w:tcW w:w="871" w:type="pct"/>
            <w:tcBorders>
              <w:top w:val="nil"/>
              <w:left w:val="nil"/>
              <w:bottom w:val="nil"/>
              <w:right w:val="nil"/>
            </w:tcBorders>
            <w:shd w:val="clear" w:color="auto" w:fill="auto"/>
            <w:noWrap/>
            <w:vAlign w:val="bottom"/>
            <w:hideMark/>
          </w:tcPr>
          <w:p w14:paraId="7C91EEE5" w14:textId="77777777" w:rsidR="009D2D3B" w:rsidRDefault="009D2D3B">
            <w:pPr>
              <w:jc w:val="right"/>
              <w:rPr>
                <w:rFonts w:ascii="Cambria" w:hAnsi="Cambria" w:cs="Arial"/>
                <w:color w:val="000000"/>
                <w:sz w:val="18"/>
                <w:szCs w:val="18"/>
              </w:rPr>
            </w:pPr>
            <w:r>
              <w:rPr>
                <w:rFonts w:ascii="Cambria" w:hAnsi="Cambria"/>
                <w:color w:val="000000"/>
                <w:sz w:val="18"/>
              </w:rPr>
              <w:t>15 131</w:t>
            </w:r>
          </w:p>
        </w:tc>
        <w:tc>
          <w:tcPr>
            <w:tcW w:w="871" w:type="pct"/>
            <w:tcBorders>
              <w:top w:val="nil"/>
              <w:left w:val="nil"/>
              <w:bottom w:val="nil"/>
              <w:right w:val="nil"/>
            </w:tcBorders>
            <w:shd w:val="clear" w:color="auto" w:fill="auto"/>
            <w:noWrap/>
            <w:vAlign w:val="bottom"/>
            <w:hideMark/>
          </w:tcPr>
          <w:p w14:paraId="0586BCC2" w14:textId="77777777" w:rsidR="009D2D3B" w:rsidRDefault="009D2D3B">
            <w:pPr>
              <w:jc w:val="right"/>
              <w:rPr>
                <w:rFonts w:ascii="Cambria" w:hAnsi="Cambria" w:cs="Arial"/>
                <w:color w:val="000000"/>
                <w:sz w:val="18"/>
                <w:szCs w:val="18"/>
              </w:rPr>
            </w:pPr>
            <w:r>
              <w:rPr>
                <w:rFonts w:ascii="Cambria" w:hAnsi="Cambria"/>
                <w:color w:val="000000"/>
                <w:sz w:val="18"/>
              </w:rPr>
              <w:t>1 107</w:t>
            </w:r>
          </w:p>
        </w:tc>
        <w:tc>
          <w:tcPr>
            <w:tcW w:w="871" w:type="pct"/>
            <w:tcBorders>
              <w:top w:val="nil"/>
              <w:left w:val="nil"/>
              <w:bottom w:val="nil"/>
              <w:right w:val="nil"/>
            </w:tcBorders>
            <w:shd w:val="clear" w:color="auto" w:fill="auto"/>
            <w:noWrap/>
            <w:vAlign w:val="bottom"/>
            <w:hideMark/>
          </w:tcPr>
          <w:p w14:paraId="1D0411CE" w14:textId="77777777" w:rsidR="009D2D3B" w:rsidRDefault="009D2D3B">
            <w:pPr>
              <w:jc w:val="right"/>
              <w:rPr>
                <w:rFonts w:ascii="Cambria" w:hAnsi="Cambria" w:cs="Arial"/>
                <w:color w:val="000000"/>
                <w:sz w:val="18"/>
                <w:szCs w:val="18"/>
              </w:rPr>
            </w:pPr>
            <w:r>
              <w:rPr>
                <w:rFonts w:ascii="Cambria" w:hAnsi="Cambria"/>
                <w:color w:val="000000"/>
                <w:sz w:val="18"/>
              </w:rPr>
              <w:t>14 024</w:t>
            </w:r>
          </w:p>
        </w:tc>
      </w:tr>
      <w:tr w:rsidR="009D2D3B" w14:paraId="79F65CB1" w14:textId="77777777" w:rsidTr="009D2D3B">
        <w:trPr>
          <w:trHeight w:val="255"/>
        </w:trPr>
        <w:tc>
          <w:tcPr>
            <w:tcW w:w="2386" w:type="pct"/>
            <w:tcBorders>
              <w:top w:val="nil"/>
              <w:left w:val="nil"/>
              <w:bottom w:val="nil"/>
              <w:right w:val="nil"/>
            </w:tcBorders>
            <w:shd w:val="clear" w:color="auto" w:fill="auto"/>
            <w:noWrap/>
            <w:vAlign w:val="bottom"/>
            <w:hideMark/>
          </w:tcPr>
          <w:p w14:paraId="6BC6F5AB" w14:textId="77777777" w:rsidR="009D2D3B" w:rsidRDefault="009D2D3B">
            <w:pPr>
              <w:rPr>
                <w:rFonts w:ascii="Cambria" w:hAnsi="Cambria" w:cs="Arial"/>
                <w:b/>
                <w:bCs/>
                <w:color w:val="000000"/>
                <w:sz w:val="18"/>
                <w:szCs w:val="18"/>
              </w:rPr>
            </w:pPr>
            <w:r>
              <w:rPr>
                <w:rFonts w:ascii="Cambria" w:hAnsi="Cambria"/>
                <w:b/>
                <w:color w:val="000000"/>
                <w:sz w:val="18"/>
              </w:rPr>
              <w:t>Total charges de personnel</w:t>
            </w:r>
          </w:p>
        </w:tc>
        <w:tc>
          <w:tcPr>
            <w:tcW w:w="871" w:type="pct"/>
            <w:tcBorders>
              <w:top w:val="single" w:sz="4" w:space="0" w:color="auto"/>
              <w:left w:val="nil"/>
              <w:bottom w:val="single" w:sz="8" w:space="0" w:color="auto"/>
              <w:right w:val="nil"/>
            </w:tcBorders>
            <w:shd w:val="clear" w:color="auto" w:fill="auto"/>
            <w:noWrap/>
            <w:vAlign w:val="bottom"/>
            <w:hideMark/>
          </w:tcPr>
          <w:p w14:paraId="4ACB94F6" w14:textId="77777777" w:rsidR="009D2D3B" w:rsidRDefault="009D2D3B">
            <w:pPr>
              <w:jc w:val="right"/>
              <w:rPr>
                <w:rFonts w:ascii="Cambria" w:hAnsi="Cambria" w:cs="Arial"/>
                <w:b/>
                <w:bCs/>
                <w:color w:val="000000"/>
                <w:sz w:val="18"/>
                <w:szCs w:val="18"/>
              </w:rPr>
            </w:pPr>
            <w:r>
              <w:rPr>
                <w:rFonts w:ascii="Cambria" w:hAnsi="Cambria"/>
                <w:b/>
                <w:color w:val="000000"/>
                <w:sz w:val="18"/>
              </w:rPr>
              <w:t>1 960 403</w:t>
            </w:r>
          </w:p>
        </w:tc>
        <w:tc>
          <w:tcPr>
            <w:tcW w:w="871" w:type="pct"/>
            <w:tcBorders>
              <w:top w:val="single" w:sz="4" w:space="0" w:color="auto"/>
              <w:left w:val="nil"/>
              <w:bottom w:val="single" w:sz="8" w:space="0" w:color="auto"/>
              <w:right w:val="nil"/>
            </w:tcBorders>
            <w:shd w:val="clear" w:color="auto" w:fill="auto"/>
            <w:noWrap/>
            <w:vAlign w:val="bottom"/>
            <w:hideMark/>
          </w:tcPr>
          <w:p w14:paraId="7F1E744F" w14:textId="77777777" w:rsidR="009D2D3B" w:rsidRDefault="009D2D3B">
            <w:pPr>
              <w:jc w:val="right"/>
              <w:rPr>
                <w:rFonts w:ascii="Cambria" w:hAnsi="Cambria" w:cs="Arial"/>
                <w:b/>
                <w:bCs/>
                <w:color w:val="000000"/>
                <w:sz w:val="18"/>
                <w:szCs w:val="18"/>
              </w:rPr>
            </w:pPr>
            <w:r>
              <w:rPr>
                <w:rFonts w:ascii="Cambria" w:hAnsi="Cambria"/>
                <w:b/>
                <w:color w:val="000000"/>
                <w:sz w:val="18"/>
              </w:rPr>
              <w:t>1 570 671</w:t>
            </w:r>
          </w:p>
        </w:tc>
        <w:tc>
          <w:tcPr>
            <w:tcW w:w="871" w:type="pct"/>
            <w:tcBorders>
              <w:top w:val="single" w:sz="4" w:space="0" w:color="auto"/>
              <w:left w:val="nil"/>
              <w:bottom w:val="single" w:sz="8" w:space="0" w:color="auto"/>
              <w:right w:val="nil"/>
            </w:tcBorders>
            <w:shd w:val="clear" w:color="auto" w:fill="auto"/>
            <w:noWrap/>
            <w:vAlign w:val="bottom"/>
            <w:hideMark/>
          </w:tcPr>
          <w:p w14:paraId="4E60FDD3" w14:textId="77777777" w:rsidR="009D2D3B" w:rsidRDefault="009D2D3B">
            <w:pPr>
              <w:jc w:val="right"/>
              <w:rPr>
                <w:rFonts w:ascii="Cambria" w:hAnsi="Cambria" w:cs="Arial"/>
                <w:b/>
                <w:bCs/>
                <w:color w:val="000000"/>
                <w:sz w:val="18"/>
                <w:szCs w:val="18"/>
              </w:rPr>
            </w:pPr>
            <w:r>
              <w:rPr>
                <w:rFonts w:ascii="Cambria" w:hAnsi="Cambria"/>
                <w:b/>
                <w:color w:val="000000"/>
                <w:sz w:val="18"/>
              </w:rPr>
              <w:t>389 731</w:t>
            </w:r>
          </w:p>
        </w:tc>
      </w:tr>
    </w:tbl>
    <w:p w14:paraId="32C88C54" w14:textId="7E9C27BD" w:rsidR="00F25944" w:rsidRDefault="00F25944" w:rsidP="00E16D12">
      <w:pPr>
        <w:spacing w:after="200" w:line="276" w:lineRule="auto"/>
        <w:jc w:val="both"/>
        <w:rPr>
          <w:rFonts w:ascii="Cambria" w:hAnsi="Cambria"/>
          <w:sz w:val="22"/>
          <w:szCs w:val="22"/>
        </w:rPr>
      </w:pPr>
    </w:p>
    <w:p w14:paraId="26A343E9" w14:textId="785FE9ED" w:rsidR="002E6F45" w:rsidRPr="00C17031" w:rsidRDefault="00D746FD" w:rsidP="00E16D12">
      <w:pPr>
        <w:spacing w:after="200" w:line="276" w:lineRule="auto"/>
        <w:jc w:val="both"/>
        <w:rPr>
          <w:rFonts w:ascii="Cambria" w:hAnsi="Cambria"/>
          <w:sz w:val="22"/>
          <w:szCs w:val="22"/>
        </w:rPr>
      </w:pPr>
      <w:r>
        <w:rPr>
          <w:rFonts w:ascii="Cambria" w:hAnsi="Cambria"/>
          <w:sz w:val="22"/>
        </w:rPr>
        <w:lastRenderedPageBreak/>
        <w:t>Les charges de personnel concernent les coûts relatifs aux employés présents dans les effectifs au cours de la période.</w:t>
      </w:r>
    </w:p>
    <w:p w14:paraId="60711616" w14:textId="09B05A03" w:rsidR="00E16D12" w:rsidRDefault="002B6B57" w:rsidP="00E16D12">
      <w:pPr>
        <w:spacing w:after="200" w:line="276" w:lineRule="auto"/>
        <w:jc w:val="both"/>
        <w:rPr>
          <w:rFonts w:ascii="Cambria" w:hAnsi="Cambria"/>
          <w:sz w:val="22"/>
          <w:szCs w:val="22"/>
        </w:rPr>
      </w:pPr>
      <w:r>
        <w:rPr>
          <w:rFonts w:ascii="Cambria" w:hAnsi="Cambria"/>
          <w:sz w:val="22"/>
        </w:rPr>
        <w:t>Les charges de personnel ont augmenté de 390 milliers d'euros par rapport à l'exercice précédent en raison des effets de la réouverture des points de vente après la fermeture imposée par Covid-19 et de la réduction des mesures de soutien des revenus des travailleurs (CIG).</w:t>
      </w:r>
    </w:p>
    <w:p w14:paraId="0CB83062" w14:textId="77777777" w:rsidR="007015DE" w:rsidRDefault="007015DE" w:rsidP="00E16D12">
      <w:pPr>
        <w:spacing w:after="200" w:line="276" w:lineRule="auto"/>
        <w:jc w:val="both"/>
        <w:rPr>
          <w:rFonts w:ascii="Cambria" w:hAnsi="Cambria"/>
          <w:sz w:val="22"/>
          <w:szCs w:val="22"/>
        </w:rPr>
      </w:pPr>
    </w:p>
    <w:p w14:paraId="6D693F07" w14:textId="77777777" w:rsidR="00E16D12" w:rsidRPr="00E20ACA" w:rsidRDefault="00E16D12" w:rsidP="00E16D12">
      <w:pPr>
        <w:pStyle w:val="Titolo2"/>
        <w:numPr>
          <w:ilvl w:val="0"/>
          <w:numId w:val="6"/>
        </w:numPr>
        <w:spacing w:line="240" w:lineRule="auto"/>
        <w:ind w:left="357" w:right="0" w:hanging="357"/>
        <w:jc w:val="left"/>
        <w:rPr>
          <w:i w:val="0"/>
        </w:rPr>
      </w:pPr>
      <w:bookmarkStart w:id="160" w:name="_Toc112768692"/>
      <w:r>
        <w:rPr>
          <w:i w:val="0"/>
        </w:rPr>
        <w:t>Autres coûts d’exploitation</w:t>
      </w:r>
      <w:bookmarkEnd w:id="160"/>
    </w:p>
    <w:p w14:paraId="79A3E51A" w14:textId="77777777" w:rsidR="00E16D12" w:rsidRPr="00C17031" w:rsidRDefault="00E16D12" w:rsidP="00E16D12">
      <w:pPr>
        <w:rPr>
          <w:rFonts w:ascii="Cambria" w:hAnsi="Cambria"/>
          <w:highlight w:val="green"/>
        </w:rPr>
      </w:pPr>
    </w:p>
    <w:p w14:paraId="1285871B" w14:textId="40B7CFA6" w:rsidR="007015DE" w:rsidRDefault="00E16D12" w:rsidP="00E16D12">
      <w:pPr>
        <w:spacing w:after="200" w:line="276" w:lineRule="auto"/>
        <w:jc w:val="both"/>
        <w:rPr>
          <w:rFonts w:ascii="Cambria" w:hAnsi="Cambria"/>
          <w:sz w:val="22"/>
          <w:szCs w:val="22"/>
        </w:rPr>
      </w:pPr>
      <w:r>
        <w:rPr>
          <w:rFonts w:ascii="Cambria" w:hAnsi="Cambria"/>
          <w:sz w:val="22"/>
        </w:rPr>
        <w:t>La composition du poste « Autres coûts d’exploitation » pour la période du 1er janvier au 30 juin 2021, par rapport aux mêmes valeurs pour la période du 1er janvier au 30 juin 2020, est la suivante :</w:t>
      </w:r>
    </w:p>
    <w:tbl>
      <w:tblPr>
        <w:tblW w:w="9580" w:type="dxa"/>
        <w:tblCellMar>
          <w:left w:w="70" w:type="dxa"/>
          <w:right w:w="70" w:type="dxa"/>
        </w:tblCellMar>
        <w:tblLook w:val="04A0" w:firstRow="1" w:lastRow="0" w:firstColumn="1" w:lastColumn="0" w:noHBand="0" w:noVBand="1"/>
      </w:tblPr>
      <w:tblGrid>
        <w:gridCol w:w="4600"/>
        <w:gridCol w:w="1660"/>
        <w:gridCol w:w="1660"/>
        <w:gridCol w:w="1660"/>
      </w:tblGrid>
      <w:tr w:rsidR="007D0D25" w14:paraId="38991E49" w14:textId="77777777" w:rsidTr="007D0D25">
        <w:trPr>
          <w:trHeight w:val="495"/>
        </w:trPr>
        <w:tc>
          <w:tcPr>
            <w:tcW w:w="4600" w:type="dxa"/>
            <w:tcBorders>
              <w:top w:val="single" w:sz="4" w:space="0" w:color="0070C0"/>
              <w:left w:val="nil"/>
              <w:bottom w:val="single" w:sz="8" w:space="0" w:color="0070C0"/>
              <w:right w:val="nil"/>
            </w:tcBorders>
            <w:shd w:val="clear" w:color="auto" w:fill="auto"/>
            <w:noWrap/>
            <w:vAlign w:val="bottom"/>
            <w:hideMark/>
          </w:tcPr>
          <w:p w14:paraId="287CCAE1" w14:textId="77777777" w:rsidR="007D0D25" w:rsidRDefault="007D0D25">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660" w:type="dxa"/>
            <w:tcBorders>
              <w:top w:val="single" w:sz="4" w:space="0" w:color="0070C0"/>
              <w:left w:val="nil"/>
              <w:bottom w:val="single" w:sz="8" w:space="0" w:color="0070C0"/>
              <w:right w:val="nil"/>
            </w:tcBorders>
            <w:shd w:val="clear" w:color="auto" w:fill="auto"/>
            <w:vAlign w:val="bottom"/>
            <w:hideMark/>
          </w:tcPr>
          <w:p w14:paraId="567FEDF5" w14:textId="77777777" w:rsidR="007D0D25" w:rsidRDefault="007D0D25">
            <w:pPr>
              <w:jc w:val="center"/>
              <w:rPr>
                <w:rFonts w:ascii="Cambria" w:hAnsi="Cambria" w:cs="Arial"/>
                <w:b/>
                <w:bCs/>
                <w:color w:val="000000"/>
                <w:sz w:val="18"/>
                <w:szCs w:val="18"/>
              </w:rPr>
            </w:pPr>
            <w:r>
              <w:rPr>
                <w:rFonts w:ascii="Cambria" w:hAnsi="Cambria"/>
                <w:b/>
                <w:color w:val="000000"/>
                <w:sz w:val="18"/>
              </w:rPr>
              <w:t xml:space="preserve">1er janvier 2021 - </w:t>
            </w:r>
            <w:r>
              <w:rPr>
                <w:rFonts w:ascii="Cambria" w:hAnsi="Cambria"/>
                <w:b/>
                <w:bCs/>
                <w:color w:val="000000"/>
                <w:sz w:val="18"/>
                <w:szCs w:val="18"/>
              </w:rPr>
              <w:br/>
            </w:r>
            <w:r>
              <w:rPr>
                <w:rFonts w:ascii="Cambria" w:hAnsi="Cambria"/>
                <w:b/>
                <w:color w:val="000000"/>
                <w:sz w:val="18"/>
              </w:rPr>
              <w:t>30 juin 2021</w:t>
            </w:r>
          </w:p>
        </w:tc>
        <w:tc>
          <w:tcPr>
            <w:tcW w:w="1660" w:type="dxa"/>
            <w:tcBorders>
              <w:top w:val="single" w:sz="4" w:space="0" w:color="0070C0"/>
              <w:left w:val="nil"/>
              <w:bottom w:val="single" w:sz="8" w:space="0" w:color="0070C0"/>
              <w:right w:val="nil"/>
            </w:tcBorders>
            <w:shd w:val="clear" w:color="auto" w:fill="auto"/>
            <w:vAlign w:val="bottom"/>
            <w:hideMark/>
          </w:tcPr>
          <w:p w14:paraId="04D8B024" w14:textId="77777777" w:rsidR="007D0D25" w:rsidRDefault="007D0D25">
            <w:pPr>
              <w:jc w:val="center"/>
              <w:rPr>
                <w:rFonts w:ascii="Cambria" w:hAnsi="Cambria" w:cs="Arial"/>
                <w:b/>
                <w:bCs/>
                <w:color w:val="000000"/>
                <w:sz w:val="18"/>
                <w:szCs w:val="18"/>
              </w:rPr>
            </w:pPr>
            <w:r>
              <w:rPr>
                <w:rFonts w:ascii="Cambria" w:hAnsi="Cambria"/>
                <w:b/>
                <w:color w:val="000000"/>
                <w:sz w:val="18"/>
              </w:rPr>
              <w:t xml:space="preserve">1er janvier 2020 - </w:t>
            </w:r>
            <w:r>
              <w:rPr>
                <w:rFonts w:ascii="Cambria" w:hAnsi="Cambria"/>
                <w:b/>
                <w:bCs/>
                <w:color w:val="000000"/>
                <w:sz w:val="18"/>
                <w:szCs w:val="18"/>
              </w:rPr>
              <w:br/>
            </w:r>
            <w:r>
              <w:rPr>
                <w:rFonts w:ascii="Cambria" w:hAnsi="Cambria"/>
                <w:b/>
                <w:color w:val="000000"/>
                <w:sz w:val="18"/>
              </w:rPr>
              <w:t>30 juin 2020</w:t>
            </w:r>
          </w:p>
        </w:tc>
        <w:tc>
          <w:tcPr>
            <w:tcW w:w="1660" w:type="dxa"/>
            <w:tcBorders>
              <w:top w:val="single" w:sz="4" w:space="0" w:color="0070C0"/>
              <w:left w:val="nil"/>
              <w:bottom w:val="single" w:sz="8" w:space="0" w:color="0070C0"/>
              <w:right w:val="nil"/>
            </w:tcBorders>
            <w:shd w:val="clear" w:color="auto" w:fill="auto"/>
            <w:vAlign w:val="bottom"/>
            <w:hideMark/>
          </w:tcPr>
          <w:p w14:paraId="07EA0A48" w14:textId="77777777" w:rsidR="007D0D25" w:rsidRDefault="007D0D25">
            <w:pPr>
              <w:jc w:val="center"/>
              <w:rPr>
                <w:rFonts w:ascii="Cambria" w:hAnsi="Cambria" w:cs="Arial"/>
                <w:b/>
                <w:bCs/>
                <w:color w:val="000000"/>
                <w:sz w:val="18"/>
                <w:szCs w:val="18"/>
              </w:rPr>
            </w:pPr>
            <w:r>
              <w:rPr>
                <w:rFonts w:ascii="Cambria" w:hAnsi="Cambria"/>
                <w:b/>
                <w:color w:val="000000"/>
                <w:sz w:val="18"/>
              </w:rPr>
              <w:t>Variations</w:t>
            </w:r>
          </w:p>
        </w:tc>
      </w:tr>
      <w:tr w:rsidR="007D0D25" w14:paraId="414481AB" w14:textId="77777777" w:rsidTr="007D0D25">
        <w:trPr>
          <w:trHeight w:val="240"/>
        </w:trPr>
        <w:tc>
          <w:tcPr>
            <w:tcW w:w="4600" w:type="dxa"/>
            <w:tcBorders>
              <w:top w:val="nil"/>
              <w:left w:val="nil"/>
              <w:bottom w:val="nil"/>
              <w:right w:val="nil"/>
            </w:tcBorders>
            <w:shd w:val="clear" w:color="auto" w:fill="auto"/>
            <w:noWrap/>
            <w:vAlign w:val="bottom"/>
            <w:hideMark/>
          </w:tcPr>
          <w:p w14:paraId="652B9DD9" w14:textId="77777777" w:rsidR="007D0D25" w:rsidRDefault="007D0D25">
            <w:pPr>
              <w:rPr>
                <w:rFonts w:ascii="Cambria" w:hAnsi="Cambria" w:cs="Arial"/>
                <w:color w:val="000000"/>
                <w:sz w:val="18"/>
                <w:szCs w:val="18"/>
              </w:rPr>
            </w:pPr>
            <w:r>
              <w:rPr>
                <w:rFonts w:ascii="Cambria" w:hAnsi="Cambria"/>
                <w:color w:val="000000"/>
                <w:sz w:val="18"/>
              </w:rPr>
              <w:t>Charges de résidence</w:t>
            </w:r>
          </w:p>
        </w:tc>
        <w:tc>
          <w:tcPr>
            <w:tcW w:w="1660" w:type="dxa"/>
            <w:tcBorders>
              <w:top w:val="nil"/>
              <w:left w:val="nil"/>
              <w:bottom w:val="nil"/>
              <w:right w:val="nil"/>
            </w:tcBorders>
            <w:shd w:val="clear" w:color="auto" w:fill="auto"/>
            <w:noWrap/>
            <w:vAlign w:val="bottom"/>
            <w:hideMark/>
          </w:tcPr>
          <w:p w14:paraId="55538B09" w14:textId="77777777" w:rsidR="007D0D25" w:rsidRDefault="007D0D25">
            <w:pPr>
              <w:jc w:val="right"/>
              <w:rPr>
                <w:rFonts w:ascii="Cambria" w:hAnsi="Cambria" w:cs="Arial"/>
                <w:color w:val="000000"/>
                <w:sz w:val="18"/>
                <w:szCs w:val="18"/>
              </w:rPr>
            </w:pPr>
            <w:r>
              <w:rPr>
                <w:rFonts w:ascii="Cambria" w:hAnsi="Cambria"/>
                <w:color w:val="000000"/>
                <w:sz w:val="18"/>
              </w:rPr>
              <w:t>8 782</w:t>
            </w:r>
          </w:p>
        </w:tc>
        <w:tc>
          <w:tcPr>
            <w:tcW w:w="1660" w:type="dxa"/>
            <w:tcBorders>
              <w:top w:val="nil"/>
              <w:left w:val="nil"/>
              <w:bottom w:val="nil"/>
              <w:right w:val="nil"/>
            </w:tcBorders>
            <w:shd w:val="clear" w:color="auto" w:fill="auto"/>
            <w:noWrap/>
            <w:vAlign w:val="bottom"/>
            <w:hideMark/>
          </w:tcPr>
          <w:p w14:paraId="0109C61E" w14:textId="77777777" w:rsidR="007D0D25" w:rsidRDefault="007D0D25">
            <w:pPr>
              <w:jc w:val="right"/>
              <w:rPr>
                <w:rFonts w:ascii="Cambria" w:hAnsi="Cambria" w:cs="Arial"/>
                <w:color w:val="000000"/>
                <w:sz w:val="18"/>
                <w:szCs w:val="18"/>
              </w:rPr>
            </w:pPr>
            <w:r>
              <w:rPr>
                <w:rFonts w:ascii="Cambria" w:hAnsi="Cambria"/>
                <w:color w:val="000000"/>
                <w:sz w:val="18"/>
              </w:rPr>
              <w:t>8 149</w:t>
            </w:r>
          </w:p>
        </w:tc>
        <w:tc>
          <w:tcPr>
            <w:tcW w:w="1660" w:type="dxa"/>
            <w:tcBorders>
              <w:top w:val="nil"/>
              <w:left w:val="nil"/>
              <w:bottom w:val="nil"/>
              <w:right w:val="nil"/>
            </w:tcBorders>
            <w:shd w:val="clear" w:color="auto" w:fill="auto"/>
            <w:noWrap/>
            <w:vAlign w:val="bottom"/>
            <w:hideMark/>
          </w:tcPr>
          <w:p w14:paraId="6F022B50" w14:textId="77777777" w:rsidR="007D0D25" w:rsidRDefault="007D0D25">
            <w:pPr>
              <w:jc w:val="right"/>
              <w:rPr>
                <w:rFonts w:ascii="Cambria" w:hAnsi="Cambria" w:cs="Arial"/>
                <w:color w:val="000000"/>
                <w:sz w:val="18"/>
                <w:szCs w:val="18"/>
              </w:rPr>
            </w:pPr>
            <w:r>
              <w:rPr>
                <w:rFonts w:ascii="Cambria" w:hAnsi="Cambria"/>
                <w:color w:val="000000"/>
                <w:sz w:val="18"/>
              </w:rPr>
              <w:t>633</w:t>
            </w:r>
          </w:p>
        </w:tc>
      </w:tr>
      <w:tr w:rsidR="007D0D25" w14:paraId="3DCD5726" w14:textId="77777777" w:rsidTr="007D0D25">
        <w:trPr>
          <w:trHeight w:val="240"/>
        </w:trPr>
        <w:tc>
          <w:tcPr>
            <w:tcW w:w="4600" w:type="dxa"/>
            <w:tcBorders>
              <w:top w:val="nil"/>
              <w:left w:val="nil"/>
              <w:bottom w:val="nil"/>
              <w:right w:val="nil"/>
            </w:tcBorders>
            <w:shd w:val="clear" w:color="auto" w:fill="auto"/>
            <w:noWrap/>
            <w:vAlign w:val="bottom"/>
            <w:hideMark/>
          </w:tcPr>
          <w:p w14:paraId="7C2F47D2" w14:textId="77777777" w:rsidR="007D0D25" w:rsidRDefault="007D0D25">
            <w:pPr>
              <w:rPr>
                <w:rFonts w:ascii="Cambria" w:hAnsi="Cambria" w:cs="Arial"/>
                <w:color w:val="000000"/>
                <w:sz w:val="18"/>
                <w:szCs w:val="18"/>
              </w:rPr>
            </w:pPr>
            <w:r>
              <w:rPr>
                <w:rFonts w:ascii="Cambria" w:hAnsi="Cambria"/>
                <w:color w:val="000000"/>
                <w:sz w:val="18"/>
              </w:rPr>
              <w:t>Autres coûts relatifs aux locations</w:t>
            </w:r>
          </w:p>
        </w:tc>
        <w:tc>
          <w:tcPr>
            <w:tcW w:w="1660" w:type="dxa"/>
            <w:tcBorders>
              <w:top w:val="nil"/>
              <w:left w:val="nil"/>
              <w:bottom w:val="nil"/>
              <w:right w:val="nil"/>
            </w:tcBorders>
            <w:shd w:val="clear" w:color="auto" w:fill="auto"/>
            <w:noWrap/>
            <w:vAlign w:val="bottom"/>
            <w:hideMark/>
          </w:tcPr>
          <w:p w14:paraId="3CE3472A" w14:textId="77777777" w:rsidR="007D0D25" w:rsidRDefault="007D0D25">
            <w:pPr>
              <w:jc w:val="right"/>
              <w:rPr>
                <w:rFonts w:ascii="Cambria" w:hAnsi="Cambria" w:cs="Arial"/>
                <w:color w:val="000000"/>
                <w:sz w:val="18"/>
                <w:szCs w:val="18"/>
              </w:rPr>
            </w:pPr>
            <w:r>
              <w:rPr>
                <w:rFonts w:ascii="Cambria" w:hAnsi="Cambria"/>
                <w:color w:val="000000"/>
                <w:sz w:val="18"/>
              </w:rPr>
              <w:t>34 085</w:t>
            </w:r>
          </w:p>
        </w:tc>
        <w:tc>
          <w:tcPr>
            <w:tcW w:w="1660" w:type="dxa"/>
            <w:tcBorders>
              <w:top w:val="nil"/>
              <w:left w:val="nil"/>
              <w:bottom w:val="nil"/>
              <w:right w:val="nil"/>
            </w:tcBorders>
            <w:shd w:val="clear" w:color="auto" w:fill="auto"/>
            <w:noWrap/>
            <w:vAlign w:val="bottom"/>
            <w:hideMark/>
          </w:tcPr>
          <w:p w14:paraId="762DE41B" w14:textId="77777777" w:rsidR="007D0D25" w:rsidRDefault="007D0D25">
            <w:pPr>
              <w:jc w:val="right"/>
              <w:rPr>
                <w:rFonts w:ascii="Cambria" w:hAnsi="Cambria" w:cs="Arial"/>
                <w:color w:val="000000"/>
                <w:sz w:val="18"/>
                <w:szCs w:val="18"/>
              </w:rPr>
            </w:pPr>
            <w:r>
              <w:rPr>
                <w:rFonts w:ascii="Cambria" w:hAnsi="Cambria"/>
                <w:color w:val="000000"/>
                <w:sz w:val="18"/>
              </w:rPr>
              <w:t>19 806</w:t>
            </w:r>
          </w:p>
        </w:tc>
        <w:tc>
          <w:tcPr>
            <w:tcW w:w="1660" w:type="dxa"/>
            <w:tcBorders>
              <w:top w:val="nil"/>
              <w:left w:val="nil"/>
              <w:bottom w:val="nil"/>
              <w:right w:val="nil"/>
            </w:tcBorders>
            <w:shd w:val="clear" w:color="auto" w:fill="auto"/>
            <w:noWrap/>
            <w:vAlign w:val="bottom"/>
            <w:hideMark/>
          </w:tcPr>
          <w:p w14:paraId="5994D572" w14:textId="77777777" w:rsidR="007D0D25" w:rsidRDefault="007D0D25">
            <w:pPr>
              <w:jc w:val="right"/>
              <w:rPr>
                <w:rFonts w:ascii="Cambria" w:hAnsi="Cambria" w:cs="Arial"/>
                <w:color w:val="000000"/>
                <w:sz w:val="18"/>
                <w:szCs w:val="18"/>
              </w:rPr>
            </w:pPr>
            <w:r>
              <w:rPr>
                <w:rFonts w:ascii="Cambria" w:hAnsi="Cambria"/>
                <w:color w:val="000000"/>
                <w:sz w:val="18"/>
              </w:rPr>
              <w:t>14 279</w:t>
            </w:r>
          </w:p>
        </w:tc>
      </w:tr>
      <w:tr w:rsidR="007D0D25" w14:paraId="6D4D0892" w14:textId="77777777" w:rsidTr="007D0D25">
        <w:trPr>
          <w:trHeight w:val="240"/>
        </w:trPr>
        <w:tc>
          <w:tcPr>
            <w:tcW w:w="4600" w:type="dxa"/>
            <w:tcBorders>
              <w:top w:val="nil"/>
              <w:left w:val="nil"/>
              <w:bottom w:val="nil"/>
              <w:right w:val="nil"/>
            </w:tcBorders>
            <w:shd w:val="clear" w:color="auto" w:fill="auto"/>
            <w:noWrap/>
            <w:vAlign w:val="bottom"/>
            <w:hideMark/>
          </w:tcPr>
          <w:p w14:paraId="09951364" w14:textId="77777777" w:rsidR="007D0D25" w:rsidRDefault="007D0D25">
            <w:pPr>
              <w:rPr>
                <w:rFonts w:ascii="Cambria" w:hAnsi="Cambria" w:cs="Arial"/>
                <w:color w:val="000000"/>
                <w:sz w:val="18"/>
                <w:szCs w:val="18"/>
              </w:rPr>
            </w:pPr>
            <w:r>
              <w:rPr>
                <w:rFonts w:ascii="Cambria" w:hAnsi="Cambria"/>
                <w:color w:val="000000"/>
                <w:sz w:val="18"/>
              </w:rPr>
              <w:t>Paiements de location</w:t>
            </w:r>
          </w:p>
        </w:tc>
        <w:tc>
          <w:tcPr>
            <w:tcW w:w="1660" w:type="dxa"/>
            <w:tcBorders>
              <w:top w:val="nil"/>
              <w:left w:val="nil"/>
              <w:bottom w:val="nil"/>
              <w:right w:val="nil"/>
            </w:tcBorders>
            <w:shd w:val="clear" w:color="auto" w:fill="auto"/>
            <w:noWrap/>
            <w:vAlign w:val="bottom"/>
            <w:hideMark/>
          </w:tcPr>
          <w:p w14:paraId="37159ADA" w14:textId="77777777" w:rsidR="007D0D25" w:rsidRDefault="007D0D25">
            <w:pPr>
              <w:jc w:val="right"/>
              <w:rPr>
                <w:rFonts w:ascii="Cambria" w:hAnsi="Cambria" w:cs="Arial"/>
                <w:color w:val="000000"/>
                <w:sz w:val="18"/>
                <w:szCs w:val="18"/>
              </w:rPr>
            </w:pPr>
            <w:r>
              <w:rPr>
                <w:rFonts w:ascii="Cambria" w:hAnsi="Cambria"/>
                <w:color w:val="000000"/>
                <w:sz w:val="18"/>
              </w:rPr>
              <w:t>8 565</w:t>
            </w:r>
          </w:p>
        </w:tc>
        <w:tc>
          <w:tcPr>
            <w:tcW w:w="1660" w:type="dxa"/>
            <w:tcBorders>
              <w:top w:val="nil"/>
              <w:left w:val="nil"/>
              <w:bottom w:val="nil"/>
              <w:right w:val="nil"/>
            </w:tcBorders>
            <w:shd w:val="clear" w:color="auto" w:fill="auto"/>
            <w:noWrap/>
            <w:vAlign w:val="bottom"/>
            <w:hideMark/>
          </w:tcPr>
          <w:p w14:paraId="52E26786" w14:textId="77777777" w:rsidR="007D0D25" w:rsidRDefault="007D0D25">
            <w:pPr>
              <w:jc w:val="right"/>
              <w:rPr>
                <w:rFonts w:ascii="Cambria" w:hAnsi="Cambria" w:cs="Arial"/>
                <w:color w:val="000000"/>
                <w:sz w:val="18"/>
                <w:szCs w:val="18"/>
              </w:rPr>
            </w:pPr>
            <w:r>
              <w:rPr>
                <w:rFonts w:ascii="Cambria" w:hAnsi="Cambria"/>
                <w:color w:val="000000"/>
                <w:sz w:val="18"/>
              </w:rPr>
              <w:t>0</w:t>
            </w:r>
          </w:p>
        </w:tc>
        <w:tc>
          <w:tcPr>
            <w:tcW w:w="1660" w:type="dxa"/>
            <w:tcBorders>
              <w:top w:val="nil"/>
              <w:left w:val="nil"/>
              <w:bottom w:val="nil"/>
              <w:right w:val="nil"/>
            </w:tcBorders>
            <w:shd w:val="clear" w:color="auto" w:fill="auto"/>
            <w:noWrap/>
            <w:vAlign w:val="bottom"/>
            <w:hideMark/>
          </w:tcPr>
          <w:p w14:paraId="52AA60B6" w14:textId="77777777" w:rsidR="007D0D25" w:rsidRDefault="007D0D25">
            <w:pPr>
              <w:jc w:val="right"/>
              <w:rPr>
                <w:rFonts w:ascii="Cambria" w:hAnsi="Cambria" w:cs="Arial"/>
                <w:color w:val="000000"/>
                <w:sz w:val="18"/>
                <w:szCs w:val="18"/>
              </w:rPr>
            </w:pPr>
            <w:r>
              <w:rPr>
                <w:rFonts w:ascii="Cambria" w:hAnsi="Cambria"/>
                <w:color w:val="000000"/>
                <w:sz w:val="18"/>
              </w:rPr>
              <w:t>8 565</w:t>
            </w:r>
          </w:p>
        </w:tc>
      </w:tr>
      <w:tr w:rsidR="007D0D25" w14:paraId="505F3544" w14:textId="77777777" w:rsidTr="007D0D25">
        <w:trPr>
          <w:trHeight w:val="240"/>
        </w:trPr>
        <w:tc>
          <w:tcPr>
            <w:tcW w:w="4600" w:type="dxa"/>
            <w:tcBorders>
              <w:top w:val="nil"/>
              <w:left w:val="nil"/>
              <w:bottom w:val="nil"/>
              <w:right w:val="nil"/>
            </w:tcBorders>
            <w:shd w:val="clear" w:color="auto" w:fill="auto"/>
            <w:noWrap/>
            <w:vAlign w:val="bottom"/>
            <w:hideMark/>
          </w:tcPr>
          <w:p w14:paraId="3F4EBCCE" w14:textId="77777777" w:rsidR="007D0D25" w:rsidRDefault="007D0D25">
            <w:pPr>
              <w:rPr>
                <w:rFonts w:ascii="Cambria" w:hAnsi="Cambria" w:cs="Arial"/>
                <w:color w:val="000000"/>
                <w:sz w:val="18"/>
                <w:szCs w:val="18"/>
              </w:rPr>
            </w:pPr>
            <w:r>
              <w:rPr>
                <w:rFonts w:ascii="Cambria" w:hAnsi="Cambria"/>
                <w:color w:val="000000"/>
                <w:sz w:val="18"/>
              </w:rPr>
              <w:t>Autres taxes</w:t>
            </w:r>
          </w:p>
        </w:tc>
        <w:tc>
          <w:tcPr>
            <w:tcW w:w="1660" w:type="dxa"/>
            <w:tcBorders>
              <w:top w:val="nil"/>
              <w:left w:val="nil"/>
              <w:bottom w:val="nil"/>
              <w:right w:val="nil"/>
            </w:tcBorders>
            <w:shd w:val="clear" w:color="auto" w:fill="auto"/>
            <w:noWrap/>
            <w:vAlign w:val="bottom"/>
            <w:hideMark/>
          </w:tcPr>
          <w:p w14:paraId="4AADF6BD" w14:textId="77777777" w:rsidR="007D0D25" w:rsidRDefault="007D0D25">
            <w:pPr>
              <w:jc w:val="right"/>
              <w:rPr>
                <w:rFonts w:ascii="Cambria" w:hAnsi="Cambria" w:cs="Arial"/>
                <w:color w:val="000000"/>
                <w:sz w:val="18"/>
                <w:szCs w:val="18"/>
              </w:rPr>
            </w:pPr>
            <w:r>
              <w:rPr>
                <w:rFonts w:ascii="Cambria" w:hAnsi="Cambria"/>
                <w:color w:val="000000"/>
                <w:sz w:val="18"/>
              </w:rPr>
              <w:t>29 371</w:t>
            </w:r>
          </w:p>
        </w:tc>
        <w:tc>
          <w:tcPr>
            <w:tcW w:w="1660" w:type="dxa"/>
            <w:tcBorders>
              <w:top w:val="nil"/>
              <w:left w:val="nil"/>
              <w:bottom w:val="nil"/>
              <w:right w:val="nil"/>
            </w:tcBorders>
            <w:shd w:val="clear" w:color="auto" w:fill="auto"/>
            <w:noWrap/>
            <w:vAlign w:val="bottom"/>
            <w:hideMark/>
          </w:tcPr>
          <w:p w14:paraId="0EDF8A94" w14:textId="77777777" w:rsidR="007D0D25" w:rsidRDefault="007D0D25">
            <w:pPr>
              <w:jc w:val="right"/>
              <w:rPr>
                <w:rFonts w:ascii="Cambria" w:hAnsi="Cambria" w:cs="Arial"/>
                <w:color w:val="000000"/>
                <w:sz w:val="18"/>
                <w:szCs w:val="18"/>
              </w:rPr>
            </w:pPr>
            <w:r>
              <w:rPr>
                <w:rFonts w:ascii="Cambria" w:hAnsi="Cambria"/>
                <w:color w:val="000000"/>
                <w:sz w:val="18"/>
              </w:rPr>
              <w:t>46 228</w:t>
            </w:r>
          </w:p>
        </w:tc>
        <w:tc>
          <w:tcPr>
            <w:tcW w:w="1660" w:type="dxa"/>
            <w:tcBorders>
              <w:top w:val="nil"/>
              <w:left w:val="nil"/>
              <w:bottom w:val="nil"/>
              <w:right w:val="nil"/>
            </w:tcBorders>
            <w:shd w:val="clear" w:color="auto" w:fill="auto"/>
            <w:noWrap/>
            <w:vAlign w:val="bottom"/>
            <w:hideMark/>
          </w:tcPr>
          <w:p w14:paraId="30D4020B" w14:textId="77777777" w:rsidR="007D0D25" w:rsidRDefault="007D0D25">
            <w:pPr>
              <w:jc w:val="right"/>
              <w:rPr>
                <w:rFonts w:ascii="Cambria" w:hAnsi="Cambria" w:cs="Arial"/>
                <w:color w:val="000000"/>
                <w:sz w:val="18"/>
                <w:szCs w:val="18"/>
              </w:rPr>
            </w:pPr>
            <w:r>
              <w:rPr>
                <w:rFonts w:ascii="Cambria" w:hAnsi="Cambria"/>
                <w:color w:val="000000"/>
                <w:sz w:val="18"/>
              </w:rPr>
              <w:t>(16 857)</w:t>
            </w:r>
          </w:p>
        </w:tc>
      </w:tr>
      <w:tr w:rsidR="007D0D25" w14:paraId="1913B6D5" w14:textId="77777777" w:rsidTr="007D0D25">
        <w:trPr>
          <w:trHeight w:val="240"/>
        </w:trPr>
        <w:tc>
          <w:tcPr>
            <w:tcW w:w="4600" w:type="dxa"/>
            <w:tcBorders>
              <w:top w:val="nil"/>
              <w:left w:val="nil"/>
              <w:bottom w:val="nil"/>
              <w:right w:val="nil"/>
            </w:tcBorders>
            <w:shd w:val="clear" w:color="auto" w:fill="auto"/>
            <w:noWrap/>
            <w:vAlign w:val="bottom"/>
            <w:hideMark/>
          </w:tcPr>
          <w:p w14:paraId="6F8B404D" w14:textId="77777777" w:rsidR="007D0D25" w:rsidRDefault="007D0D25">
            <w:pPr>
              <w:rPr>
                <w:rFonts w:ascii="Cambria" w:hAnsi="Cambria" w:cs="Arial"/>
                <w:color w:val="000000"/>
                <w:sz w:val="18"/>
                <w:szCs w:val="18"/>
              </w:rPr>
            </w:pPr>
            <w:r>
              <w:rPr>
                <w:rFonts w:ascii="Cambria" w:hAnsi="Cambria"/>
                <w:color w:val="000000"/>
                <w:sz w:val="18"/>
              </w:rPr>
              <w:t>Passif éventuel</w:t>
            </w:r>
          </w:p>
        </w:tc>
        <w:tc>
          <w:tcPr>
            <w:tcW w:w="1660" w:type="dxa"/>
            <w:tcBorders>
              <w:top w:val="nil"/>
              <w:left w:val="nil"/>
              <w:bottom w:val="nil"/>
              <w:right w:val="nil"/>
            </w:tcBorders>
            <w:shd w:val="clear" w:color="auto" w:fill="auto"/>
            <w:noWrap/>
            <w:vAlign w:val="bottom"/>
            <w:hideMark/>
          </w:tcPr>
          <w:p w14:paraId="4C2EB891" w14:textId="77777777" w:rsidR="007D0D25" w:rsidRDefault="007D0D25">
            <w:pPr>
              <w:jc w:val="right"/>
              <w:rPr>
                <w:rFonts w:ascii="Cambria" w:hAnsi="Cambria" w:cs="Arial"/>
                <w:color w:val="000000"/>
                <w:sz w:val="18"/>
                <w:szCs w:val="18"/>
              </w:rPr>
            </w:pPr>
            <w:r>
              <w:rPr>
                <w:rFonts w:ascii="Cambria" w:hAnsi="Cambria"/>
                <w:color w:val="000000"/>
                <w:sz w:val="18"/>
              </w:rPr>
              <w:t>4 916</w:t>
            </w:r>
          </w:p>
        </w:tc>
        <w:tc>
          <w:tcPr>
            <w:tcW w:w="1660" w:type="dxa"/>
            <w:tcBorders>
              <w:top w:val="nil"/>
              <w:left w:val="nil"/>
              <w:bottom w:val="nil"/>
              <w:right w:val="nil"/>
            </w:tcBorders>
            <w:shd w:val="clear" w:color="auto" w:fill="auto"/>
            <w:noWrap/>
            <w:vAlign w:val="bottom"/>
            <w:hideMark/>
          </w:tcPr>
          <w:p w14:paraId="376B7069" w14:textId="77777777" w:rsidR="007D0D25" w:rsidRDefault="007D0D25">
            <w:pPr>
              <w:jc w:val="right"/>
              <w:rPr>
                <w:rFonts w:ascii="Cambria" w:hAnsi="Cambria" w:cs="Arial"/>
                <w:color w:val="000000"/>
                <w:sz w:val="18"/>
                <w:szCs w:val="18"/>
              </w:rPr>
            </w:pPr>
            <w:r>
              <w:rPr>
                <w:rFonts w:ascii="Cambria" w:hAnsi="Cambria"/>
                <w:color w:val="000000"/>
                <w:sz w:val="18"/>
              </w:rPr>
              <w:t>8 701</w:t>
            </w:r>
          </w:p>
        </w:tc>
        <w:tc>
          <w:tcPr>
            <w:tcW w:w="1660" w:type="dxa"/>
            <w:tcBorders>
              <w:top w:val="nil"/>
              <w:left w:val="nil"/>
              <w:bottom w:val="nil"/>
              <w:right w:val="nil"/>
            </w:tcBorders>
            <w:shd w:val="clear" w:color="auto" w:fill="auto"/>
            <w:noWrap/>
            <w:vAlign w:val="bottom"/>
            <w:hideMark/>
          </w:tcPr>
          <w:p w14:paraId="2FC44EE7" w14:textId="77777777" w:rsidR="007D0D25" w:rsidRDefault="007D0D25">
            <w:pPr>
              <w:jc w:val="right"/>
              <w:rPr>
                <w:rFonts w:ascii="Cambria" w:hAnsi="Cambria" w:cs="Arial"/>
                <w:color w:val="000000"/>
                <w:sz w:val="18"/>
                <w:szCs w:val="18"/>
              </w:rPr>
            </w:pPr>
            <w:r>
              <w:rPr>
                <w:rFonts w:ascii="Cambria" w:hAnsi="Cambria"/>
                <w:color w:val="000000"/>
                <w:sz w:val="18"/>
              </w:rPr>
              <w:t>(3 784)</w:t>
            </w:r>
          </w:p>
        </w:tc>
      </w:tr>
      <w:tr w:rsidR="007D0D25" w14:paraId="316BF03D" w14:textId="77777777" w:rsidTr="007D0D25">
        <w:trPr>
          <w:trHeight w:val="240"/>
        </w:trPr>
        <w:tc>
          <w:tcPr>
            <w:tcW w:w="4600" w:type="dxa"/>
            <w:tcBorders>
              <w:top w:val="nil"/>
              <w:left w:val="nil"/>
              <w:bottom w:val="nil"/>
              <w:right w:val="nil"/>
            </w:tcBorders>
            <w:shd w:val="clear" w:color="auto" w:fill="auto"/>
            <w:noWrap/>
            <w:vAlign w:val="bottom"/>
            <w:hideMark/>
          </w:tcPr>
          <w:p w14:paraId="2459C4B9" w14:textId="77777777" w:rsidR="007D0D25" w:rsidRDefault="007D0D25">
            <w:pPr>
              <w:rPr>
                <w:rFonts w:ascii="Cambria" w:hAnsi="Cambria" w:cs="Arial"/>
                <w:color w:val="000000"/>
                <w:sz w:val="18"/>
                <w:szCs w:val="18"/>
              </w:rPr>
            </w:pPr>
            <w:r>
              <w:rPr>
                <w:rFonts w:ascii="Cambria" w:hAnsi="Cambria"/>
                <w:color w:val="000000"/>
                <w:sz w:val="18"/>
              </w:rPr>
              <w:t>Pertes en capital</w:t>
            </w:r>
          </w:p>
        </w:tc>
        <w:tc>
          <w:tcPr>
            <w:tcW w:w="1660" w:type="dxa"/>
            <w:tcBorders>
              <w:top w:val="nil"/>
              <w:left w:val="nil"/>
              <w:bottom w:val="nil"/>
              <w:right w:val="nil"/>
            </w:tcBorders>
            <w:shd w:val="clear" w:color="auto" w:fill="auto"/>
            <w:noWrap/>
            <w:vAlign w:val="bottom"/>
            <w:hideMark/>
          </w:tcPr>
          <w:p w14:paraId="22DCC1A7" w14:textId="77777777" w:rsidR="007D0D25" w:rsidRDefault="007D0D25">
            <w:pPr>
              <w:jc w:val="right"/>
              <w:rPr>
                <w:rFonts w:ascii="Cambria" w:hAnsi="Cambria" w:cs="Arial"/>
                <w:color w:val="000000"/>
                <w:sz w:val="18"/>
                <w:szCs w:val="18"/>
              </w:rPr>
            </w:pPr>
            <w:r>
              <w:rPr>
                <w:rFonts w:ascii="Cambria" w:hAnsi="Cambria"/>
                <w:color w:val="000000"/>
                <w:sz w:val="18"/>
              </w:rPr>
              <w:t>14 447</w:t>
            </w:r>
          </w:p>
        </w:tc>
        <w:tc>
          <w:tcPr>
            <w:tcW w:w="1660" w:type="dxa"/>
            <w:tcBorders>
              <w:top w:val="nil"/>
              <w:left w:val="nil"/>
              <w:bottom w:val="nil"/>
              <w:right w:val="nil"/>
            </w:tcBorders>
            <w:shd w:val="clear" w:color="auto" w:fill="auto"/>
            <w:noWrap/>
            <w:vAlign w:val="bottom"/>
            <w:hideMark/>
          </w:tcPr>
          <w:p w14:paraId="09FDF259" w14:textId="77777777" w:rsidR="007D0D25" w:rsidRDefault="007D0D25">
            <w:pPr>
              <w:jc w:val="right"/>
              <w:rPr>
                <w:rFonts w:ascii="Cambria" w:hAnsi="Cambria" w:cs="Arial"/>
                <w:color w:val="000000"/>
                <w:sz w:val="18"/>
                <w:szCs w:val="18"/>
              </w:rPr>
            </w:pPr>
            <w:r>
              <w:rPr>
                <w:rFonts w:ascii="Cambria" w:hAnsi="Cambria"/>
                <w:color w:val="000000"/>
                <w:sz w:val="18"/>
              </w:rPr>
              <w:t>0</w:t>
            </w:r>
          </w:p>
        </w:tc>
        <w:tc>
          <w:tcPr>
            <w:tcW w:w="1660" w:type="dxa"/>
            <w:tcBorders>
              <w:top w:val="nil"/>
              <w:left w:val="nil"/>
              <w:bottom w:val="nil"/>
              <w:right w:val="nil"/>
            </w:tcBorders>
            <w:shd w:val="clear" w:color="auto" w:fill="auto"/>
            <w:noWrap/>
            <w:vAlign w:val="bottom"/>
            <w:hideMark/>
          </w:tcPr>
          <w:p w14:paraId="6E46E92A" w14:textId="77777777" w:rsidR="007D0D25" w:rsidRDefault="007D0D25">
            <w:pPr>
              <w:jc w:val="right"/>
              <w:rPr>
                <w:rFonts w:ascii="Cambria" w:hAnsi="Cambria" w:cs="Arial"/>
                <w:color w:val="000000"/>
                <w:sz w:val="18"/>
                <w:szCs w:val="18"/>
              </w:rPr>
            </w:pPr>
            <w:r>
              <w:rPr>
                <w:rFonts w:ascii="Cambria" w:hAnsi="Cambria"/>
                <w:color w:val="000000"/>
                <w:sz w:val="18"/>
              </w:rPr>
              <w:t>14 447</w:t>
            </w:r>
          </w:p>
        </w:tc>
      </w:tr>
      <w:tr w:rsidR="007D0D25" w14:paraId="6FE17186" w14:textId="77777777" w:rsidTr="007D0D25">
        <w:trPr>
          <w:trHeight w:val="240"/>
        </w:trPr>
        <w:tc>
          <w:tcPr>
            <w:tcW w:w="4600" w:type="dxa"/>
            <w:tcBorders>
              <w:top w:val="nil"/>
              <w:left w:val="nil"/>
              <w:bottom w:val="nil"/>
              <w:right w:val="nil"/>
            </w:tcBorders>
            <w:shd w:val="clear" w:color="auto" w:fill="auto"/>
            <w:noWrap/>
            <w:vAlign w:val="bottom"/>
            <w:hideMark/>
          </w:tcPr>
          <w:p w14:paraId="14EC10EE" w14:textId="77777777" w:rsidR="007D0D25" w:rsidRDefault="007D0D25">
            <w:pPr>
              <w:rPr>
                <w:rFonts w:ascii="Cambria" w:hAnsi="Cambria" w:cs="Arial"/>
                <w:color w:val="000000"/>
                <w:sz w:val="18"/>
                <w:szCs w:val="18"/>
              </w:rPr>
            </w:pPr>
            <w:r>
              <w:rPr>
                <w:rFonts w:ascii="Cambria" w:hAnsi="Cambria"/>
                <w:color w:val="000000"/>
                <w:sz w:val="18"/>
              </w:rPr>
              <w:t>Autres coûts d’exploitation mineurs</w:t>
            </w:r>
          </w:p>
        </w:tc>
        <w:tc>
          <w:tcPr>
            <w:tcW w:w="1660" w:type="dxa"/>
            <w:tcBorders>
              <w:top w:val="nil"/>
              <w:left w:val="nil"/>
              <w:bottom w:val="nil"/>
              <w:right w:val="nil"/>
            </w:tcBorders>
            <w:shd w:val="clear" w:color="auto" w:fill="auto"/>
            <w:noWrap/>
            <w:vAlign w:val="bottom"/>
            <w:hideMark/>
          </w:tcPr>
          <w:p w14:paraId="3F5239DA" w14:textId="77777777" w:rsidR="007D0D25" w:rsidRDefault="007D0D25">
            <w:pPr>
              <w:jc w:val="right"/>
              <w:rPr>
                <w:rFonts w:ascii="Cambria" w:hAnsi="Cambria" w:cs="Arial"/>
                <w:color w:val="000000"/>
                <w:sz w:val="18"/>
                <w:szCs w:val="18"/>
              </w:rPr>
            </w:pPr>
            <w:r>
              <w:rPr>
                <w:rFonts w:ascii="Cambria" w:hAnsi="Cambria"/>
                <w:color w:val="000000"/>
                <w:sz w:val="18"/>
              </w:rPr>
              <w:t>9 808</w:t>
            </w:r>
          </w:p>
        </w:tc>
        <w:tc>
          <w:tcPr>
            <w:tcW w:w="1660" w:type="dxa"/>
            <w:tcBorders>
              <w:top w:val="nil"/>
              <w:left w:val="nil"/>
              <w:bottom w:val="nil"/>
              <w:right w:val="nil"/>
            </w:tcBorders>
            <w:shd w:val="clear" w:color="auto" w:fill="auto"/>
            <w:noWrap/>
            <w:vAlign w:val="bottom"/>
            <w:hideMark/>
          </w:tcPr>
          <w:p w14:paraId="50822D4C" w14:textId="77777777" w:rsidR="007D0D25" w:rsidRDefault="007D0D25">
            <w:pPr>
              <w:jc w:val="right"/>
              <w:rPr>
                <w:rFonts w:ascii="Cambria" w:hAnsi="Cambria" w:cs="Arial"/>
                <w:color w:val="000000"/>
                <w:sz w:val="18"/>
                <w:szCs w:val="18"/>
              </w:rPr>
            </w:pPr>
            <w:r>
              <w:rPr>
                <w:rFonts w:ascii="Cambria" w:hAnsi="Cambria"/>
                <w:color w:val="000000"/>
                <w:sz w:val="18"/>
              </w:rPr>
              <w:t>15 684</w:t>
            </w:r>
          </w:p>
        </w:tc>
        <w:tc>
          <w:tcPr>
            <w:tcW w:w="1660" w:type="dxa"/>
            <w:tcBorders>
              <w:top w:val="nil"/>
              <w:left w:val="nil"/>
              <w:bottom w:val="nil"/>
              <w:right w:val="nil"/>
            </w:tcBorders>
            <w:shd w:val="clear" w:color="auto" w:fill="auto"/>
            <w:noWrap/>
            <w:vAlign w:val="bottom"/>
            <w:hideMark/>
          </w:tcPr>
          <w:p w14:paraId="2D1092EE" w14:textId="77777777" w:rsidR="007D0D25" w:rsidRDefault="007D0D25">
            <w:pPr>
              <w:jc w:val="right"/>
              <w:rPr>
                <w:rFonts w:ascii="Cambria" w:hAnsi="Cambria" w:cs="Arial"/>
                <w:color w:val="000000"/>
                <w:sz w:val="18"/>
                <w:szCs w:val="18"/>
              </w:rPr>
            </w:pPr>
            <w:r>
              <w:rPr>
                <w:rFonts w:ascii="Cambria" w:hAnsi="Cambria"/>
                <w:color w:val="000000"/>
                <w:sz w:val="18"/>
              </w:rPr>
              <w:t>(5 875)</w:t>
            </w:r>
          </w:p>
        </w:tc>
      </w:tr>
      <w:tr w:rsidR="007D0D25" w14:paraId="483D425D" w14:textId="77777777" w:rsidTr="007D0D25">
        <w:trPr>
          <w:trHeight w:val="255"/>
        </w:trPr>
        <w:tc>
          <w:tcPr>
            <w:tcW w:w="4600" w:type="dxa"/>
            <w:tcBorders>
              <w:top w:val="nil"/>
              <w:left w:val="nil"/>
              <w:bottom w:val="nil"/>
              <w:right w:val="nil"/>
            </w:tcBorders>
            <w:shd w:val="clear" w:color="auto" w:fill="auto"/>
            <w:noWrap/>
            <w:vAlign w:val="bottom"/>
            <w:hideMark/>
          </w:tcPr>
          <w:p w14:paraId="36CD234E" w14:textId="77777777" w:rsidR="007D0D25" w:rsidRDefault="007D0D25">
            <w:pPr>
              <w:rPr>
                <w:rFonts w:ascii="Cambria" w:hAnsi="Cambria" w:cs="Arial"/>
                <w:b/>
                <w:bCs/>
                <w:color w:val="000000"/>
                <w:sz w:val="18"/>
                <w:szCs w:val="18"/>
              </w:rPr>
            </w:pPr>
            <w:r>
              <w:rPr>
                <w:rFonts w:ascii="Cambria" w:hAnsi="Cambria"/>
                <w:b/>
                <w:color w:val="000000"/>
                <w:sz w:val="18"/>
              </w:rPr>
              <w:t>Total Autres coûts d’exploitation</w:t>
            </w:r>
          </w:p>
        </w:tc>
        <w:tc>
          <w:tcPr>
            <w:tcW w:w="1660" w:type="dxa"/>
            <w:tcBorders>
              <w:top w:val="single" w:sz="4" w:space="0" w:color="auto"/>
              <w:left w:val="nil"/>
              <w:bottom w:val="single" w:sz="8" w:space="0" w:color="auto"/>
              <w:right w:val="nil"/>
            </w:tcBorders>
            <w:shd w:val="clear" w:color="auto" w:fill="auto"/>
            <w:noWrap/>
            <w:vAlign w:val="bottom"/>
            <w:hideMark/>
          </w:tcPr>
          <w:p w14:paraId="76D04A77" w14:textId="77777777" w:rsidR="007D0D25" w:rsidRDefault="007D0D25">
            <w:pPr>
              <w:jc w:val="right"/>
              <w:rPr>
                <w:rFonts w:ascii="Cambria" w:hAnsi="Cambria" w:cs="Arial"/>
                <w:b/>
                <w:bCs/>
                <w:color w:val="000000"/>
                <w:sz w:val="18"/>
                <w:szCs w:val="18"/>
              </w:rPr>
            </w:pPr>
            <w:r>
              <w:rPr>
                <w:rFonts w:ascii="Cambria" w:hAnsi="Cambria"/>
                <w:b/>
                <w:color w:val="000000"/>
                <w:sz w:val="18"/>
              </w:rPr>
              <w:t>109 975</w:t>
            </w:r>
          </w:p>
        </w:tc>
        <w:tc>
          <w:tcPr>
            <w:tcW w:w="1660" w:type="dxa"/>
            <w:tcBorders>
              <w:top w:val="single" w:sz="4" w:space="0" w:color="auto"/>
              <w:left w:val="nil"/>
              <w:bottom w:val="single" w:sz="8" w:space="0" w:color="auto"/>
              <w:right w:val="nil"/>
            </w:tcBorders>
            <w:shd w:val="clear" w:color="auto" w:fill="auto"/>
            <w:noWrap/>
            <w:vAlign w:val="bottom"/>
            <w:hideMark/>
          </w:tcPr>
          <w:p w14:paraId="2FC59CFC" w14:textId="77777777" w:rsidR="007D0D25" w:rsidRDefault="007D0D25">
            <w:pPr>
              <w:jc w:val="right"/>
              <w:rPr>
                <w:rFonts w:ascii="Cambria" w:hAnsi="Cambria" w:cs="Arial"/>
                <w:b/>
                <w:bCs/>
                <w:color w:val="000000"/>
                <w:sz w:val="18"/>
                <w:szCs w:val="18"/>
              </w:rPr>
            </w:pPr>
            <w:r>
              <w:rPr>
                <w:rFonts w:ascii="Cambria" w:hAnsi="Cambria"/>
                <w:b/>
                <w:color w:val="000000"/>
                <w:sz w:val="18"/>
              </w:rPr>
              <w:t>98 568</w:t>
            </w:r>
          </w:p>
        </w:tc>
        <w:tc>
          <w:tcPr>
            <w:tcW w:w="1660" w:type="dxa"/>
            <w:tcBorders>
              <w:top w:val="single" w:sz="4" w:space="0" w:color="auto"/>
              <w:left w:val="nil"/>
              <w:bottom w:val="single" w:sz="8" w:space="0" w:color="auto"/>
              <w:right w:val="nil"/>
            </w:tcBorders>
            <w:shd w:val="clear" w:color="auto" w:fill="auto"/>
            <w:noWrap/>
            <w:vAlign w:val="bottom"/>
            <w:hideMark/>
          </w:tcPr>
          <w:p w14:paraId="4B243CCC" w14:textId="77777777" w:rsidR="007D0D25" w:rsidRDefault="007D0D25">
            <w:pPr>
              <w:jc w:val="right"/>
              <w:rPr>
                <w:rFonts w:ascii="Cambria" w:hAnsi="Cambria" w:cs="Arial"/>
                <w:b/>
                <w:bCs/>
                <w:color w:val="000000"/>
                <w:sz w:val="18"/>
                <w:szCs w:val="18"/>
              </w:rPr>
            </w:pPr>
            <w:r>
              <w:rPr>
                <w:rFonts w:ascii="Cambria" w:hAnsi="Cambria"/>
                <w:b/>
                <w:color w:val="000000"/>
                <w:sz w:val="18"/>
              </w:rPr>
              <w:t>11 407</w:t>
            </w:r>
          </w:p>
        </w:tc>
      </w:tr>
    </w:tbl>
    <w:p w14:paraId="09873D5F" w14:textId="77777777" w:rsidR="004408E7" w:rsidRDefault="004408E7" w:rsidP="00E16D12">
      <w:pPr>
        <w:spacing w:after="200" w:line="276" w:lineRule="auto"/>
        <w:jc w:val="both"/>
        <w:rPr>
          <w:rFonts w:ascii="Cambria" w:hAnsi="Cambria"/>
          <w:sz w:val="22"/>
          <w:szCs w:val="22"/>
        </w:rPr>
      </w:pPr>
    </w:p>
    <w:p w14:paraId="1DA728CD" w14:textId="724A8126" w:rsidR="00E20ACA" w:rsidRDefault="00E16D12" w:rsidP="00E16D12">
      <w:pPr>
        <w:spacing w:after="200" w:line="276" w:lineRule="auto"/>
        <w:jc w:val="both"/>
        <w:rPr>
          <w:rFonts w:ascii="Cambria" w:hAnsi="Cambria"/>
          <w:sz w:val="22"/>
          <w:szCs w:val="22"/>
        </w:rPr>
      </w:pPr>
      <w:r>
        <w:rPr>
          <w:rFonts w:ascii="Cambria" w:hAnsi="Cambria"/>
          <w:sz w:val="22"/>
        </w:rPr>
        <w:t xml:space="preserve">Au 30 juin 2021, le poste comprend principalement les charges résidentes et les coûts supplémentaires des points de vente loués pour 34 milliers d'euros, les impôts et les taxes non liées au revenu pour 29 000 euros et les pertes en capital pour 14 000 euros. </w:t>
      </w:r>
    </w:p>
    <w:p w14:paraId="521FAE2D" w14:textId="5CF184E3" w:rsidR="00202EAA" w:rsidRDefault="00202EAA" w:rsidP="00E16D12">
      <w:pPr>
        <w:spacing w:after="200" w:line="276" w:lineRule="auto"/>
        <w:jc w:val="both"/>
        <w:rPr>
          <w:rFonts w:ascii="Cambria" w:hAnsi="Cambria"/>
          <w:sz w:val="22"/>
          <w:szCs w:val="22"/>
        </w:rPr>
      </w:pPr>
      <w:r>
        <w:rPr>
          <w:rFonts w:ascii="Cambria" w:hAnsi="Cambria"/>
          <w:sz w:val="22"/>
        </w:rPr>
        <w:t>En particulier, les autres coûts relatifs aux locations se réfèrent aux dépenses pour les équipements utilisés dans les points de vente et les activités promotionnelles.</w:t>
      </w:r>
    </w:p>
    <w:p w14:paraId="3883CEC8" w14:textId="58D08BEE" w:rsidR="006955B6" w:rsidRDefault="006955B6" w:rsidP="00E16D12">
      <w:pPr>
        <w:spacing w:after="200" w:line="276" w:lineRule="auto"/>
        <w:jc w:val="both"/>
        <w:rPr>
          <w:rFonts w:ascii="Cambria" w:hAnsi="Cambria"/>
          <w:sz w:val="22"/>
          <w:szCs w:val="22"/>
        </w:rPr>
      </w:pPr>
      <w:r>
        <w:rPr>
          <w:rFonts w:ascii="Cambria" w:hAnsi="Cambria"/>
          <w:sz w:val="22"/>
        </w:rPr>
        <w:t>L'un des contrats de location de Take Off prévoit le paiement de loyers variables, liés au chiffre d'affaires du point de vente, avec la prévision d'un paiement minimum. Toutefois, il convient de noter que, durant les années 2020 et 2021, seule la redevance minimale a été payée. La part variable, lorsqu'elle est payée, est comptabilisée dans le compte de résultat.</w:t>
      </w:r>
    </w:p>
    <w:p w14:paraId="1E2CDB78" w14:textId="6CD5CC3A" w:rsidR="00202EAA" w:rsidRDefault="00F0209F" w:rsidP="00202EAA">
      <w:pPr>
        <w:spacing w:after="200" w:line="276" w:lineRule="auto"/>
        <w:jc w:val="both"/>
        <w:rPr>
          <w:rFonts w:ascii="Cambria" w:hAnsi="Cambria"/>
          <w:sz w:val="22"/>
          <w:szCs w:val="22"/>
        </w:rPr>
      </w:pPr>
      <w:r>
        <w:rPr>
          <w:rFonts w:ascii="Cambria" w:hAnsi="Cambria"/>
          <w:sz w:val="22"/>
        </w:rPr>
        <w:t>Le Groupe n'a pas d'options de résiliation anticipée qu'il a l'intention d'exercer mais qu'il n'a pas évalué en tant que passif de location. En ce qui concerne les options de renouvellement, dans ses méthodes comptables pour déterminer la durée du bail, le Groupe a considéré les options de renouvellement qu'il a l'intention d'exercer, comme décrit dans les critères d'évaluation auxquels il convient de se référer pour plus d'informations. Par ailleurs, il n'existe aucun contrat de location non encore stipulé pour lequel le Groupe a pris des engagements.</w:t>
      </w:r>
    </w:p>
    <w:p w14:paraId="04A0CE40" w14:textId="77777777" w:rsidR="00EA5C56" w:rsidRDefault="00EA5C56" w:rsidP="00E16D12">
      <w:pPr>
        <w:spacing w:after="200" w:line="276" w:lineRule="auto"/>
        <w:jc w:val="both"/>
        <w:rPr>
          <w:rFonts w:ascii="Cambria" w:hAnsi="Cambria"/>
          <w:sz w:val="22"/>
          <w:szCs w:val="22"/>
        </w:rPr>
      </w:pPr>
    </w:p>
    <w:p w14:paraId="30D50A81" w14:textId="77777777" w:rsidR="00E16D12" w:rsidRPr="00D5675C" w:rsidRDefault="00E16D12" w:rsidP="00E16D12">
      <w:pPr>
        <w:pStyle w:val="Titolo2"/>
        <w:numPr>
          <w:ilvl w:val="0"/>
          <w:numId w:val="6"/>
        </w:numPr>
        <w:spacing w:line="240" w:lineRule="auto"/>
        <w:ind w:left="357" w:right="0" w:hanging="357"/>
        <w:jc w:val="left"/>
        <w:rPr>
          <w:i w:val="0"/>
        </w:rPr>
      </w:pPr>
      <w:bookmarkStart w:id="161" w:name="_Toc112768693"/>
      <w:r>
        <w:rPr>
          <w:i w:val="0"/>
        </w:rPr>
        <w:t>Amortissements et dépréciations</w:t>
      </w:r>
      <w:bookmarkEnd w:id="161"/>
    </w:p>
    <w:p w14:paraId="7800BC05" w14:textId="77777777" w:rsidR="00E16D12" w:rsidRPr="00C17031" w:rsidRDefault="00E16D12" w:rsidP="00E16D12">
      <w:pPr>
        <w:rPr>
          <w:rFonts w:ascii="Cambria" w:hAnsi="Cambria"/>
        </w:rPr>
      </w:pPr>
    </w:p>
    <w:p w14:paraId="12981251" w14:textId="2F4A71E3" w:rsidR="007015DE" w:rsidRDefault="00DC792B" w:rsidP="00E16D12">
      <w:pPr>
        <w:spacing w:after="200" w:line="276" w:lineRule="auto"/>
        <w:jc w:val="both"/>
      </w:pPr>
      <w:r>
        <w:rPr>
          <w:rFonts w:ascii="Cambria" w:hAnsi="Cambria"/>
          <w:sz w:val="22"/>
        </w:rPr>
        <w:t>L</w:t>
      </w:r>
      <w:r w:rsidR="00E16D12">
        <w:rPr>
          <w:rFonts w:ascii="Cambria" w:hAnsi="Cambria"/>
          <w:sz w:val="22"/>
        </w:rPr>
        <w:t>a composition du poste « Amortissements et dépréciations » pour la période du 1er janvier au 30 juin 2021, par rapport aux mêmes valeurs pour la période du 1er janvier au 30 juin 2020, est la suivante :</w:t>
      </w:r>
    </w:p>
    <w:tbl>
      <w:tblPr>
        <w:tblW w:w="5000" w:type="pct"/>
        <w:tblCellMar>
          <w:left w:w="70" w:type="dxa"/>
          <w:right w:w="70" w:type="dxa"/>
        </w:tblCellMar>
        <w:tblLook w:val="04A0" w:firstRow="1" w:lastRow="0" w:firstColumn="1" w:lastColumn="0" w:noHBand="0" w:noVBand="1"/>
      </w:tblPr>
      <w:tblGrid>
        <w:gridCol w:w="4552"/>
        <w:gridCol w:w="1599"/>
        <w:gridCol w:w="1600"/>
        <w:gridCol w:w="1887"/>
      </w:tblGrid>
      <w:tr w:rsidR="00B362E9" w14:paraId="05321DD2" w14:textId="77777777" w:rsidTr="00B362E9">
        <w:trPr>
          <w:trHeight w:val="495"/>
        </w:trPr>
        <w:tc>
          <w:tcPr>
            <w:tcW w:w="2389" w:type="pct"/>
            <w:tcBorders>
              <w:top w:val="single" w:sz="4" w:space="0" w:color="0070C0"/>
              <w:left w:val="nil"/>
              <w:bottom w:val="single" w:sz="8" w:space="0" w:color="0070C0"/>
              <w:right w:val="nil"/>
            </w:tcBorders>
            <w:shd w:val="clear" w:color="auto" w:fill="auto"/>
            <w:noWrap/>
            <w:vAlign w:val="bottom"/>
            <w:hideMark/>
          </w:tcPr>
          <w:p w14:paraId="6E3BA201" w14:textId="77777777" w:rsidR="00B362E9" w:rsidRDefault="00B362E9">
            <w:pPr>
              <w:rPr>
                <w:rFonts w:ascii="Cambria" w:hAnsi="Cambria" w:cs="Arial"/>
                <w:color w:val="000000"/>
                <w:sz w:val="18"/>
                <w:szCs w:val="18"/>
              </w:rPr>
            </w:pPr>
            <w:r>
              <w:rPr>
                <w:rFonts w:ascii="Cambria" w:hAnsi="Cambria"/>
                <w:color w:val="000000"/>
                <w:sz w:val="18"/>
              </w:rPr>
              <w:lastRenderedPageBreak/>
              <w:t>(</w:t>
            </w:r>
            <w:proofErr w:type="gramStart"/>
            <w:r>
              <w:rPr>
                <w:rFonts w:ascii="Cambria" w:hAnsi="Cambria"/>
                <w:color w:val="000000"/>
                <w:sz w:val="18"/>
              </w:rPr>
              <w:t>en</w:t>
            </w:r>
            <w:proofErr w:type="gramEnd"/>
            <w:r>
              <w:rPr>
                <w:rFonts w:ascii="Cambria" w:hAnsi="Cambria"/>
                <w:color w:val="000000"/>
                <w:sz w:val="18"/>
              </w:rPr>
              <w:t xml:space="preserve"> euros)</w:t>
            </w:r>
          </w:p>
        </w:tc>
        <w:tc>
          <w:tcPr>
            <w:tcW w:w="857" w:type="pct"/>
            <w:tcBorders>
              <w:top w:val="single" w:sz="4" w:space="0" w:color="0070C0"/>
              <w:left w:val="nil"/>
              <w:bottom w:val="single" w:sz="8" w:space="0" w:color="0070C0"/>
              <w:right w:val="nil"/>
            </w:tcBorders>
            <w:shd w:val="clear" w:color="auto" w:fill="auto"/>
            <w:vAlign w:val="bottom"/>
            <w:hideMark/>
          </w:tcPr>
          <w:p w14:paraId="00C30152" w14:textId="77777777" w:rsidR="00B362E9" w:rsidRDefault="00B362E9">
            <w:pPr>
              <w:jc w:val="center"/>
              <w:rPr>
                <w:rFonts w:ascii="Cambria" w:hAnsi="Cambria" w:cs="Arial"/>
                <w:b/>
                <w:bCs/>
                <w:color w:val="000000"/>
                <w:sz w:val="18"/>
                <w:szCs w:val="18"/>
              </w:rPr>
            </w:pPr>
            <w:r>
              <w:rPr>
                <w:rFonts w:ascii="Cambria" w:hAnsi="Cambria"/>
                <w:b/>
                <w:color w:val="000000"/>
                <w:sz w:val="18"/>
              </w:rPr>
              <w:t xml:space="preserve">1er janvier 2021 - </w:t>
            </w:r>
            <w:r>
              <w:rPr>
                <w:rFonts w:ascii="Cambria" w:hAnsi="Cambria"/>
                <w:b/>
                <w:bCs/>
                <w:color w:val="000000"/>
                <w:sz w:val="18"/>
                <w:szCs w:val="18"/>
              </w:rPr>
              <w:br/>
            </w:r>
            <w:r>
              <w:rPr>
                <w:rFonts w:ascii="Cambria" w:hAnsi="Cambria"/>
                <w:b/>
                <w:color w:val="000000"/>
                <w:sz w:val="18"/>
              </w:rPr>
              <w:t>30 juin 2021</w:t>
            </w:r>
          </w:p>
        </w:tc>
        <w:tc>
          <w:tcPr>
            <w:tcW w:w="857" w:type="pct"/>
            <w:tcBorders>
              <w:top w:val="single" w:sz="4" w:space="0" w:color="0070C0"/>
              <w:left w:val="nil"/>
              <w:bottom w:val="single" w:sz="8" w:space="0" w:color="0070C0"/>
              <w:right w:val="nil"/>
            </w:tcBorders>
            <w:shd w:val="clear" w:color="auto" w:fill="auto"/>
            <w:vAlign w:val="bottom"/>
            <w:hideMark/>
          </w:tcPr>
          <w:p w14:paraId="54164B21" w14:textId="77777777" w:rsidR="00B362E9" w:rsidRDefault="00B362E9">
            <w:pPr>
              <w:jc w:val="center"/>
              <w:rPr>
                <w:rFonts w:ascii="Cambria" w:hAnsi="Cambria" w:cs="Arial"/>
                <w:b/>
                <w:bCs/>
                <w:color w:val="000000"/>
                <w:sz w:val="18"/>
                <w:szCs w:val="18"/>
              </w:rPr>
            </w:pPr>
            <w:r>
              <w:rPr>
                <w:rFonts w:ascii="Cambria" w:hAnsi="Cambria"/>
                <w:b/>
                <w:color w:val="000000"/>
                <w:sz w:val="18"/>
              </w:rPr>
              <w:t xml:space="preserve">1er janvier 2020 - </w:t>
            </w:r>
            <w:r>
              <w:rPr>
                <w:rFonts w:ascii="Cambria" w:hAnsi="Cambria"/>
                <w:b/>
                <w:bCs/>
                <w:color w:val="000000"/>
                <w:sz w:val="18"/>
                <w:szCs w:val="18"/>
              </w:rPr>
              <w:br/>
            </w:r>
            <w:r>
              <w:rPr>
                <w:rFonts w:ascii="Cambria" w:hAnsi="Cambria"/>
                <w:b/>
                <w:color w:val="000000"/>
                <w:sz w:val="18"/>
              </w:rPr>
              <w:t>30 juin 2020</w:t>
            </w:r>
          </w:p>
        </w:tc>
        <w:tc>
          <w:tcPr>
            <w:tcW w:w="898" w:type="pct"/>
            <w:tcBorders>
              <w:top w:val="single" w:sz="4" w:space="0" w:color="0070C0"/>
              <w:left w:val="nil"/>
              <w:bottom w:val="single" w:sz="8" w:space="0" w:color="0070C0"/>
              <w:right w:val="nil"/>
            </w:tcBorders>
            <w:shd w:val="clear" w:color="auto" w:fill="auto"/>
            <w:vAlign w:val="bottom"/>
            <w:hideMark/>
          </w:tcPr>
          <w:p w14:paraId="764D0E7F" w14:textId="77777777" w:rsidR="00B362E9" w:rsidRDefault="00B362E9">
            <w:pPr>
              <w:jc w:val="center"/>
              <w:rPr>
                <w:rFonts w:ascii="Cambria" w:hAnsi="Cambria" w:cs="Arial"/>
                <w:b/>
                <w:bCs/>
                <w:color w:val="000000"/>
                <w:sz w:val="18"/>
                <w:szCs w:val="18"/>
              </w:rPr>
            </w:pPr>
            <w:r>
              <w:rPr>
                <w:rFonts w:ascii="Cambria" w:hAnsi="Cambria"/>
                <w:b/>
                <w:color w:val="000000"/>
                <w:sz w:val="18"/>
              </w:rPr>
              <w:t>Variations</w:t>
            </w:r>
          </w:p>
        </w:tc>
      </w:tr>
      <w:tr w:rsidR="00B362E9" w14:paraId="12ECEEFD" w14:textId="77777777" w:rsidTr="00B362E9">
        <w:trPr>
          <w:trHeight w:val="228"/>
        </w:trPr>
        <w:tc>
          <w:tcPr>
            <w:tcW w:w="2389" w:type="pct"/>
            <w:tcBorders>
              <w:top w:val="nil"/>
              <w:left w:val="nil"/>
              <w:bottom w:val="nil"/>
              <w:right w:val="nil"/>
            </w:tcBorders>
            <w:shd w:val="clear" w:color="auto" w:fill="auto"/>
            <w:noWrap/>
            <w:vAlign w:val="bottom"/>
            <w:hideMark/>
          </w:tcPr>
          <w:p w14:paraId="6EAEA22E" w14:textId="77777777" w:rsidR="00B362E9" w:rsidRDefault="00B362E9">
            <w:pPr>
              <w:rPr>
                <w:rFonts w:ascii="Cambria" w:hAnsi="Cambria" w:cs="Arial"/>
                <w:color w:val="000000"/>
                <w:sz w:val="18"/>
                <w:szCs w:val="18"/>
              </w:rPr>
            </w:pPr>
            <w:r>
              <w:rPr>
                <w:rFonts w:ascii="Cambria" w:hAnsi="Cambria"/>
                <w:color w:val="000000"/>
                <w:sz w:val="18"/>
              </w:rPr>
              <w:t>Amortissements des immobilisations incorporelles</w:t>
            </w:r>
          </w:p>
        </w:tc>
        <w:tc>
          <w:tcPr>
            <w:tcW w:w="857" w:type="pct"/>
            <w:tcBorders>
              <w:top w:val="nil"/>
              <w:left w:val="nil"/>
              <w:bottom w:val="nil"/>
              <w:right w:val="nil"/>
            </w:tcBorders>
            <w:shd w:val="clear" w:color="auto" w:fill="auto"/>
            <w:noWrap/>
            <w:vAlign w:val="bottom"/>
            <w:hideMark/>
          </w:tcPr>
          <w:p w14:paraId="3C90B4F3" w14:textId="77777777" w:rsidR="00B362E9" w:rsidRDefault="00B362E9">
            <w:pPr>
              <w:jc w:val="right"/>
              <w:rPr>
                <w:rFonts w:ascii="Cambria" w:hAnsi="Cambria" w:cs="Arial"/>
                <w:color w:val="000000"/>
                <w:sz w:val="18"/>
                <w:szCs w:val="18"/>
              </w:rPr>
            </w:pPr>
            <w:r>
              <w:rPr>
                <w:rFonts w:ascii="Cambria" w:hAnsi="Cambria"/>
                <w:color w:val="000000"/>
                <w:sz w:val="18"/>
              </w:rPr>
              <w:t>2 478</w:t>
            </w:r>
          </w:p>
        </w:tc>
        <w:tc>
          <w:tcPr>
            <w:tcW w:w="857" w:type="pct"/>
            <w:tcBorders>
              <w:top w:val="nil"/>
              <w:left w:val="nil"/>
              <w:bottom w:val="nil"/>
              <w:right w:val="nil"/>
            </w:tcBorders>
            <w:shd w:val="clear" w:color="auto" w:fill="auto"/>
            <w:noWrap/>
            <w:vAlign w:val="bottom"/>
            <w:hideMark/>
          </w:tcPr>
          <w:p w14:paraId="167A9A08" w14:textId="77777777" w:rsidR="00B362E9" w:rsidRDefault="00B362E9">
            <w:pPr>
              <w:jc w:val="right"/>
              <w:rPr>
                <w:rFonts w:ascii="Cambria" w:hAnsi="Cambria" w:cs="Arial"/>
                <w:color w:val="000000"/>
                <w:sz w:val="18"/>
                <w:szCs w:val="18"/>
              </w:rPr>
            </w:pPr>
            <w:r>
              <w:rPr>
                <w:rFonts w:ascii="Cambria" w:hAnsi="Cambria"/>
                <w:color w:val="000000"/>
                <w:sz w:val="18"/>
              </w:rPr>
              <w:t>517</w:t>
            </w:r>
          </w:p>
        </w:tc>
        <w:tc>
          <w:tcPr>
            <w:tcW w:w="898" w:type="pct"/>
            <w:tcBorders>
              <w:top w:val="nil"/>
              <w:left w:val="nil"/>
              <w:bottom w:val="nil"/>
              <w:right w:val="nil"/>
            </w:tcBorders>
            <w:shd w:val="clear" w:color="auto" w:fill="auto"/>
            <w:noWrap/>
            <w:vAlign w:val="bottom"/>
            <w:hideMark/>
          </w:tcPr>
          <w:p w14:paraId="7873F0E1" w14:textId="77777777" w:rsidR="00B362E9" w:rsidRDefault="00B362E9">
            <w:pPr>
              <w:rPr>
                <w:rFonts w:ascii="Cambria" w:hAnsi="Cambria" w:cs="Arial"/>
                <w:color w:val="000000"/>
                <w:sz w:val="18"/>
                <w:szCs w:val="18"/>
              </w:rPr>
            </w:pPr>
            <w:r>
              <w:rPr>
                <w:rFonts w:ascii="Cambria" w:hAnsi="Cambria"/>
                <w:color w:val="000000"/>
                <w:sz w:val="18"/>
              </w:rPr>
              <w:t xml:space="preserve">                                 1 962 </w:t>
            </w:r>
          </w:p>
        </w:tc>
      </w:tr>
      <w:tr w:rsidR="00B362E9" w14:paraId="4FFF13B1" w14:textId="77777777" w:rsidTr="00B362E9">
        <w:trPr>
          <w:trHeight w:val="228"/>
        </w:trPr>
        <w:tc>
          <w:tcPr>
            <w:tcW w:w="2389" w:type="pct"/>
            <w:tcBorders>
              <w:top w:val="nil"/>
              <w:left w:val="nil"/>
              <w:bottom w:val="nil"/>
              <w:right w:val="nil"/>
            </w:tcBorders>
            <w:shd w:val="clear" w:color="auto" w:fill="auto"/>
            <w:noWrap/>
            <w:vAlign w:val="bottom"/>
            <w:hideMark/>
          </w:tcPr>
          <w:p w14:paraId="26990E25" w14:textId="77777777" w:rsidR="00B362E9" w:rsidRDefault="00B362E9">
            <w:pPr>
              <w:rPr>
                <w:rFonts w:ascii="Cambria" w:hAnsi="Cambria" w:cs="Arial"/>
                <w:color w:val="000000"/>
                <w:sz w:val="18"/>
                <w:szCs w:val="18"/>
              </w:rPr>
            </w:pPr>
            <w:r>
              <w:rPr>
                <w:rFonts w:ascii="Cambria" w:hAnsi="Cambria"/>
                <w:color w:val="000000"/>
                <w:sz w:val="18"/>
              </w:rPr>
              <w:t>Amortissements de droits d’usage</w:t>
            </w:r>
          </w:p>
        </w:tc>
        <w:tc>
          <w:tcPr>
            <w:tcW w:w="857" w:type="pct"/>
            <w:tcBorders>
              <w:top w:val="nil"/>
              <w:left w:val="nil"/>
              <w:bottom w:val="nil"/>
              <w:right w:val="nil"/>
            </w:tcBorders>
            <w:shd w:val="clear" w:color="auto" w:fill="auto"/>
            <w:noWrap/>
            <w:vAlign w:val="bottom"/>
            <w:hideMark/>
          </w:tcPr>
          <w:p w14:paraId="58C057B0" w14:textId="77777777" w:rsidR="00B362E9" w:rsidRDefault="00B362E9">
            <w:pPr>
              <w:jc w:val="right"/>
              <w:rPr>
                <w:rFonts w:ascii="Cambria" w:hAnsi="Cambria" w:cs="Arial"/>
                <w:color w:val="000000"/>
                <w:sz w:val="18"/>
                <w:szCs w:val="18"/>
              </w:rPr>
            </w:pPr>
            <w:r>
              <w:rPr>
                <w:rFonts w:ascii="Cambria" w:hAnsi="Cambria"/>
                <w:color w:val="000000"/>
                <w:sz w:val="18"/>
              </w:rPr>
              <w:t>768 585</w:t>
            </w:r>
          </w:p>
        </w:tc>
        <w:tc>
          <w:tcPr>
            <w:tcW w:w="857" w:type="pct"/>
            <w:tcBorders>
              <w:top w:val="nil"/>
              <w:left w:val="nil"/>
              <w:bottom w:val="nil"/>
              <w:right w:val="nil"/>
            </w:tcBorders>
            <w:shd w:val="clear" w:color="auto" w:fill="auto"/>
            <w:noWrap/>
            <w:vAlign w:val="bottom"/>
            <w:hideMark/>
          </w:tcPr>
          <w:p w14:paraId="65F0E842" w14:textId="77777777" w:rsidR="00B362E9" w:rsidRDefault="00B362E9">
            <w:pPr>
              <w:jc w:val="right"/>
              <w:rPr>
                <w:rFonts w:ascii="Cambria" w:hAnsi="Cambria" w:cs="Arial"/>
                <w:color w:val="000000"/>
                <w:sz w:val="18"/>
                <w:szCs w:val="18"/>
              </w:rPr>
            </w:pPr>
            <w:r>
              <w:rPr>
                <w:rFonts w:ascii="Cambria" w:hAnsi="Cambria"/>
                <w:color w:val="000000"/>
                <w:sz w:val="18"/>
              </w:rPr>
              <w:t>591 065</w:t>
            </w:r>
          </w:p>
        </w:tc>
        <w:tc>
          <w:tcPr>
            <w:tcW w:w="898" w:type="pct"/>
            <w:tcBorders>
              <w:top w:val="nil"/>
              <w:left w:val="nil"/>
              <w:bottom w:val="nil"/>
              <w:right w:val="nil"/>
            </w:tcBorders>
            <w:shd w:val="clear" w:color="auto" w:fill="auto"/>
            <w:noWrap/>
            <w:vAlign w:val="bottom"/>
            <w:hideMark/>
          </w:tcPr>
          <w:p w14:paraId="660B0657" w14:textId="77777777" w:rsidR="00B362E9" w:rsidRDefault="00B362E9">
            <w:pPr>
              <w:jc w:val="right"/>
              <w:rPr>
                <w:rFonts w:ascii="Cambria" w:hAnsi="Cambria" w:cs="Arial"/>
                <w:color w:val="000000"/>
                <w:sz w:val="18"/>
                <w:szCs w:val="18"/>
              </w:rPr>
            </w:pPr>
            <w:r>
              <w:rPr>
                <w:rFonts w:ascii="Cambria" w:hAnsi="Cambria"/>
                <w:color w:val="000000"/>
                <w:sz w:val="18"/>
              </w:rPr>
              <w:t>177 520</w:t>
            </w:r>
          </w:p>
        </w:tc>
      </w:tr>
      <w:tr w:rsidR="00B362E9" w14:paraId="06C6AABE" w14:textId="77777777" w:rsidTr="00B362E9">
        <w:trPr>
          <w:trHeight w:val="228"/>
        </w:trPr>
        <w:tc>
          <w:tcPr>
            <w:tcW w:w="2389" w:type="pct"/>
            <w:tcBorders>
              <w:top w:val="nil"/>
              <w:left w:val="nil"/>
              <w:bottom w:val="nil"/>
              <w:right w:val="nil"/>
            </w:tcBorders>
            <w:shd w:val="clear" w:color="auto" w:fill="auto"/>
            <w:noWrap/>
            <w:vAlign w:val="bottom"/>
            <w:hideMark/>
          </w:tcPr>
          <w:p w14:paraId="07A35036" w14:textId="77777777" w:rsidR="00B362E9" w:rsidRDefault="00B362E9">
            <w:pPr>
              <w:rPr>
                <w:rFonts w:ascii="Cambria" w:hAnsi="Cambria" w:cs="Arial"/>
                <w:color w:val="000000"/>
                <w:sz w:val="18"/>
                <w:szCs w:val="18"/>
              </w:rPr>
            </w:pPr>
            <w:r>
              <w:rPr>
                <w:rFonts w:ascii="Cambria" w:hAnsi="Cambria"/>
                <w:color w:val="000000"/>
                <w:sz w:val="18"/>
              </w:rPr>
              <w:t>Dépréciation d’Immobilisations corporelles</w:t>
            </w:r>
          </w:p>
        </w:tc>
        <w:tc>
          <w:tcPr>
            <w:tcW w:w="857" w:type="pct"/>
            <w:tcBorders>
              <w:top w:val="nil"/>
              <w:left w:val="nil"/>
              <w:bottom w:val="nil"/>
              <w:right w:val="nil"/>
            </w:tcBorders>
            <w:shd w:val="clear" w:color="auto" w:fill="auto"/>
            <w:noWrap/>
            <w:vAlign w:val="bottom"/>
            <w:hideMark/>
          </w:tcPr>
          <w:p w14:paraId="1F48D21B" w14:textId="77777777" w:rsidR="00B362E9" w:rsidRDefault="00B362E9">
            <w:pPr>
              <w:jc w:val="right"/>
              <w:rPr>
                <w:rFonts w:ascii="Cambria" w:hAnsi="Cambria" w:cs="Arial"/>
                <w:color w:val="000000"/>
                <w:sz w:val="18"/>
                <w:szCs w:val="18"/>
              </w:rPr>
            </w:pPr>
            <w:r>
              <w:rPr>
                <w:rFonts w:ascii="Cambria" w:hAnsi="Cambria"/>
                <w:color w:val="000000"/>
                <w:sz w:val="18"/>
              </w:rPr>
              <w:t>145 314</w:t>
            </w:r>
          </w:p>
        </w:tc>
        <w:tc>
          <w:tcPr>
            <w:tcW w:w="857" w:type="pct"/>
            <w:tcBorders>
              <w:top w:val="nil"/>
              <w:left w:val="nil"/>
              <w:bottom w:val="nil"/>
              <w:right w:val="nil"/>
            </w:tcBorders>
            <w:shd w:val="clear" w:color="auto" w:fill="auto"/>
            <w:noWrap/>
            <w:vAlign w:val="bottom"/>
            <w:hideMark/>
          </w:tcPr>
          <w:p w14:paraId="47B108E9" w14:textId="77777777" w:rsidR="00B362E9" w:rsidRDefault="00B362E9">
            <w:pPr>
              <w:jc w:val="right"/>
              <w:rPr>
                <w:rFonts w:ascii="Cambria" w:hAnsi="Cambria" w:cs="Arial"/>
                <w:color w:val="000000"/>
                <w:sz w:val="18"/>
                <w:szCs w:val="18"/>
              </w:rPr>
            </w:pPr>
            <w:r>
              <w:rPr>
                <w:rFonts w:ascii="Cambria" w:hAnsi="Cambria"/>
                <w:color w:val="000000"/>
                <w:sz w:val="18"/>
              </w:rPr>
              <w:t>114 087</w:t>
            </w:r>
          </w:p>
        </w:tc>
        <w:tc>
          <w:tcPr>
            <w:tcW w:w="898" w:type="pct"/>
            <w:tcBorders>
              <w:top w:val="nil"/>
              <w:left w:val="nil"/>
              <w:bottom w:val="nil"/>
              <w:right w:val="nil"/>
            </w:tcBorders>
            <w:shd w:val="clear" w:color="auto" w:fill="auto"/>
            <w:noWrap/>
            <w:vAlign w:val="bottom"/>
            <w:hideMark/>
          </w:tcPr>
          <w:p w14:paraId="6DAFA7D6" w14:textId="77777777" w:rsidR="00B362E9" w:rsidRDefault="00B362E9">
            <w:pPr>
              <w:jc w:val="right"/>
              <w:rPr>
                <w:rFonts w:ascii="Cambria" w:hAnsi="Cambria" w:cs="Arial"/>
                <w:color w:val="000000"/>
                <w:sz w:val="18"/>
                <w:szCs w:val="18"/>
              </w:rPr>
            </w:pPr>
            <w:r>
              <w:rPr>
                <w:rFonts w:ascii="Cambria" w:hAnsi="Cambria"/>
                <w:color w:val="000000"/>
                <w:sz w:val="18"/>
              </w:rPr>
              <w:t>31 227</w:t>
            </w:r>
          </w:p>
        </w:tc>
      </w:tr>
      <w:tr w:rsidR="00B362E9" w14:paraId="3B8516C7" w14:textId="77777777" w:rsidTr="00B362E9">
        <w:trPr>
          <w:trHeight w:val="240"/>
        </w:trPr>
        <w:tc>
          <w:tcPr>
            <w:tcW w:w="2389" w:type="pct"/>
            <w:tcBorders>
              <w:top w:val="nil"/>
              <w:left w:val="nil"/>
              <w:bottom w:val="nil"/>
              <w:right w:val="nil"/>
            </w:tcBorders>
            <w:shd w:val="clear" w:color="auto" w:fill="auto"/>
            <w:noWrap/>
            <w:vAlign w:val="bottom"/>
            <w:hideMark/>
          </w:tcPr>
          <w:p w14:paraId="0E90E104" w14:textId="77777777" w:rsidR="00B362E9" w:rsidRDefault="00B362E9">
            <w:pPr>
              <w:rPr>
                <w:rFonts w:ascii="Cambria" w:hAnsi="Cambria" w:cs="Arial"/>
                <w:b/>
                <w:bCs/>
                <w:color w:val="000000"/>
                <w:sz w:val="18"/>
                <w:szCs w:val="18"/>
              </w:rPr>
            </w:pPr>
            <w:r>
              <w:rPr>
                <w:rFonts w:ascii="Cambria" w:hAnsi="Cambria"/>
                <w:b/>
                <w:color w:val="000000"/>
                <w:sz w:val="18"/>
              </w:rPr>
              <w:t>Total Amortissements et dépréciations</w:t>
            </w:r>
          </w:p>
        </w:tc>
        <w:tc>
          <w:tcPr>
            <w:tcW w:w="857" w:type="pct"/>
            <w:tcBorders>
              <w:top w:val="single" w:sz="4" w:space="0" w:color="auto"/>
              <w:left w:val="nil"/>
              <w:bottom w:val="single" w:sz="8" w:space="0" w:color="auto"/>
              <w:right w:val="nil"/>
            </w:tcBorders>
            <w:shd w:val="clear" w:color="auto" w:fill="auto"/>
            <w:noWrap/>
            <w:vAlign w:val="bottom"/>
            <w:hideMark/>
          </w:tcPr>
          <w:p w14:paraId="67150D73" w14:textId="77777777" w:rsidR="00B362E9" w:rsidRDefault="00B362E9">
            <w:pPr>
              <w:jc w:val="right"/>
              <w:rPr>
                <w:rFonts w:ascii="Cambria" w:hAnsi="Cambria" w:cs="Arial"/>
                <w:b/>
                <w:bCs/>
                <w:color w:val="000000"/>
                <w:sz w:val="18"/>
                <w:szCs w:val="18"/>
              </w:rPr>
            </w:pPr>
            <w:r>
              <w:rPr>
                <w:rFonts w:ascii="Cambria" w:hAnsi="Cambria"/>
                <w:b/>
                <w:color w:val="000000"/>
                <w:sz w:val="18"/>
              </w:rPr>
              <w:t>916 378</w:t>
            </w:r>
          </w:p>
        </w:tc>
        <w:tc>
          <w:tcPr>
            <w:tcW w:w="857" w:type="pct"/>
            <w:tcBorders>
              <w:top w:val="single" w:sz="4" w:space="0" w:color="auto"/>
              <w:left w:val="nil"/>
              <w:bottom w:val="single" w:sz="8" w:space="0" w:color="auto"/>
              <w:right w:val="nil"/>
            </w:tcBorders>
            <w:shd w:val="clear" w:color="auto" w:fill="auto"/>
            <w:noWrap/>
            <w:vAlign w:val="bottom"/>
            <w:hideMark/>
          </w:tcPr>
          <w:p w14:paraId="2DB1DB0E" w14:textId="77777777" w:rsidR="00B362E9" w:rsidRDefault="00B362E9">
            <w:pPr>
              <w:jc w:val="right"/>
              <w:rPr>
                <w:rFonts w:ascii="Cambria" w:hAnsi="Cambria" w:cs="Arial"/>
                <w:b/>
                <w:bCs/>
                <w:color w:val="000000"/>
                <w:sz w:val="18"/>
                <w:szCs w:val="18"/>
              </w:rPr>
            </w:pPr>
            <w:r>
              <w:rPr>
                <w:rFonts w:ascii="Cambria" w:hAnsi="Cambria"/>
                <w:b/>
                <w:color w:val="000000"/>
                <w:sz w:val="18"/>
              </w:rPr>
              <w:t>705 669</w:t>
            </w:r>
          </w:p>
        </w:tc>
        <w:tc>
          <w:tcPr>
            <w:tcW w:w="898" w:type="pct"/>
            <w:tcBorders>
              <w:top w:val="single" w:sz="4" w:space="0" w:color="auto"/>
              <w:left w:val="nil"/>
              <w:bottom w:val="single" w:sz="8" w:space="0" w:color="auto"/>
              <w:right w:val="nil"/>
            </w:tcBorders>
            <w:shd w:val="clear" w:color="auto" w:fill="auto"/>
            <w:noWrap/>
            <w:vAlign w:val="bottom"/>
            <w:hideMark/>
          </w:tcPr>
          <w:p w14:paraId="1B2D7F9B" w14:textId="77777777" w:rsidR="00B362E9" w:rsidRDefault="00B362E9">
            <w:pPr>
              <w:jc w:val="right"/>
              <w:rPr>
                <w:rFonts w:ascii="Cambria" w:hAnsi="Cambria" w:cs="Arial"/>
                <w:b/>
                <w:bCs/>
                <w:color w:val="000000"/>
                <w:sz w:val="18"/>
                <w:szCs w:val="18"/>
              </w:rPr>
            </w:pPr>
            <w:r>
              <w:rPr>
                <w:rFonts w:ascii="Cambria" w:hAnsi="Cambria"/>
                <w:b/>
                <w:color w:val="000000"/>
                <w:sz w:val="18"/>
              </w:rPr>
              <w:t>210 709</w:t>
            </w:r>
          </w:p>
        </w:tc>
      </w:tr>
    </w:tbl>
    <w:p w14:paraId="6DA0EF7F" w14:textId="77777777" w:rsidR="00B96B09" w:rsidRDefault="00B96B09" w:rsidP="00E16D12">
      <w:pPr>
        <w:spacing w:after="200" w:line="276" w:lineRule="auto"/>
        <w:jc w:val="both"/>
        <w:rPr>
          <w:rFonts w:ascii="Cambria" w:hAnsi="Cambria"/>
          <w:sz w:val="22"/>
          <w:szCs w:val="22"/>
        </w:rPr>
      </w:pPr>
    </w:p>
    <w:p w14:paraId="7CD9743E" w14:textId="77777777" w:rsidR="00BC2746" w:rsidRPr="00C17031" w:rsidRDefault="00BC2746" w:rsidP="00BC2746">
      <w:pPr>
        <w:spacing w:after="200" w:line="276" w:lineRule="auto"/>
        <w:jc w:val="both"/>
        <w:rPr>
          <w:rFonts w:ascii="Cambria" w:hAnsi="Cambria"/>
          <w:sz w:val="22"/>
          <w:szCs w:val="22"/>
        </w:rPr>
      </w:pPr>
      <w:r>
        <w:rPr>
          <w:rFonts w:ascii="Cambria" w:hAnsi="Cambria"/>
          <w:sz w:val="22"/>
        </w:rPr>
        <w:t>Il s'agit de l'amortissement des bâtiments, du mobilier, des machines électroniques, des systèmes génériques et des équipements, en plus du taux d'amortissement des droits d'utilisation.</w:t>
      </w:r>
    </w:p>
    <w:p w14:paraId="3D4D5ED8" w14:textId="77777777" w:rsidR="00E16D12" w:rsidRPr="00C17031" w:rsidRDefault="00E16D12" w:rsidP="00E16D12">
      <w:pPr>
        <w:spacing w:after="200" w:line="276" w:lineRule="auto"/>
        <w:jc w:val="both"/>
        <w:rPr>
          <w:rFonts w:ascii="Cambria" w:hAnsi="Cambria"/>
          <w:sz w:val="22"/>
          <w:szCs w:val="22"/>
        </w:rPr>
      </w:pPr>
      <w:r>
        <w:rPr>
          <w:rFonts w:ascii="Cambria" w:hAnsi="Cambria"/>
          <w:sz w:val="22"/>
        </w:rPr>
        <w:t>Pour plus de détails, se référer au commentaire sur les immobilisations incorporelles, les droits d'utilisation et les immobilisations corporelles.</w:t>
      </w:r>
    </w:p>
    <w:p w14:paraId="5C3C4E46" w14:textId="77777777" w:rsidR="00E16D12" w:rsidRPr="000F25E4" w:rsidRDefault="00E16D12" w:rsidP="00E16D12">
      <w:pPr>
        <w:pStyle w:val="Titolo2"/>
        <w:numPr>
          <w:ilvl w:val="0"/>
          <w:numId w:val="6"/>
        </w:numPr>
        <w:spacing w:line="240" w:lineRule="auto"/>
        <w:ind w:left="357" w:right="0" w:hanging="357"/>
        <w:jc w:val="left"/>
        <w:rPr>
          <w:i w:val="0"/>
        </w:rPr>
      </w:pPr>
      <w:bookmarkStart w:id="162" w:name="_Toc112768694"/>
      <w:r>
        <w:rPr>
          <w:i w:val="0"/>
        </w:rPr>
        <w:t>Charges financières</w:t>
      </w:r>
      <w:bookmarkEnd w:id="162"/>
    </w:p>
    <w:p w14:paraId="1093AA0D" w14:textId="77777777" w:rsidR="00E16D12" w:rsidRPr="00C17031" w:rsidRDefault="00E16D12" w:rsidP="00E16D12">
      <w:pPr>
        <w:jc w:val="both"/>
        <w:rPr>
          <w:rFonts w:ascii="Cambria" w:hAnsi="Cambria"/>
          <w:sz w:val="22"/>
          <w:szCs w:val="22"/>
        </w:rPr>
      </w:pPr>
    </w:p>
    <w:p w14:paraId="166A03B5" w14:textId="7643CEDE" w:rsidR="00B96B09" w:rsidRDefault="00E16D12" w:rsidP="00B96B09">
      <w:pPr>
        <w:spacing w:after="200" w:line="276" w:lineRule="auto"/>
        <w:jc w:val="both"/>
      </w:pPr>
      <w:r>
        <w:rPr>
          <w:rFonts w:ascii="Cambria" w:hAnsi="Cambria"/>
          <w:sz w:val="22"/>
        </w:rPr>
        <w:t>La composition du poste « Charges financières » pour la période du 1er janvier au 30 juin 2021, par rapport aux mêmes valeurs pour la période du 1er janvier au 30 juin 2020, est la suivante :</w:t>
      </w:r>
    </w:p>
    <w:tbl>
      <w:tblPr>
        <w:tblW w:w="9580" w:type="dxa"/>
        <w:tblCellMar>
          <w:left w:w="70" w:type="dxa"/>
          <w:right w:w="70" w:type="dxa"/>
        </w:tblCellMar>
        <w:tblLook w:val="04A0" w:firstRow="1" w:lastRow="0" w:firstColumn="1" w:lastColumn="0" w:noHBand="0" w:noVBand="1"/>
      </w:tblPr>
      <w:tblGrid>
        <w:gridCol w:w="4600"/>
        <w:gridCol w:w="1660"/>
        <w:gridCol w:w="1660"/>
        <w:gridCol w:w="1660"/>
      </w:tblGrid>
      <w:tr w:rsidR="007D0D25" w14:paraId="6C84E9D6" w14:textId="77777777" w:rsidTr="007D0D25">
        <w:trPr>
          <w:trHeight w:val="495"/>
        </w:trPr>
        <w:tc>
          <w:tcPr>
            <w:tcW w:w="4600" w:type="dxa"/>
            <w:tcBorders>
              <w:top w:val="single" w:sz="4" w:space="0" w:color="0070C0"/>
              <w:left w:val="nil"/>
              <w:bottom w:val="single" w:sz="8" w:space="0" w:color="0070C0"/>
              <w:right w:val="nil"/>
            </w:tcBorders>
            <w:shd w:val="clear" w:color="auto" w:fill="auto"/>
            <w:noWrap/>
            <w:vAlign w:val="bottom"/>
            <w:hideMark/>
          </w:tcPr>
          <w:p w14:paraId="463ABC52" w14:textId="77777777" w:rsidR="007D0D25" w:rsidRDefault="007D0D25">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660" w:type="dxa"/>
            <w:tcBorders>
              <w:top w:val="single" w:sz="4" w:space="0" w:color="0070C0"/>
              <w:left w:val="nil"/>
              <w:bottom w:val="single" w:sz="8" w:space="0" w:color="0070C0"/>
              <w:right w:val="nil"/>
            </w:tcBorders>
            <w:shd w:val="clear" w:color="auto" w:fill="auto"/>
            <w:vAlign w:val="bottom"/>
            <w:hideMark/>
          </w:tcPr>
          <w:p w14:paraId="56577E63" w14:textId="77777777" w:rsidR="007D0D25" w:rsidRDefault="007D0D25">
            <w:pPr>
              <w:jc w:val="center"/>
              <w:rPr>
                <w:rFonts w:ascii="Cambria" w:hAnsi="Cambria" w:cs="Arial"/>
                <w:b/>
                <w:bCs/>
                <w:color w:val="000000"/>
                <w:sz w:val="18"/>
                <w:szCs w:val="18"/>
              </w:rPr>
            </w:pPr>
            <w:r>
              <w:rPr>
                <w:rFonts w:ascii="Cambria" w:hAnsi="Cambria"/>
                <w:b/>
                <w:color w:val="000000"/>
                <w:sz w:val="18"/>
              </w:rPr>
              <w:t xml:space="preserve">1er janvier 2021 - </w:t>
            </w:r>
            <w:r>
              <w:rPr>
                <w:rFonts w:ascii="Cambria" w:hAnsi="Cambria"/>
                <w:b/>
                <w:bCs/>
                <w:color w:val="000000"/>
                <w:sz w:val="18"/>
                <w:szCs w:val="18"/>
              </w:rPr>
              <w:br/>
            </w:r>
            <w:r>
              <w:rPr>
                <w:rFonts w:ascii="Cambria" w:hAnsi="Cambria"/>
                <w:b/>
                <w:color w:val="000000"/>
                <w:sz w:val="18"/>
              </w:rPr>
              <w:t>30 juin 2021</w:t>
            </w:r>
          </w:p>
        </w:tc>
        <w:tc>
          <w:tcPr>
            <w:tcW w:w="1660" w:type="dxa"/>
            <w:tcBorders>
              <w:top w:val="single" w:sz="4" w:space="0" w:color="0070C0"/>
              <w:left w:val="nil"/>
              <w:bottom w:val="single" w:sz="8" w:space="0" w:color="0070C0"/>
              <w:right w:val="nil"/>
            </w:tcBorders>
            <w:shd w:val="clear" w:color="auto" w:fill="auto"/>
            <w:vAlign w:val="bottom"/>
            <w:hideMark/>
          </w:tcPr>
          <w:p w14:paraId="75988BAE" w14:textId="77777777" w:rsidR="007D0D25" w:rsidRDefault="007D0D25">
            <w:pPr>
              <w:jc w:val="center"/>
              <w:rPr>
                <w:rFonts w:ascii="Cambria" w:hAnsi="Cambria" w:cs="Arial"/>
                <w:b/>
                <w:bCs/>
                <w:color w:val="000000"/>
                <w:sz w:val="18"/>
                <w:szCs w:val="18"/>
              </w:rPr>
            </w:pPr>
            <w:r>
              <w:rPr>
                <w:rFonts w:ascii="Cambria" w:hAnsi="Cambria"/>
                <w:b/>
                <w:color w:val="000000"/>
                <w:sz w:val="18"/>
              </w:rPr>
              <w:t xml:space="preserve">1er janvier 2020 - </w:t>
            </w:r>
            <w:r>
              <w:rPr>
                <w:rFonts w:ascii="Cambria" w:hAnsi="Cambria"/>
                <w:b/>
                <w:bCs/>
                <w:color w:val="000000"/>
                <w:sz w:val="18"/>
                <w:szCs w:val="18"/>
              </w:rPr>
              <w:br/>
            </w:r>
            <w:r>
              <w:rPr>
                <w:rFonts w:ascii="Cambria" w:hAnsi="Cambria"/>
                <w:b/>
                <w:color w:val="000000"/>
                <w:sz w:val="18"/>
              </w:rPr>
              <w:t>30 juin 2020</w:t>
            </w:r>
          </w:p>
        </w:tc>
        <w:tc>
          <w:tcPr>
            <w:tcW w:w="1660" w:type="dxa"/>
            <w:tcBorders>
              <w:top w:val="single" w:sz="4" w:space="0" w:color="0070C0"/>
              <w:left w:val="nil"/>
              <w:bottom w:val="single" w:sz="8" w:space="0" w:color="0070C0"/>
              <w:right w:val="nil"/>
            </w:tcBorders>
            <w:shd w:val="clear" w:color="auto" w:fill="auto"/>
            <w:vAlign w:val="bottom"/>
            <w:hideMark/>
          </w:tcPr>
          <w:p w14:paraId="78338BBE" w14:textId="77777777" w:rsidR="007D0D25" w:rsidRDefault="007D0D25">
            <w:pPr>
              <w:jc w:val="center"/>
              <w:rPr>
                <w:rFonts w:ascii="Cambria" w:hAnsi="Cambria" w:cs="Arial"/>
                <w:b/>
                <w:bCs/>
                <w:color w:val="000000"/>
                <w:sz w:val="18"/>
                <w:szCs w:val="18"/>
              </w:rPr>
            </w:pPr>
            <w:r>
              <w:rPr>
                <w:rFonts w:ascii="Cambria" w:hAnsi="Cambria"/>
                <w:b/>
                <w:color w:val="000000"/>
                <w:sz w:val="18"/>
              </w:rPr>
              <w:t>Variations</w:t>
            </w:r>
          </w:p>
        </w:tc>
      </w:tr>
      <w:tr w:rsidR="007D0D25" w14:paraId="2967543D" w14:textId="77777777" w:rsidTr="007D0D25">
        <w:trPr>
          <w:trHeight w:val="240"/>
        </w:trPr>
        <w:tc>
          <w:tcPr>
            <w:tcW w:w="4600" w:type="dxa"/>
            <w:tcBorders>
              <w:top w:val="nil"/>
              <w:left w:val="nil"/>
              <w:bottom w:val="nil"/>
              <w:right w:val="nil"/>
            </w:tcBorders>
            <w:shd w:val="clear" w:color="auto" w:fill="auto"/>
            <w:noWrap/>
            <w:vAlign w:val="bottom"/>
            <w:hideMark/>
          </w:tcPr>
          <w:p w14:paraId="420BB3A6" w14:textId="77777777" w:rsidR="007D0D25" w:rsidRDefault="007D0D25">
            <w:pPr>
              <w:rPr>
                <w:rFonts w:ascii="Cambria" w:hAnsi="Cambria" w:cs="Arial"/>
                <w:color w:val="000000"/>
                <w:sz w:val="18"/>
                <w:szCs w:val="18"/>
              </w:rPr>
            </w:pPr>
            <w:r>
              <w:rPr>
                <w:rFonts w:ascii="Cambria" w:hAnsi="Cambria"/>
                <w:color w:val="000000"/>
                <w:sz w:val="18"/>
              </w:rPr>
              <w:t>Charges d'intérêts bancaires</w:t>
            </w:r>
          </w:p>
        </w:tc>
        <w:tc>
          <w:tcPr>
            <w:tcW w:w="1660" w:type="dxa"/>
            <w:tcBorders>
              <w:top w:val="nil"/>
              <w:left w:val="nil"/>
              <w:bottom w:val="nil"/>
              <w:right w:val="nil"/>
            </w:tcBorders>
            <w:shd w:val="clear" w:color="auto" w:fill="auto"/>
            <w:noWrap/>
            <w:vAlign w:val="bottom"/>
            <w:hideMark/>
          </w:tcPr>
          <w:p w14:paraId="55F7B95A" w14:textId="77777777" w:rsidR="007D0D25" w:rsidRDefault="007D0D25">
            <w:pPr>
              <w:jc w:val="right"/>
              <w:rPr>
                <w:rFonts w:ascii="Cambria" w:hAnsi="Cambria" w:cs="Arial"/>
                <w:color w:val="000000"/>
                <w:sz w:val="18"/>
                <w:szCs w:val="18"/>
              </w:rPr>
            </w:pPr>
            <w:r>
              <w:rPr>
                <w:rFonts w:ascii="Cambria" w:hAnsi="Cambria"/>
                <w:color w:val="000000"/>
                <w:sz w:val="18"/>
              </w:rPr>
              <w:t>53 819</w:t>
            </w:r>
          </w:p>
        </w:tc>
        <w:tc>
          <w:tcPr>
            <w:tcW w:w="1660" w:type="dxa"/>
            <w:tcBorders>
              <w:top w:val="nil"/>
              <w:left w:val="nil"/>
              <w:bottom w:val="nil"/>
              <w:right w:val="nil"/>
            </w:tcBorders>
            <w:shd w:val="clear" w:color="auto" w:fill="auto"/>
            <w:noWrap/>
            <w:vAlign w:val="bottom"/>
            <w:hideMark/>
          </w:tcPr>
          <w:p w14:paraId="1B8E8791" w14:textId="77777777" w:rsidR="007D0D25" w:rsidRDefault="007D0D25">
            <w:pPr>
              <w:jc w:val="right"/>
              <w:rPr>
                <w:rFonts w:ascii="Cambria" w:hAnsi="Cambria" w:cs="Arial"/>
                <w:color w:val="000000"/>
                <w:sz w:val="18"/>
                <w:szCs w:val="18"/>
              </w:rPr>
            </w:pPr>
            <w:r>
              <w:rPr>
                <w:rFonts w:ascii="Cambria" w:hAnsi="Cambria"/>
                <w:color w:val="000000"/>
                <w:sz w:val="18"/>
              </w:rPr>
              <w:t>24 406</w:t>
            </w:r>
          </w:p>
        </w:tc>
        <w:tc>
          <w:tcPr>
            <w:tcW w:w="1660" w:type="dxa"/>
            <w:tcBorders>
              <w:top w:val="nil"/>
              <w:left w:val="nil"/>
              <w:bottom w:val="nil"/>
              <w:right w:val="nil"/>
            </w:tcBorders>
            <w:shd w:val="clear" w:color="auto" w:fill="auto"/>
            <w:noWrap/>
            <w:vAlign w:val="bottom"/>
            <w:hideMark/>
          </w:tcPr>
          <w:p w14:paraId="45F37F4C" w14:textId="77777777" w:rsidR="007D0D25" w:rsidRDefault="007D0D25">
            <w:pPr>
              <w:jc w:val="right"/>
              <w:rPr>
                <w:rFonts w:ascii="Cambria" w:hAnsi="Cambria" w:cs="Arial"/>
                <w:color w:val="000000"/>
                <w:sz w:val="18"/>
                <w:szCs w:val="18"/>
              </w:rPr>
            </w:pPr>
            <w:r>
              <w:rPr>
                <w:rFonts w:ascii="Cambria" w:hAnsi="Cambria"/>
                <w:color w:val="000000"/>
                <w:sz w:val="18"/>
              </w:rPr>
              <w:t>29 413</w:t>
            </w:r>
          </w:p>
        </w:tc>
      </w:tr>
      <w:tr w:rsidR="007D0D25" w14:paraId="217EED81" w14:textId="77777777" w:rsidTr="007D0D25">
        <w:trPr>
          <w:trHeight w:val="240"/>
        </w:trPr>
        <w:tc>
          <w:tcPr>
            <w:tcW w:w="4600" w:type="dxa"/>
            <w:tcBorders>
              <w:top w:val="nil"/>
              <w:left w:val="nil"/>
              <w:bottom w:val="nil"/>
              <w:right w:val="nil"/>
            </w:tcBorders>
            <w:shd w:val="clear" w:color="auto" w:fill="auto"/>
            <w:noWrap/>
            <w:vAlign w:val="bottom"/>
            <w:hideMark/>
          </w:tcPr>
          <w:p w14:paraId="7C176287" w14:textId="77777777" w:rsidR="007D0D25" w:rsidRDefault="007D0D25">
            <w:pPr>
              <w:rPr>
                <w:rFonts w:ascii="Cambria" w:hAnsi="Cambria" w:cs="Arial"/>
                <w:color w:val="000000"/>
                <w:sz w:val="18"/>
                <w:szCs w:val="18"/>
              </w:rPr>
            </w:pPr>
            <w:r>
              <w:rPr>
                <w:rFonts w:ascii="Cambria" w:hAnsi="Cambria"/>
                <w:color w:val="000000"/>
                <w:sz w:val="18"/>
              </w:rPr>
              <w:t>Pertes de change</w:t>
            </w:r>
          </w:p>
        </w:tc>
        <w:tc>
          <w:tcPr>
            <w:tcW w:w="1660" w:type="dxa"/>
            <w:tcBorders>
              <w:top w:val="nil"/>
              <w:left w:val="nil"/>
              <w:bottom w:val="nil"/>
              <w:right w:val="nil"/>
            </w:tcBorders>
            <w:shd w:val="clear" w:color="auto" w:fill="auto"/>
            <w:noWrap/>
            <w:vAlign w:val="bottom"/>
            <w:hideMark/>
          </w:tcPr>
          <w:p w14:paraId="282BC1FE" w14:textId="77777777" w:rsidR="007D0D25" w:rsidRDefault="007D0D25">
            <w:pPr>
              <w:jc w:val="right"/>
              <w:rPr>
                <w:rFonts w:ascii="Cambria" w:hAnsi="Cambria" w:cs="Arial"/>
                <w:color w:val="000000"/>
                <w:sz w:val="18"/>
                <w:szCs w:val="18"/>
              </w:rPr>
            </w:pPr>
            <w:r>
              <w:rPr>
                <w:rFonts w:ascii="Cambria" w:hAnsi="Cambria"/>
                <w:color w:val="000000"/>
                <w:sz w:val="18"/>
              </w:rPr>
              <w:t>3 772</w:t>
            </w:r>
          </w:p>
        </w:tc>
        <w:tc>
          <w:tcPr>
            <w:tcW w:w="1660" w:type="dxa"/>
            <w:tcBorders>
              <w:top w:val="nil"/>
              <w:left w:val="nil"/>
              <w:bottom w:val="nil"/>
              <w:right w:val="nil"/>
            </w:tcBorders>
            <w:shd w:val="clear" w:color="auto" w:fill="auto"/>
            <w:noWrap/>
            <w:vAlign w:val="bottom"/>
            <w:hideMark/>
          </w:tcPr>
          <w:p w14:paraId="31BDE4F2" w14:textId="77777777" w:rsidR="007D0D25" w:rsidRDefault="007D0D25">
            <w:pPr>
              <w:jc w:val="right"/>
              <w:rPr>
                <w:rFonts w:ascii="Cambria" w:hAnsi="Cambria" w:cs="Arial"/>
                <w:color w:val="000000"/>
                <w:sz w:val="18"/>
                <w:szCs w:val="18"/>
              </w:rPr>
            </w:pPr>
            <w:r>
              <w:rPr>
                <w:rFonts w:ascii="Cambria" w:hAnsi="Cambria"/>
                <w:color w:val="000000"/>
                <w:sz w:val="18"/>
              </w:rPr>
              <w:t>303</w:t>
            </w:r>
          </w:p>
        </w:tc>
        <w:tc>
          <w:tcPr>
            <w:tcW w:w="1660" w:type="dxa"/>
            <w:tcBorders>
              <w:top w:val="nil"/>
              <w:left w:val="nil"/>
              <w:bottom w:val="nil"/>
              <w:right w:val="nil"/>
            </w:tcBorders>
            <w:shd w:val="clear" w:color="auto" w:fill="auto"/>
            <w:noWrap/>
            <w:vAlign w:val="bottom"/>
            <w:hideMark/>
          </w:tcPr>
          <w:p w14:paraId="5D04F02E" w14:textId="77777777" w:rsidR="007D0D25" w:rsidRDefault="007D0D25">
            <w:pPr>
              <w:jc w:val="right"/>
              <w:rPr>
                <w:rFonts w:ascii="Cambria" w:hAnsi="Cambria" w:cs="Arial"/>
                <w:color w:val="000000"/>
                <w:sz w:val="18"/>
                <w:szCs w:val="18"/>
              </w:rPr>
            </w:pPr>
            <w:r>
              <w:rPr>
                <w:rFonts w:ascii="Cambria" w:hAnsi="Cambria"/>
                <w:color w:val="000000"/>
                <w:sz w:val="18"/>
              </w:rPr>
              <w:t>3 469</w:t>
            </w:r>
          </w:p>
        </w:tc>
      </w:tr>
      <w:tr w:rsidR="007D0D25" w14:paraId="124CB0DA" w14:textId="77777777" w:rsidTr="007D0D25">
        <w:trPr>
          <w:trHeight w:val="240"/>
        </w:trPr>
        <w:tc>
          <w:tcPr>
            <w:tcW w:w="4600" w:type="dxa"/>
            <w:tcBorders>
              <w:top w:val="nil"/>
              <w:left w:val="nil"/>
              <w:bottom w:val="nil"/>
              <w:right w:val="nil"/>
            </w:tcBorders>
            <w:shd w:val="clear" w:color="auto" w:fill="auto"/>
            <w:noWrap/>
            <w:vAlign w:val="bottom"/>
            <w:hideMark/>
          </w:tcPr>
          <w:p w14:paraId="1D6A2AB5" w14:textId="77777777" w:rsidR="007D0D25" w:rsidRDefault="007D0D25">
            <w:pPr>
              <w:rPr>
                <w:rFonts w:ascii="Cambria" w:hAnsi="Cambria" w:cs="Arial"/>
                <w:color w:val="000000"/>
                <w:sz w:val="18"/>
                <w:szCs w:val="18"/>
              </w:rPr>
            </w:pPr>
            <w:r>
              <w:rPr>
                <w:rFonts w:ascii="Cambria" w:hAnsi="Cambria"/>
                <w:color w:val="000000"/>
                <w:sz w:val="18"/>
              </w:rPr>
              <w:t>Charges d'intérêts sur les contrats de location</w:t>
            </w:r>
          </w:p>
        </w:tc>
        <w:tc>
          <w:tcPr>
            <w:tcW w:w="1660" w:type="dxa"/>
            <w:tcBorders>
              <w:top w:val="nil"/>
              <w:left w:val="nil"/>
              <w:bottom w:val="nil"/>
              <w:right w:val="nil"/>
            </w:tcBorders>
            <w:shd w:val="clear" w:color="auto" w:fill="auto"/>
            <w:noWrap/>
            <w:vAlign w:val="bottom"/>
            <w:hideMark/>
          </w:tcPr>
          <w:p w14:paraId="0CF5281D" w14:textId="77777777" w:rsidR="007D0D25" w:rsidRDefault="007D0D25">
            <w:pPr>
              <w:jc w:val="right"/>
              <w:rPr>
                <w:rFonts w:ascii="Cambria" w:hAnsi="Cambria" w:cs="Arial"/>
                <w:color w:val="000000"/>
                <w:sz w:val="18"/>
                <w:szCs w:val="18"/>
              </w:rPr>
            </w:pPr>
            <w:r>
              <w:rPr>
                <w:rFonts w:ascii="Cambria" w:hAnsi="Cambria"/>
                <w:color w:val="000000"/>
                <w:sz w:val="18"/>
              </w:rPr>
              <w:t>97 661</w:t>
            </w:r>
          </w:p>
        </w:tc>
        <w:tc>
          <w:tcPr>
            <w:tcW w:w="1660" w:type="dxa"/>
            <w:tcBorders>
              <w:top w:val="nil"/>
              <w:left w:val="nil"/>
              <w:bottom w:val="nil"/>
              <w:right w:val="nil"/>
            </w:tcBorders>
            <w:shd w:val="clear" w:color="auto" w:fill="auto"/>
            <w:noWrap/>
            <w:vAlign w:val="bottom"/>
            <w:hideMark/>
          </w:tcPr>
          <w:p w14:paraId="3410A984" w14:textId="77777777" w:rsidR="007D0D25" w:rsidRDefault="007D0D25">
            <w:pPr>
              <w:jc w:val="right"/>
              <w:rPr>
                <w:rFonts w:ascii="Cambria" w:hAnsi="Cambria" w:cs="Arial"/>
                <w:color w:val="000000"/>
                <w:sz w:val="18"/>
                <w:szCs w:val="18"/>
              </w:rPr>
            </w:pPr>
            <w:r>
              <w:rPr>
                <w:rFonts w:ascii="Cambria" w:hAnsi="Cambria"/>
                <w:color w:val="000000"/>
                <w:sz w:val="18"/>
              </w:rPr>
              <w:t>80 072</w:t>
            </w:r>
          </w:p>
        </w:tc>
        <w:tc>
          <w:tcPr>
            <w:tcW w:w="1660" w:type="dxa"/>
            <w:tcBorders>
              <w:top w:val="nil"/>
              <w:left w:val="nil"/>
              <w:bottom w:val="nil"/>
              <w:right w:val="nil"/>
            </w:tcBorders>
            <w:shd w:val="clear" w:color="auto" w:fill="auto"/>
            <w:noWrap/>
            <w:vAlign w:val="bottom"/>
            <w:hideMark/>
          </w:tcPr>
          <w:p w14:paraId="7E4403A4" w14:textId="77777777" w:rsidR="007D0D25" w:rsidRDefault="007D0D25">
            <w:pPr>
              <w:jc w:val="right"/>
              <w:rPr>
                <w:rFonts w:ascii="Cambria" w:hAnsi="Cambria" w:cs="Arial"/>
                <w:color w:val="000000"/>
                <w:sz w:val="18"/>
                <w:szCs w:val="18"/>
              </w:rPr>
            </w:pPr>
            <w:r>
              <w:rPr>
                <w:rFonts w:ascii="Cambria" w:hAnsi="Cambria"/>
                <w:color w:val="000000"/>
                <w:sz w:val="18"/>
              </w:rPr>
              <w:t>17 589</w:t>
            </w:r>
          </w:p>
        </w:tc>
      </w:tr>
      <w:tr w:rsidR="007D0D25" w14:paraId="600C1B95" w14:textId="77777777" w:rsidTr="007D0D25">
        <w:trPr>
          <w:trHeight w:val="240"/>
        </w:trPr>
        <w:tc>
          <w:tcPr>
            <w:tcW w:w="4600" w:type="dxa"/>
            <w:tcBorders>
              <w:top w:val="nil"/>
              <w:left w:val="nil"/>
              <w:bottom w:val="nil"/>
              <w:right w:val="nil"/>
            </w:tcBorders>
            <w:shd w:val="clear" w:color="auto" w:fill="auto"/>
            <w:noWrap/>
            <w:vAlign w:val="bottom"/>
            <w:hideMark/>
          </w:tcPr>
          <w:p w14:paraId="232961DB" w14:textId="77777777" w:rsidR="007D0D25" w:rsidRDefault="007D0D25">
            <w:pPr>
              <w:rPr>
                <w:rFonts w:ascii="Cambria" w:hAnsi="Cambria" w:cs="Arial"/>
                <w:color w:val="000000"/>
                <w:sz w:val="18"/>
                <w:szCs w:val="18"/>
              </w:rPr>
            </w:pPr>
            <w:r>
              <w:rPr>
                <w:rFonts w:ascii="Cambria" w:hAnsi="Cambria"/>
                <w:color w:val="000000"/>
                <w:sz w:val="18"/>
              </w:rPr>
              <w:t>Autres charges financières</w:t>
            </w:r>
          </w:p>
        </w:tc>
        <w:tc>
          <w:tcPr>
            <w:tcW w:w="1660" w:type="dxa"/>
            <w:tcBorders>
              <w:top w:val="nil"/>
              <w:left w:val="nil"/>
              <w:bottom w:val="nil"/>
              <w:right w:val="nil"/>
            </w:tcBorders>
            <w:shd w:val="clear" w:color="auto" w:fill="auto"/>
            <w:noWrap/>
            <w:vAlign w:val="bottom"/>
            <w:hideMark/>
          </w:tcPr>
          <w:p w14:paraId="059BCD0D" w14:textId="77777777" w:rsidR="007D0D25" w:rsidRDefault="007D0D25">
            <w:pPr>
              <w:jc w:val="right"/>
              <w:rPr>
                <w:rFonts w:ascii="Cambria" w:hAnsi="Cambria" w:cs="Arial"/>
                <w:color w:val="000000"/>
                <w:sz w:val="18"/>
                <w:szCs w:val="18"/>
              </w:rPr>
            </w:pPr>
            <w:r>
              <w:rPr>
                <w:rFonts w:ascii="Cambria" w:hAnsi="Cambria"/>
                <w:color w:val="000000"/>
                <w:sz w:val="18"/>
              </w:rPr>
              <w:t>1 187</w:t>
            </w:r>
          </w:p>
        </w:tc>
        <w:tc>
          <w:tcPr>
            <w:tcW w:w="1660" w:type="dxa"/>
            <w:tcBorders>
              <w:top w:val="nil"/>
              <w:left w:val="nil"/>
              <w:bottom w:val="nil"/>
              <w:right w:val="nil"/>
            </w:tcBorders>
            <w:shd w:val="clear" w:color="auto" w:fill="auto"/>
            <w:noWrap/>
            <w:vAlign w:val="bottom"/>
            <w:hideMark/>
          </w:tcPr>
          <w:p w14:paraId="451631EE" w14:textId="77777777" w:rsidR="007D0D25" w:rsidRDefault="007D0D25">
            <w:pPr>
              <w:jc w:val="right"/>
              <w:rPr>
                <w:rFonts w:ascii="Cambria" w:hAnsi="Cambria" w:cs="Arial"/>
                <w:color w:val="000000"/>
                <w:sz w:val="18"/>
                <w:szCs w:val="18"/>
              </w:rPr>
            </w:pPr>
            <w:r>
              <w:rPr>
                <w:rFonts w:ascii="Cambria" w:hAnsi="Cambria"/>
                <w:color w:val="000000"/>
                <w:sz w:val="18"/>
              </w:rPr>
              <w:t>35</w:t>
            </w:r>
          </w:p>
        </w:tc>
        <w:tc>
          <w:tcPr>
            <w:tcW w:w="1660" w:type="dxa"/>
            <w:tcBorders>
              <w:top w:val="nil"/>
              <w:left w:val="nil"/>
              <w:bottom w:val="nil"/>
              <w:right w:val="nil"/>
            </w:tcBorders>
            <w:shd w:val="clear" w:color="auto" w:fill="auto"/>
            <w:noWrap/>
            <w:vAlign w:val="bottom"/>
            <w:hideMark/>
          </w:tcPr>
          <w:p w14:paraId="7F8658DD" w14:textId="77777777" w:rsidR="007D0D25" w:rsidRDefault="007D0D25">
            <w:pPr>
              <w:jc w:val="right"/>
              <w:rPr>
                <w:rFonts w:ascii="Cambria" w:hAnsi="Cambria" w:cs="Arial"/>
                <w:color w:val="000000"/>
                <w:sz w:val="18"/>
                <w:szCs w:val="18"/>
              </w:rPr>
            </w:pPr>
            <w:r>
              <w:rPr>
                <w:rFonts w:ascii="Cambria" w:hAnsi="Cambria"/>
                <w:color w:val="000000"/>
                <w:sz w:val="18"/>
              </w:rPr>
              <w:t>1 152</w:t>
            </w:r>
          </w:p>
        </w:tc>
      </w:tr>
      <w:tr w:rsidR="007D0D25" w14:paraId="70D12FBB" w14:textId="77777777" w:rsidTr="007D0D25">
        <w:trPr>
          <w:trHeight w:val="240"/>
        </w:trPr>
        <w:tc>
          <w:tcPr>
            <w:tcW w:w="4600" w:type="dxa"/>
            <w:tcBorders>
              <w:top w:val="nil"/>
              <w:left w:val="nil"/>
              <w:bottom w:val="nil"/>
              <w:right w:val="nil"/>
            </w:tcBorders>
            <w:shd w:val="clear" w:color="auto" w:fill="auto"/>
            <w:noWrap/>
            <w:vAlign w:val="bottom"/>
            <w:hideMark/>
          </w:tcPr>
          <w:p w14:paraId="4B8B025D" w14:textId="77777777" w:rsidR="007D0D25" w:rsidRDefault="007D0D25">
            <w:pPr>
              <w:rPr>
                <w:rFonts w:ascii="Cambria" w:hAnsi="Cambria" w:cs="Arial"/>
                <w:color w:val="000000"/>
                <w:sz w:val="18"/>
                <w:szCs w:val="18"/>
              </w:rPr>
            </w:pPr>
            <w:r>
              <w:rPr>
                <w:rFonts w:ascii="Cambria" w:hAnsi="Cambria"/>
                <w:color w:val="000000"/>
                <w:sz w:val="18"/>
              </w:rPr>
              <w:t>Réduction de valeur des titres de participation à court terme</w:t>
            </w:r>
          </w:p>
        </w:tc>
        <w:tc>
          <w:tcPr>
            <w:tcW w:w="1660" w:type="dxa"/>
            <w:tcBorders>
              <w:top w:val="nil"/>
              <w:left w:val="nil"/>
              <w:bottom w:val="nil"/>
              <w:right w:val="nil"/>
            </w:tcBorders>
            <w:shd w:val="clear" w:color="auto" w:fill="auto"/>
            <w:noWrap/>
            <w:vAlign w:val="bottom"/>
            <w:hideMark/>
          </w:tcPr>
          <w:p w14:paraId="2EE67E75" w14:textId="77777777" w:rsidR="007D0D25" w:rsidRDefault="007D0D25">
            <w:pPr>
              <w:jc w:val="right"/>
              <w:rPr>
                <w:rFonts w:ascii="Cambria" w:hAnsi="Cambria" w:cs="Arial"/>
                <w:color w:val="000000"/>
                <w:sz w:val="18"/>
                <w:szCs w:val="18"/>
              </w:rPr>
            </w:pPr>
            <w:r>
              <w:rPr>
                <w:rFonts w:ascii="Cambria" w:hAnsi="Cambria"/>
                <w:color w:val="000000"/>
                <w:sz w:val="18"/>
              </w:rPr>
              <w:t>0</w:t>
            </w:r>
          </w:p>
        </w:tc>
        <w:tc>
          <w:tcPr>
            <w:tcW w:w="1660" w:type="dxa"/>
            <w:tcBorders>
              <w:top w:val="nil"/>
              <w:left w:val="nil"/>
              <w:bottom w:val="nil"/>
              <w:right w:val="nil"/>
            </w:tcBorders>
            <w:shd w:val="clear" w:color="auto" w:fill="auto"/>
            <w:noWrap/>
            <w:vAlign w:val="bottom"/>
            <w:hideMark/>
          </w:tcPr>
          <w:p w14:paraId="5B8E0BB8" w14:textId="77777777" w:rsidR="007D0D25" w:rsidRDefault="007D0D25">
            <w:pPr>
              <w:jc w:val="right"/>
              <w:rPr>
                <w:rFonts w:ascii="Cambria" w:hAnsi="Cambria" w:cs="Arial"/>
                <w:color w:val="000000"/>
                <w:sz w:val="18"/>
                <w:szCs w:val="18"/>
              </w:rPr>
            </w:pPr>
            <w:r>
              <w:rPr>
                <w:rFonts w:ascii="Cambria" w:hAnsi="Cambria"/>
                <w:color w:val="000000"/>
                <w:sz w:val="18"/>
              </w:rPr>
              <w:t>51 789</w:t>
            </w:r>
          </w:p>
        </w:tc>
        <w:tc>
          <w:tcPr>
            <w:tcW w:w="1660" w:type="dxa"/>
            <w:tcBorders>
              <w:top w:val="nil"/>
              <w:left w:val="nil"/>
              <w:bottom w:val="nil"/>
              <w:right w:val="nil"/>
            </w:tcBorders>
            <w:shd w:val="clear" w:color="auto" w:fill="auto"/>
            <w:noWrap/>
            <w:vAlign w:val="bottom"/>
            <w:hideMark/>
          </w:tcPr>
          <w:p w14:paraId="73647B0A" w14:textId="77777777" w:rsidR="007D0D25" w:rsidRDefault="007D0D25">
            <w:pPr>
              <w:jc w:val="right"/>
              <w:rPr>
                <w:rFonts w:ascii="Cambria" w:hAnsi="Cambria" w:cs="Arial"/>
                <w:color w:val="000000"/>
                <w:sz w:val="18"/>
                <w:szCs w:val="18"/>
              </w:rPr>
            </w:pPr>
            <w:r>
              <w:rPr>
                <w:rFonts w:ascii="Cambria" w:hAnsi="Cambria"/>
                <w:color w:val="000000"/>
                <w:sz w:val="18"/>
              </w:rPr>
              <w:t>(51 789)</w:t>
            </w:r>
          </w:p>
        </w:tc>
      </w:tr>
      <w:tr w:rsidR="007D0D25" w14:paraId="0795C393" w14:textId="77777777" w:rsidTr="007D0D25">
        <w:trPr>
          <w:trHeight w:val="240"/>
        </w:trPr>
        <w:tc>
          <w:tcPr>
            <w:tcW w:w="4600" w:type="dxa"/>
            <w:tcBorders>
              <w:top w:val="nil"/>
              <w:left w:val="nil"/>
              <w:bottom w:val="nil"/>
              <w:right w:val="nil"/>
            </w:tcBorders>
            <w:shd w:val="clear" w:color="auto" w:fill="auto"/>
            <w:noWrap/>
            <w:vAlign w:val="bottom"/>
            <w:hideMark/>
          </w:tcPr>
          <w:p w14:paraId="242117F0" w14:textId="77777777" w:rsidR="007D0D25" w:rsidRDefault="007D0D25">
            <w:pPr>
              <w:rPr>
                <w:rFonts w:ascii="Cambria" w:hAnsi="Cambria" w:cs="Arial"/>
                <w:color w:val="000000"/>
                <w:sz w:val="18"/>
                <w:szCs w:val="18"/>
              </w:rPr>
            </w:pPr>
            <w:r>
              <w:rPr>
                <w:rFonts w:ascii="Cambria" w:hAnsi="Cambria"/>
                <w:color w:val="000000"/>
                <w:sz w:val="18"/>
              </w:rPr>
              <w:t>Fluctuation des taux de change</w:t>
            </w:r>
          </w:p>
        </w:tc>
        <w:tc>
          <w:tcPr>
            <w:tcW w:w="1660" w:type="dxa"/>
            <w:tcBorders>
              <w:top w:val="nil"/>
              <w:left w:val="nil"/>
              <w:bottom w:val="nil"/>
              <w:right w:val="nil"/>
            </w:tcBorders>
            <w:shd w:val="clear" w:color="auto" w:fill="auto"/>
            <w:noWrap/>
            <w:vAlign w:val="bottom"/>
            <w:hideMark/>
          </w:tcPr>
          <w:p w14:paraId="24A02788" w14:textId="77777777" w:rsidR="007D0D25" w:rsidRDefault="007D0D25">
            <w:pPr>
              <w:jc w:val="right"/>
              <w:rPr>
                <w:rFonts w:ascii="Cambria" w:hAnsi="Cambria" w:cs="Arial"/>
                <w:color w:val="000000"/>
                <w:sz w:val="18"/>
                <w:szCs w:val="18"/>
              </w:rPr>
            </w:pPr>
            <w:r>
              <w:rPr>
                <w:rFonts w:ascii="Cambria" w:hAnsi="Cambria"/>
                <w:color w:val="000000"/>
                <w:sz w:val="18"/>
              </w:rPr>
              <w:t>89 746</w:t>
            </w:r>
          </w:p>
        </w:tc>
        <w:tc>
          <w:tcPr>
            <w:tcW w:w="1660" w:type="dxa"/>
            <w:tcBorders>
              <w:top w:val="nil"/>
              <w:left w:val="nil"/>
              <w:bottom w:val="nil"/>
              <w:right w:val="nil"/>
            </w:tcBorders>
            <w:shd w:val="clear" w:color="auto" w:fill="auto"/>
            <w:noWrap/>
            <w:vAlign w:val="bottom"/>
            <w:hideMark/>
          </w:tcPr>
          <w:p w14:paraId="2F1961FA" w14:textId="77777777" w:rsidR="007D0D25" w:rsidRDefault="007D0D25">
            <w:pPr>
              <w:jc w:val="right"/>
              <w:rPr>
                <w:rFonts w:ascii="Cambria" w:hAnsi="Cambria" w:cs="Arial"/>
                <w:color w:val="000000"/>
                <w:sz w:val="18"/>
                <w:szCs w:val="18"/>
              </w:rPr>
            </w:pPr>
            <w:r>
              <w:rPr>
                <w:rFonts w:ascii="Cambria" w:hAnsi="Cambria"/>
                <w:color w:val="000000"/>
                <w:sz w:val="18"/>
              </w:rPr>
              <w:t>24 954</w:t>
            </w:r>
          </w:p>
        </w:tc>
        <w:tc>
          <w:tcPr>
            <w:tcW w:w="1660" w:type="dxa"/>
            <w:tcBorders>
              <w:top w:val="nil"/>
              <w:left w:val="nil"/>
              <w:bottom w:val="nil"/>
              <w:right w:val="nil"/>
            </w:tcBorders>
            <w:shd w:val="clear" w:color="auto" w:fill="auto"/>
            <w:noWrap/>
            <w:vAlign w:val="bottom"/>
            <w:hideMark/>
          </w:tcPr>
          <w:p w14:paraId="7BD077ED" w14:textId="77777777" w:rsidR="007D0D25" w:rsidRDefault="007D0D25">
            <w:pPr>
              <w:jc w:val="right"/>
              <w:rPr>
                <w:rFonts w:ascii="Cambria" w:hAnsi="Cambria" w:cs="Arial"/>
                <w:color w:val="000000"/>
                <w:sz w:val="18"/>
                <w:szCs w:val="18"/>
              </w:rPr>
            </w:pPr>
            <w:r>
              <w:rPr>
                <w:rFonts w:ascii="Cambria" w:hAnsi="Cambria"/>
                <w:color w:val="000000"/>
                <w:sz w:val="18"/>
              </w:rPr>
              <w:t>64 792</w:t>
            </w:r>
          </w:p>
        </w:tc>
      </w:tr>
      <w:tr w:rsidR="007D0D25" w14:paraId="0D9580F6" w14:textId="77777777" w:rsidTr="007D0D25">
        <w:trPr>
          <w:trHeight w:val="255"/>
        </w:trPr>
        <w:tc>
          <w:tcPr>
            <w:tcW w:w="4600" w:type="dxa"/>
            <w:tcBorders>
              <w:top w:val="nil"/>
              <w:left w:val="nil"/>
              <w:bottom w:val="nil"/>
              <w:right w:val="nil"/>
            </w:tcBorders>
            <w:shd w:val="clear" w:color="auto" w:fill="auto"/>
            <w:noWrap/>
            <w:vAlign w:val="bottom"/>
            <w:hideMark/>
          </w:tcPr>
          <w:p w14:paraId="177C9747" w14:textId="77777777" w:rsidR="007D0D25" w:rsidRDefault="007D0D25">
            <w:pPr>
              <w:rPr>
                <w:rFonts w:ascii="Cambria" w:hAnsi="Cambria" w:cs="Arial"/>
                <w:b/>
                <w:bCs/>
                <w:color w:val="000000"/>
                <w:sz w:val="18"/>
                <w:szCs w:val="18"/>
              </w:rPr>
            </w:pPr>
            <w:r>
              <w:rPr>
                <w:rFonts w:ascii="Cambria" w:hAnsi="Cambria"/>
                <w:b/>
                <w:color w:val="000000"/>
                <w:sz w:val="18"/>
              </w:rPr>
              <w:t>Total Charges financières</w:t>
            </w:r>
          </w:p>
        </w:tc>
        <w:tc>
          <w:tcPr>
            <w:tcW w:w="1660" w:type="dxa"/>
            <w:tcBorders>
              <w:top w:val="single" w:sz="4" w:space="0" w:color="auto"/>
              <w:left w:val="nil"/>
              <w:bottom w:val="single" w:sz="8" w:space="0" w:color="auto"/>
              <w:right w:val="nil"/>
            </w:tcBorders>
            <w:shd w:val="clear" w:color="auto" w:fill="auto"/>
            <w:noWrap/>
            <w:vAlign w:val="bottom"/>
            <w:hideMark/>
          </w:tcPr>
          <w:p w14:paraId="21C42D1A" w14:textId="77777777" w:rsidR="007D0D25" w:rsidRDefault="007D0D25">
            <w:pPr>
              <w:jc w:val="right"/>
              <w:rPr>
                <w:rFonts w:ascii="Cambria" w:hAnsi="Cambria" w:cs="Arial"/>
                <w:b/>
                <w:bCs/>
                <w:color w:val="000000"/>
                <w:sz w:val="18"/>
                <w:szCs w:val="18"/>
              </w:rPr>
            </w:pPr>
            <w:r>
              <w:rPr>
                <w:rFonts w:ascii="Cambria" w:hAnsi="Cambria"/>
                <w:b/>
                <w:color w:val="000000"/>
                <w:sz w:val="18"/>
              </w:rPr>
              <w:t>246 184</w:t>
            </w:r>
          </w:p>
        </w:tc>
        <w:tc>
          <w:tcPr>
            <w:tcW w:w="1660" w:type="dxa"/>
            <w:tcBorders>
              <w:top w:val="single" w:sz="4" w:space="0" w:color="auto"/>
              <w:left w:val="nil"/>
              <w:bottom w:val="single" w:sz="8" w:space="0" w:color="auto"/>
              <w:right w:val="nil"/>
            </w:tcBorders>
            <w:shd w:val="clear" w:color="auto" w:fill="auto"/>
            <w:noWrap/>
            <w:vAlign w:val="bottom"/>
            <w:hideMark/>
          </w:tcPr>
          <w:p w14:paraId="7E02FBA9" w14:textId="77777777" w:rsidR="007D0D25" w:rsidRDefault="007D0D25">
            <w:pPr>
              <w:jc w:val="right"/>
              <w:rPr>
                <w:rFonts w:ascii="Cambria" w:hAnsi="Cambria" w:cs="Arial"/>
                <w:b/>
                <w:bCs/>
                <w:color w:val="000000"/>
                <w:sz w:val="18"/>
                <w:szCs w:val="18"/>
              </w:rPr>
            </w:pPr>
            <w:r>
              <w:rPr>
                <w:rFonts w:ascii="Cambria" w:hAnsi="Cambria"/>
                <w:b/>
                <w:color w:val="000000"/>
                <w:sz w:val="18"/>
              </w:rPr>
              <w:t>181 558</w:t>
            </w:r>
          </w:p>
        </w:tc>
        <w:tc>
          <w:tcPr>
            <w:tcW w:w="1660" w:type="dxa"/>
            <w:tcBorders>
              <w:top w:val="single" w:sz="4" w:space="0" w:color="auto"/>
              <w:left w:val="nil"/>
              <w:bottom w:val="single" w:sz="8" w:space="0" w:color="auto"/>
              <w:right w:val="nil"/>
            </w:tcBorders>
            <w:shd w:val="clear" w:color="auto" w:fill="auto"/>
            <w:noWrap/>
            <w:vAlign w:val="bottom"/>
            <w:hideMark/>
          </w:tcPr>
          <w:p w14:paraId="537D6B98" w14:textId="77777777" w:rsidR="007D0D25" w:rsidRDefault="007D0D25">
            <w:pPr>
              <w:jc w:val="right"/>
              <w:rPr>
                <w:rFonts w:ascii="Cambria" w:hAnsi="Cambria" w:cs="Arial"/>
                <w:b/>
                <w:bCs/>
                <w:color w:val="000000"/>
                <w:sz w:val="18"/>
                <w:szCs w:val="18"/>
              </w:rPr>
            </w:pPr>
            <w:r>
              <w:rPr>
                <w:rFonts w:ascii="Cambria" w:hAnsi="Cambria"/>
                <w:b/>
                <w:color w:val="000000"/>
                <w:sz w:val="18"/>
              </w:rPr>
              <w:t>64 626</w:t>
            </w:r>
          </w:p>
        </w:tc>
      </w:tr>
    </w:tbl>
    <w:p w14:paraId="35F3347A" w14:textId="4BFC168C" w:rsidR="007015DE" w:rsidRDefault="007015DE" w:rsidP="00E16D12">
      <w:pPr>
        <w:spacing w:after="200" w:line="276" w:lineRule="auto"/>
        <w:jc w:val="both"/>
        <w:rPr>
          <w:rFonts w:ascii="Cambria" w:hAnsi="Cambria"/>
          <w:sz w:val="22"/>
          <w:szCs w:val="22"/>
        </w:rPr>
      </w:pPr>
    </w:p>
    <w:p w14:paraId="60F302A7" w14:textId="59FAAF8E" w:rsidR="00E16D12" w:rsidRDefault="000F25E4" w:rsidP="00E16D12">
      <w:pPr>
        <w:spacing w:after="200" w:line="276" w:lineRule="auto"/>
        <w:jc w:val="both"/>
        <w:rPr>
          <w:rFonts w:ascii="Cambria" w:hAnsi="Cambria"/>
          <w:sz w:val="22"/>
          <w:szCs w:val="22"/>
        </w:rPr>
      </w:pPr>
      <w:r>
        <w:rPr>
          <w:rFonts w:ascii="Cambria" w:hAnsi="Cambria"/>
          <w:sz w:val="22"/>
        </w:rPr>
        <w:t>L'augmentation du poste par rapport à l'année précédente, égale à 65 000 euros, est principalement due aux charges d'intérêts sur les hypothèques/prêts, aux charges d'intérêts sur les contrats de leasing et aux pertes résultant des fluctuations des taux de change.</w:t>
      </w:r>
    </w:p>
    <w:p w14:paraId="73275073" w14:textId="77777777" w:rsidR="00422415" w:rsidRPr="00C17031" w:rsidRDefault="00422415" w:rsidP="00E16D12">
      <w:pPr>
        <w:spacing w:after="200" w:line="276" w:lineRule="auto"/>
        <w:jc w:val="both"/>
        <w:rPr>
          <w:rFonts w:ascii="Cambria" w:hAnsi="Cambria"/>
          <w:sz w:val="22"/>
          <w:szCs w:val="22"/>
        </w:rPr>
      </w:pPr>
    </w:p>
    <w:p w14:paraId="65B9B2C8" w14:textId="77777777" w:rsidR="00E16D12" w:rsidRPr="007925F0" w:rsidRDefault="00E16D12" w:rsidP="00E16D12">
      <w:pPr>
        <w:pStyle w:val="Titolo2"/>
        <w:numPr>
          <w:ilvl w:val="0"/>
          <w:numId w:val="6"/>
        </w:numPr>
        <w:spacing w:line="240" w:lineRule="auto"/>
        <w:ind w:left="357" w:right="0" w:hanging="357"/>
        <w:jc w:val="left"/>
        <w:rPr>
          <w:i w:val="0"/>
        </w:rPr>
      </w:pPr>
      <w:bookmarkStart w:id="163" w:name="_Toc112768695"/>
      <w:r>
        <w:rPr>
          <w:i w:val="0"/>
        </w:rPr>
        <w:t>Produits financiers</w:t>
      </w:r>
      <w:bookmarkEnd w:id="163"/>
    </w:p>
    <w:p w14:paraId="200C9500" w14:textId="77777777" w:rsidR="00E16D12" w:rsidRPr="00C17031" w:rsidRDefault="00E16D12" w:rsidP="00E16D12">
      <w:pPr>
        <w:rPr>
          <w:rFonts w:ascii="Cambria" w:hAnsi="Cambria"/>
          <w:highlight w:val="green"/>
        </w:rPr>
      </w:pPr>
    </w:p>
    <w:p w14:paraId="1DBCDB85" w14:textId="7594ECDF" w:rsidR="00E16D12" w:rsidRDefault="00E16D12" w:rsidP="00E16D12">
      <w:pPr>
        <w:spacing w:after="200" w:line="276" w:lineRule="auto"/>
        <w:jc w:val="both"/>
        <w:rPr>
          <w:rFonts w:ascii="Cambria" w:hAnsi="Cambria"/>
          <w:sz w:val="22"/>
          <w:szCs w:val="22"/>
        </w:rPr>
      </w:pPr>
      <w:r>
        <w:rPr>
          <w:rFonts w:ascii="Cambria" w:hAnsi="Cambria"/>
          <w:sz w:val="22"/>
        </w:rPr>
        <w:t>La composition du poste « Produits financiers » pour la période du 1er janvier au 30 juin 2021, par rapport aux mêmes valeurs pour la période du 1er janvier au 30 juin 2020, est la suivante :</w:t>
      </w:r>
    </w:p>
    <w:tbl>
      <w:tblPr>
        <w:tblW w:w="9580" w:type="dxa"/>
        <w:tblCellMar>
          <w:left w:w="70" w:type="dxa"/>
          <w:right w:w="70" w:type="dxa"/>
        </w:tblCellMar>
        <w:tblLook w:val="04A0" w:firstRow="1" w:lastRow="0" w:firstColumn="1" w:lastColumn="0" w:noHBand="0" w:noVBand="1"/>
      </w:tblPr>
      <w:tblGrid>
        <w:gridCol w:w="4600"/>
        <w:gridCol w:w="1660"/>
        <w:gridCol w:w="1660"/>
        <w:gridCol w:w="1660"/>
      </w:tblGrid>
      <w:tr w:rsidR="0081287D" w14:paraId="419EC2E8" w14:textId="77777777" w:rsidTr="0081287D">
        <w:trPr>
          <w:trHeight w:val="495"/>
        </w:trPr>
        <w:tc>
          <w:tcPr>
            <w:tcW w:w="4600" w:type="dxa"/>
            <w:tcBorders>
              <w:top w:val="single" w:sz="4" w:space="0" w:color="0070C0"/>
              <w:left w:val="nil"/>
              <w:bottom w:val="single" w:sz="8" w:space="0" w:color="0070C0"/>
              <w:right w:val="nil"/>
            </w:tcBorders>
            <w:shd w:val="clear" w:color="auto" w:fill="auto"/>
            <w:noWrap/>
            <w:vAlign w:val="bottom"/>
            <w:hideMark/>
          </w:tcPr>
          <w:p w14:paraId="278BB389" w14:textId="77777777" w:rsidR="0081287D" w:rsidRDefault="0081287D">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660" w:type="dxa"/>
            <w:tcBorders>
              <w:top w:val="single" w:sz="4" w:space="0" w:color="0070C0"/>
              <w:left w:val="nil"/>
              <w:bottom w:val="single" w:sz="8" w:space="0" w:color="0070C0"/>
              <w:right w:val="nil"/>
            </w:tcBorders>
            <w:shd w:val="clear" w:color="auto" w:fill="auto"/>
            <w:vAlign w:val="bottom"/>
            <w:hideMark/>
          </w:tcPr>
          <w:p w14:paraId="357349AA" w14:textId="77777777" w:rsidR="0081287D" w:rsidRDefault="0081287D">
            <w:pPr>
              <w:jc w:val="center"/>
              <w:rPr>
                <w:rFonts w:ascii="Cambria" w:hAnsi="Cambria" w:cs="Arial"/>
                <w:b/>
                <w:bCs/>
                <w:color w:val="000000"/>
                <w:sz w:val="18"/>
                <w:szCs w:val="18"/>
              </w:rPr>
            </w:pPr>
            <w:r>
              <w:rPr>
                <w:rFonts w:ascii="Cambria" w:hAnsi="Cambria"/>
                <w:b/>
                <w:color w:val="000000"/>
                <w:sz w:val="18"/>
              </w:rPr>
              <w:t xml:space="preserve">1er janvier 2021 - </w:t>
            </w:r>
            <w:r>
              <w:rPr>
                <w:rFonts w:ascii="Cambria" w:hAnsi="Cambria"/>
                <w:b/>
                <w:bCs/>
                <w:color w:val="000000"/>
                <w:sz w:val="18"/>
                <w:szCs w:val="18"/>
              </w:rPr>
              <w:br/>
            </w:r>
            <w:r>
              <w:rPr>
                <w:rFonts w:ascii="Cambria" w:hAnsi="Cambria"/>
                <w:b/>
                <w:color w:val="000000"/>
                <w:sz w:val="18"/>
              </w:rPr>
              <w:t>30 juin 2021</w:t>
            </w:r>
          </w:p>
        </w:tc>
        <w:tc>
          <w:tcPr>
            <w:tcW w:w="1660" w:type="dxa"/>
            <w:tcBorders>
              <w:top w:val="single" w:sz="4" w:space="0" w:color="0070C0"/>
              <w:left w:val="nil"/>
              <w:bottom w:val="single" w:sz="8" w:space="0" w:color="0070C0"/>
              <w:right w:val="nil"/>
            </w:tcBorders>
            <w:shd w:val="clear" w:color="auto" w:fill="auto"/>
            <w:vAlign w:val="bottom"/>
            <w:hideMark/>
          </w:tcPr>
          <w:p w14:paraId="22DDCFC2" w14:textId="77777777" w:rsidR="0081287D" w:rsidRDefault="0081287D">
            <w:pPr>
              <w:jc w:val="center"/>
              <w:rPr>
                <w:rFonts w:ascii="Cambria" w:hAnsi="Cambria" w:cs="Arial"/>
                <w:b/>
                <w:bCs/>
                <w:color w:val="000000"/>
                <w:sz w:val="18"/>
                <w:szCs w:val="18"/>
              </w:rPr>
            </w:pPr>
            <w:r>
              <w:rPr>
                <w:rFonts w:ascii="Cambria" w:hAnsi="Cambria"/>
                <w:b/>
                <w:color w:val="000000"/>
                <w:sz w:val="18"/>
              </w:rPr>
              <w:t xml:space="preserve">1er janvier 2020 - </w:t>
            </w:r>
            <w:r>
              <w:rPr>
                <w:rFonts w:ascii="Cambria" w:hAnsi="Cambria"/>
                <w:b/>
                <w:bCs/>
                <w:color w:val="000000"/>
                <w:sz w:val="18"/>
                <w:szCs w:val="18"/>
              </w:rPr>
              <w:br/>
            </w:r>
            <w:r>
              <w:rPr>
                <w:rFonts w:ascii="Cambria" w:hAnsi="Cambria"/>
                <w:b/>
                <w:color w:val="000000"/>
                <w:sz w:val="18"/>
              </w:rPr>
              <w:t>30 juin 2020</w:t>
            </w:r>
          </w:p>
        </w:tc>
        <w:tc>
          <w:tcPr>
            <w:tcW w:w="1660" w:type="dxa"/>
            <w:tcBorders>
              <w:top w:val="single" w:sz="4" w:space="0" w:color="0070C0"/>
              <w:left w:val="nil"/>
              <w:bottom w:val="single" w:sz="8" w:space="0" w:color="0070C0"/>
              <w:right w:val="nil"/>
            </w:tcBorders>
            <w:shd w:val="clear" w:color="auto" w:fill="auto"/>
            <w:vAlign w:val="bottom"/>
            <w:hideMark/>
          </w:tcPr>
          <w:p w14:paraId="32780684" w14:textId="77777777" w:rsidR="0081287D" w:rsidRDefault="0081287D">
            <w:pPr>
              <w:jc w:val="center"/>
              <w:rPr>
                <w:rFonts w:ascii="Cambria" w:hAnsi="Cambria" w:cs="Arial"/>
                <w:b/>
                <w:bCs/>
                <w:color w:val="000000"/>
                <w:sz w:val="18"/>
                <w:szCs w:val="18"/>
              </w:rPr>
            </w:pPr>
            <w:r>
              <w:rPr>
                <w:rFonts w:ascii="Cambria" w:hAnsi="Cambria"/>
                <w:b/>
                <w:color w:val="000000"/>
                <w:sz w:val="18"/>
              </w:rPr>
              <w:t>Variations</w:t>
            </w:r>
          </w:p>
        </w:tc>
      </w:tr>
      <w:tr w:rsidR="0081287D" w14:paraId="21AA5FE8" w14:textId="77777777" w:rsidTr="0081287D">
        <w:trPr>
          <w:trHeight w:val="240"/>
        </w:trPr>
        <w:tc>
          <w:tcPr>
            <w:tcW w:w="4600" w:type="dxa"/>
            <w:tcBorders>
              <w:top w:val="nil"/>
              <w:left w:val="nil"/>
              <w:bottom w:val="nil"/>
              <w:right w:val="nil"/>
            </w:tcBorders>
            <w:shd w:val="clear" w:color="auto" w:fill="auto"/>
            <w:noWrap/>
            <w:vAlign w:val="bottom"/>
            <w:hideMark/>
          </w:tcPr>
          <w:p w14:paraId="5B3C3457" w14:textId="77777777" w:rsidR="0081287D" w:rsidRDefault="0081287D">
            <w:pPr>
              <w:rPr>
                <w:rFonts w:ascii="Cambria" w:hAnsi="Cambria" w:cs="Arial"/>
                <w:color w:val="000000"/>
                <w:sz w:val="18"/>
                <w:szCs w:val="18"/>
              </w:rPr>
            </w:pPr>
            <w:r>
              <w:rPr>
                <w:rFonts w:ascii="Cambria" w:hAnsi="Cambria"/>
                <w:color w:val="000000"/>
                <w:sz w:val="18"/>
              </w:rPr>
              <w:t>Bénéfices de change</w:t>
            </w:r>
          </w:p>
        </w:tc>
        <w:tc>
          <w:tcPr>
            <w:tcW w:w="1660" w:type="dxa"/>
            <w:tcBorders>
              <w:top w:val="nil"/>
              <w:left w:val="nil"/>
              <w:bottom w:val="nil"/>
              <w:right w:val="nil"/>
            </w:tcBorders>
            <w:shd w:val="clear" w:color="auto" w:fill="auto"/>
            <w:noWrap/>
            <w:vAlign w:val="bottom"/>
            <w:hideMark/>
          </w:tcPr>
          <w:p w14:paraId="2FB0E4AB" w14:textId="77777777" w:rsidR="0081287D" w:rsidRDefault="0081287D">
            <w:pPr>
              <w:jc w:val="right"/>
              <w:rPr>
                <w:rFonts w:ascii="Cambria" w:hAnsi="Cambria" w:cs="Arial"/>
                <w:color w:val="000000"/>
                <w:sz w:val="18"/>
                <w:szCs w:val="18"/>
              </w:rPr>
            </w:pPr>
            <w:r>
              <w:rPr>
                <w:rFonts w:ascii="Cambria" w:hAnsi="Cambria"/>
                <w:color w:val="000000"/>
                <w:sz w:val="18"/>
              </w:rPr>
              <w:t>236</w:t>
            </w:r>
          </w:p>
        </w:tc>
        <w:tc>
          <w:tcPr>
            <w:tcW w:w="1660" w:type="dxa"/>
            <w:tcBorders>
              <w:top w:val="nil"/>
              <w:left w:val="nil"/>
              <w:bottom w:val="nil"/>
              <w:right w:val="nil"/>
            </w:tcBorders>
            <w:shd w:val="clear" w:color="auto" w:fill="auto"/>
            <w:noWrap/>
            <w:vAlign w:val="bottom"/>
            <w:hideMark/>
          </w:tcPr>
          <w:p w14:paraId="30413FA6" w14:textId="77777777" w:rsidR="0081287D" w:rsidRDefault="0081287D">
            <w:pPr>
              <w:jc w:val="right"/>
              <w:rPr>
                <w:rFonts w:ascii="Cambria" w:hAnsi="Cambria" w:cs="Arial"/>
                <w:color w:val="000000"/>
                <w:sz w:val="18"/>
                <w:szCs w:val="18"/>
              </w:rPr>
            </w:pPr>
            <w:r>
              <w:rPr>
                <w:rFonts w:ascii="Cambria" w:hAnsi="Cambria"/>
                <w:color w:val="000000"/>
                <w:sz w:val="18"/>
              </w:rPr>
              <w:t>8 025</w:t>
            </w:r>
          </w:p>
        </w:tc>
        <w:tc>
          <w:tcPr>
            <w:tcW w:w="1660" w:type="dxa"/>
            <w:tcBorders>
              <w:top w:val="nil"/>
              <w:left w:val="nil"/>
              <w:bottom w:val="nil"/>
              <w:right w:val="nil"/>
            </w:tcBorders>
            <w:shd w:val="clear" w:color="auto" w:fill="auto"/>
            <w:noWrap/>
            <w:vAlign w:val="bottom"/>
            <w:hideMark/>
          </w:tcPr>
          <w:p w14:paraId="5233A0BD" w14:textId="77777777" w:rsidR="0081287D" w:rsidRDefault="0081287D">
            <w:pPr>
              <w:jc w:val="right"/>
              <w:rPr>
                <w:rFonts w:ascii="Cambria" w:hAnsi="Cambria" w:cs="Arial"/>
                <w:color w:val="000000"/>
                <w:sz w:val="18"/>
                <w:szCs w:val="18"/>
              </w:rPr>
            </w:pPr>
            <w:r>
              <w:rPr>
                <w:rFonts w:ascii="Cambria" w:hAnsi="Cambria"/>
                <w:color w:val="000000"/>
                <w:sz w:val="18"/>
              </w:rPr>
              <w:t>(7 789)</w:t>
            </w:r>
          </w:p>
        </w:tc>
      </w:tr>
      <w:tr w:rsidR="0081287D" w14:paraId="56A8786C" w14:textId="77777777" w:rsidTr="0081287D">
        <w:trPr>
          <w:trHeight w:val="240"/>
        </w:trPr>
        <w:tc>
          <w:tcPr>
            <w:tcW w:w="4600" w:type="dxa"/>
            <w:tcBorders>
              <w:top w:val="nil"/>
              <w:left w:val="nil"/>
              <w:bottom w:val="nil"/>
              <w:right w:val="nil"/>
            </w:tcBorders>
            <w:shd w:val="clear" w:color="auto" w:fill="auto"/>
            <w:noWrap/>
            <w:vAlign w:val="bottom"/>
            <w:hideMark/>
          </w:tcPr>
          <w:p w14:paraId="202E1AAE" w14:textId="77777777" w:rsidR="0081287D" w:rsidRDefault="0081287D">
            <w:pPr>
              <w:rPr>
                <w:rFonts w:ascii="Cambria" w:hAnsi="Cambria" w:cs="Arial"/>
                <w:color w:val="000000"/>
                <w:sz w:val="18"/>
                <w:szCs w:val="18"/>
              </w:rPr>
            </w:pPr>
            <w:r>
              <w:rPr>
                <w:rFonts w:ascii="Cambria" w:hAnsi="Cambria"/>
                <w:color w:val="000000"/>
                <w:sz w:val="18"/>
              </w:rPr>
              <w:t>Intérêts créditeurs</w:t>
            </w:r>
          </w:p>
        </w:tc>
        <w:tc>
          <w:tcPr>
            <w:tcW w:w="1660" w:type="dxa"/>
            <w:tcBorders>
              <w:top w:val="nil"/>
              <w:left w:val="nil"/>
              <w:bottom w:val="nil"/>
              <w:right w:val="nil"/>
            </w:tcBorders>
            <w:shd w:val="clear" w:color="auto" w:fill="auto"/>
            <w:noWrap/>
            <w:vAlign w:val="bottom"/>
            <w:hideMark/>
          </w:tcPr>
          <w:p w14:paraId="23C23F0F" w14:textId="77777777" w:rsidR="0081287D" w:rsidRDefault="0081287D">
            <w:pPr>
              <w:jc w:val="right"/>
              <w:rPr>
                <w:rFonts w:ascii="Cambria" w:hAnsi="Cambria" w:cs="Arial"/>
                <w:color w:val="000000"/>
                <w:sz w:val="18"/>
                <w:szCs w:val="18"/>
              </w:rPr>
            </w:pPr>
            <w:r>
              <w:rPr>
                <w:rFonts w:ascii="Cambria" w:hAnsi="Cambria"/>
                <w:color w:val="000000"/>
                <w:sz w:val="18"/>
              </w:rPr>
              <w:t>13 943</w:t>
            </w:r>
          </w:p>
        </w:tc>
        <w:tc>
          <w:tcPr>
            <w:tcW w:w="1660" w:type="dxa"/>
            <w:tcBorders>
              <w:top w:val="nil"/>
              <w:left w:val="nil"/>
              <w:bottom w:val="nil"/>
              <w:right w:val="nil"/>
            </w:tcBorders>
            <w:shd w:val="clear" w:color="auto" w:fill="auto"/>
            <w:noWrap/>
            <w:vAlign w:val="bottom"/>
            <w:hideMark/>
          </w:tcPr>
          <w:p w14:paraId="6DF9DE9D" w14:textId="77777777" w:rsidR="0081287D" w:rsidRDefault="0081287D">
            <w:pPr>
              <w:jc w:val="right"/>
              <w:rPr>
                <w:rFonts w:ascii="Cambria" w:hAnsi="Cambria" w:cs="Arial"/>
                <w:color w:val="000000"/>
                <w:sz w:val="18"/>
                <w:szCs w:val="18"/>
              </w:rPr>
            </w:pPr>
            <w:r>
              <w:rPr>
                <w:rFonts w:ascii="Cambria" w:hAnsi="Cambria"/>
                <w:color w:val="000000"/>
                <w:sz w:val="18"/>
              </w:rPr>
              <w:t>24 768</w:t>
            </w:r>
          </w:p>
        </w:tc>
        <w:tc>
          <w:tcPr>
            <w:tcW w:w="1660" w:type="dxa"/>
            <w:tcBorders>
              <w:top w:val="nil"/>
              <w:left w:val="nil"/>
              <w:bottom w:val="nil"/>
              <w:right w:val="nil"/>
            </w:tcBorders>
            <w:shd w:val="clear" w:color="auto" w:fill="auto"/>
            <w:noWrap/>
            <w:vAlign w:val="bottom"/>
            <w:hideMark/>
          </w:tcPr>
          <w:p w14:paraId="25DE27C5" w14:textId="77777777" w:rsidR="0081287D" w:rsidRDefault="0081287D">
            <w:pPr>
              <w:jc w:val="right"/>
              <w:rPr>
                <w:rFonts w:ascii="Cambria" w:hAnsi="Cambria" w:cs="Arial"/>
                <w:color w:val="000000"/>
                <w:sz w:val="18"/>
                <w:szCs w:val="18"/>
              </w:rPr>
            </w:pPr>
            <w:r>
              <w:rPr>
                <w:rFonts w:ascii="Cambria" w:hAnsi="Cambria"/>
                <w:color w:val="000000"/>
                <w:sz w:val="18"/>
              </w:rPr>
              <w:t>(10 824)</w:t>
            </w:r>
          </w:p>
        </w:tc>
      </w:tr>
      <w:tr w:rsidR="0081287D" w14:paraId="77D9BDBD" w14:textId="77777777" w:rsidTr="0081287D">
        <w:trPr>
          <w:trHeight w:val="240"/>
        </w:trPr>
        <w:tc>
          <w:tcPr>
            <w:tcW w:w="4600" w:type="dxa"/>
            <w:tcBorders>
              <w:top w:val="nil"/>
              <w:left w:val="nil"/>
              <w:bottom w:val="nil"/>
              <w:right w:val="nil"/>
            </w:tcBorders>
            <w:shd w:val="clear" w:color="auto" w:fill="auto"/>
            <w:noWrap/>
            <w:vAlign w:val="bottom"/>
            <w:hideMark/>
          </w:tcPr>
          <w:p w14:paraId="1820A87E" w14:textId="77777777" w:rsidR="0081287D" w:rsidRDefault="0081287D">
            <w:pPr>
              <w:rPr>
                <w:rFonts w:ascii="Cambria" w:hAnsi="Cambria" w:cs="Arial"/>
                <w:color w:val="000000"/>
                <w:sz w:val="18"/>
                <w:szCs w:val="18"/>
              </w:rPr>
            </w:pPr>
            <w:r>
              <w:rPr>
                <w:rFonts w:ascii="Cambria" w:hAnsi="Cambria"/>
                <w:color w:val="000000"/>
                <w:sz w:val="18"/>
              </w:rPr>
              <w:t>Bénéfices sur les fonds d'investissement</w:t>
            </w:r>
          </w:p>
        </w:tc>
        <w:tc>
          <w:tcPr>
            <w:tcW w:w="1660" w:type="dxa"/>
            <w:tcBorders>
              <w:top w:val="nil"/>
              <w:left w:val="nil"/>
              <w:bottom w:val="nil"/>
              <w:right w:val="nil"/>
            </w:tcBorders>
            <w:shd w:val="clear" w:color="auto" w:fill="auto"/>
            <w:noWrap/>
            <w:vAlign w:val="bottom"/>
            <w:hideMark/>
          </w:tcPr>
          <w:p w14:paraId="37ECBAC6" w14:textId="77777777" w:rsidR="0081287D" w:rsidRDefault="0081287D">
            <w:pPr>
              <w:jc w:val="right"/>
              <w:rPr>
                <w:rFonts w:ascii="Cambria" w:hAnsi="Cambria" w:cs="Arial"/>
                <w:color w:val="000000"/>
                <w:sz w:val="18"/>
                <w:szCs w:val="18"/>
              </w:rPr>
            </w:pPr>
            <w:r>
              <w:rPr>
                <w:rFonts w:ascii="Cambria" w:hAnsi="Cambria"/>
                <w:color w:val="000000"/>
                <w:sz w:val="18"/>
              </w:rPr>
              <w:t>0</w:t>
            </w:r>
          </w:p>
        </w:tc>
        <w:tc>
          <w:tcPr>
            <w:tcW w:w="1660" w:type="dxa"/>
            <w:tcBorders>
              <w:top w:val="nil"/>
              <w:left w:val="nil"/>
              <w:bottom w:val="nil"/>
              <w:right w:val="nil"/>
            </w:tcBorders>
            <w:shd w:val="clear" w:color="auto" w:fill="auto"/>
            <w:noWrap/>
            <w:vAlign w:val="bottom"/>
            <w:hideMark/>
          </w:tcPr>
          <w:p w14:paraId="0FC5FEF9" w14:textId="77777777" w:rsidR="0081287D" w:rsidRDefault="0081287D">
            <w:pPr>
              <w:jc w:val="right"/>
              <w:rPr>
                <w:rFonts w:ascii="Cambria" w:hAnsi="Cambria" w:cs="Arial"/>
                <w:color w:val="000000"/>
                <w:sz w:val="18"/>
                <w:szCs w:val="18"/>
              </w:rPr>
            </w:pPr>
            <w:r>
              <w:rPr>
                <w:rFonts w:ascii="Cambria" w:hAnsi="Cambria"/>
                <w:color w:val="000000"/>
                <w:sz w:val="18"/>
              </w:rPr>
              <w:t>5</w:t>
            </w:r>
          </w:p>
        </w:tc>
        <w:tc>
          <w:tcPr>
            <w:tcW w:w="1660" w:type="dxa"/>
            <w:tcBorders>
              <w:top w:val="nil"/>
              <w:left w:val="nil"/>
              <w:bottom w:val="nil"/>
              <w:right w:val="nil"/>
            </w:tcBorders>
            <w:shd w:val="clear" w:color="auto" w:fill="auto"/>
            <w:noWrap/>
            <w:vAlign w:val="bottom"/>
            <w:hideMark/>
          </w:tcPr>
          <w:p w14:paraId="39D33D0C" w14:textId="77777777" w:rsidR="0081287D" w:rsidRDefault="0081287D">
            <w:pPr>
              <w:jc w:val="right"/>
              <w:rPr>
                <w:rFonts w:ascii="Cambria" w:hAnsi="Cambria" w:cs="Arial"/>
                <w:color w:val="000000"/>
                <w:sz w:val="18"/>
                <w:szCs w:val="18"/>
              </w:rPr>
            </w:pPr>
            <w:r>
              <w:rPr>
                <w:rFonts w:ascii="Cambria" w:hAnsi="Cambria"/>
                <w:color w:val="000000"/>
                <w:sz w:val="18"/>
              </w:rPr>
              <w:t>(5)</w:t>
            </w:r>
          </w:p>
        </w:tc>
      </w:tr>
      <w:tr w:rsidR="0081287D" w14:paraId="1A56EFFD" w14:textId="77777777" w:rsidTr="0081287D">
        <w:trPr>
          <w:trHeight w:val="255"/>
        </w:trPr>
        <w:tc>
          <w:tcPr>
            <w:tcW w:w="4600" w:type="dxa"/>
            <w:tcBorders>
              <w:top w:val="nil"/>
              <w:left w:val="nil"/>
              <w:bottom w:val="nil"/>
              <w:right w:val="nil"/>
            </w:tcBorders>
            <w:shd w:val="clear" w:color="auto" w:fill="auto"/>
            <w:noWrap/>
            <w:vAlign w:val="bottom"/>
            <w:hideMark/>
          </w:tcPr>
          <w:p w14:paraId="7750E754" w14:textId="77777777" w:rsidR="0081287D" w:rsidRDefault="0081287D">
            <w:pPr>
              <w:rPr>
                <w:rFonts w:ascii="Cambria" w:hAnsi="Cambria" w:cs="Arial"/>
                <w:b/>
                <w:bCs/>
                <w:color w:val="000000"/>
                <w:sz w:val="18"/>
                <w:szCs w:val="18"/>
              </w:rPr>
            </w:pPr>
            <w:r>
              <w:rPr>
                <w:rFonts w:ascii="Cambria" w:hAnsi="Cambria"/>
                <w:b/>
                <w:color w:val="000000"/>
                <w:sz w:val="18"/>
              </w:rPr>
              <w:t>Total Produits financiers</w:t>
            </w:r>
          </w:p>
        </w:tc>
        <w:tc>
          <w:tcPr>
            <w:tcW w:w="1660" w:type="dxa"/>
            <w:tcBorders>
              <w:top w:val="single" w:sz="4" w:space="0" w:color="auto"/>
              <w:left w:val="nil"/>
              <w:bottom w:val="single" w:sz="8" w:space="0" w:color="auto"/>
              <w:right w:val="nil"/>
            </w:tcBorders>
            <w:shd w:val="clear" w:color="auto" w:fill="auto"/>
            <w:noWrap/>
            <w:vAlign w:val="bottom"/>
            <w:hideMark/>
          </w:tcPr>
          <w:p w14:paraId="75C78277" w14:textId="77777777" w:rsidR="0081287D" w:rsidRDefault="0081287D">
            <w:pPr>
              <w:jc w:val="right"/>
              <w:rPr>
                <w:rFonts w:ascii="Cambria" w:hAnsi="Cambria" w:cs="Arial"/>
                <w:b/>
                <w:bCs/>
                <w:color w:val="000000"/>
                <w:sz w:val="18"/>
                <w:szCs w:val="18"/>
              </w:rPr>
            </w:pPr>
            <w:r>
              <w:rPr>
                <w:rFonts w:ascii="Cambria" w:hAnsi="Cambria"/>
                <w:b/>
                <w:color w:val="000000"/>
                <w:sz w:val="18"/>
              </w:rPr>
              <w:t>14 179</w:t>
            </w:r>
          </w:p>
        </w:tc>
        <w:tc>
          <w:tcPr>
            <w:tcW w:w="1660" w:type="dxa"/>
            <w:tcBorders>
              <w:top w:val="single" w:sz="4" w:space="0" w:color="auto"/>
              <w:left w:val="nil"/>
              <w:bottom w:val="single" w:sz="8" w:space="0" w:color="auto"/>
              <w:right w:val="nil"/>
            </w:tcBorders>
            <w:shd w:val="clear" w:color="auto" w:fill="auto"/>
            <w:noWrap/>
            <w:vAlign w:val="bottom"/>
            <w:hideMark/>
          </w:tcPr>
          <w:p w14:paraId="01E5004D" w14:textId="77777777" w:rsidR="0081287D" w:rsidRDefault="0081287D">
            <w:pPr>
              <w:jc w:val="right"/>
              <w:rPr>
                <w:rFonts w:ascii="Cambria" w:hAnsi="Cambria" w:cs="Arial"/>
                <w:b/>
                <w:bCs/>
                <w:color w:val="000000"/>
                <w:sz w:val="18"/>
                <w:szCs w:val="18"/>
              </w:rPr>
            </w:pPr>
            <w:r>
              <w:rPr>
                <w:rFonts w:ascii="Cambria" w:hAnsi="Cambria"/>
                <w:b/>
                <w:color w:val="000000"/>
                <w:sz w:val="18"/>
              </w:rPr>
              <w:t>32 798</w:t>
            </w:r>
          </w:p>
        </w:tc>
        <w:tc>
          <w:tcPr>
            <w:tcW w:w="1660" w:type="dxa"/>
            <w:tcBorders>
              <w:top w:val="single" w:sz="4" w:space="0" w:color="auto"/>
              <w:left w:val="nil"/>
              <w:bottom w:val="single" w:sz="8" w:space="0" w:color="auto"/>
              <w:right w:val="nil"/>
            </w:tcBorders>
            <w:shd w:val="clear" w:color="auto" w:fill="auto"/>
            <w:noWrap/>
            <w:vAlign w:val="bottom"/>
            <w:hideMark/>
          </w:tcPr>
          <w:p w14:paraId="49494132" w14:textId="77777777" w:rsidR="0081287D" w:rsidRDefault="0081287D">
            <w:pPr>
              <w:jc w:val="right"/>
              <w:rPr>
                <w:rFonts w:ascii="Cambria" w:hAnsi="Cambria" w:cs="Arial"/>
                <w:b/>
                <w:bCs/>
                <w:color w:val="000000"/>
                <w:sz w:val="18"/>
                <w:szCs w:val="18"/>
              </w:rPr>
            </w:pPr>
            <w:r>
              <w:rPr>
                <w:rFonts w:ascii="Cambria" w:hAnsi="Cambria"/>
                <w:b/>
                <w:color w:val="000000"/>
                <w:sz w:val="18"/>
              </w:rPr>
              <w:t>(18 619)</w:t>
            </w:r>
          </w:p>
        </w:tc>
      </w:tr>
    </w:tbl>
    <w:p w14:paraId="5E14CBF7" w14:textId="675F2DAE" w:rsidR="007015DE" w:rsidRDefault="007015DE" w:rsidP="00E16D12">
      <w:pPr>
        <w:spacing w:after="200" w:line="276" w:lineRule="auto"/>
        <w:jc w:val="both"/>
        <w:rPr>
          <w:rFonts w:ascii="Cambria" w:hAnsi="Cambria"/>
          <w:sz w:val="22"/>
          <w:szCs w:val="22"/>
        </w:rPr>
      </w:pPr>
    </w:p>
    <w:p w14:paraId="124B9790" w14:textId="3467CBFF" w:rsidR="00461EC5" w:rsidRDefault="000A4F26" w:rsidP="00C01D1B">
      <w:pPr>
        <w:spacing w:after="200" w:line="276" w:lineRule="auto"/>
        <w:jc w:val="both"/>
        <w:rPr>
          <w:rFonts w:ascii="Cambria" w:hAnsi="Cambria"/>
          <w:sz w:val="22"/>
          <w:szCs w:val="22"/>
        </w:rPr>
      </w:pPr>
      <w:r>
        <w:rPr>
          <w:rFonts w:ascii="Cambria" w:hAnsi="Cambria"/>
          <w:sz w:val="22"/>
        </w:rPr>
        <w:t>La diminution du poste est principalement due à la réduction des gains de change et à la baisse des intérêts créditeurs.</w:t>
      </w:r>
    </w:p>
    <w:p w14:paraId="2394D01C" w14:textId="77777777" w:rsidR="00AB7CDB" w:rsidRPr="007925F0" w:rsidRDefault="00AB7CDB" w:rsidP="00AB7CDB">
      <w:pPr>
        <w:pStyle w:val="Titolo2"/>
        <w:numPr>
          <w:ilvl w:val="0"/>
          <w:numId w:val="6"/>
        </w:numPr>
        <w:spacing w:line="240" w:lineRule="auto"/>
        <w:ind w:left="357" w:right="0" w:hanging="357"/>
        <w:jc w:val="left"/>
        <w:rPr>
          <w:i w:val="0"/>
        </w:rPr>
      </w:pPr>
      <w:bookmarkStart w:id="164" w:name="_Toc112768696"/>
      <w:r>
        <w:rPr>
          <w:i w:val="0"/>
        </w:rPr>
        <w:lastRenderedPageBreak/>
        <w:t>Impôts sur le revenu</w:t>
      </w:r>
      <w:bookmarkEnd w:id="164"/>
    </w:p>
    <w:p w14:paraId="1F008F0D" w14:textId="77777777" w:rsidR="00E16D12" w:rsidRPr="00FC0C93" w:rsidRDefault="00E16D12" w:rsidP="00E16D12">
      <w:pPr>
        <w:rPr>
          <w:highlight w:val="green"/>
        </w:rPr>
      </w:pPr>
    </w:p>
    <w:p w14:paraId="737CA722" w14:textId="4B75F81D" w:rsidR="00E16D12" w:rsidRDefault="00E16D12" w:rsidP="00E16D12">
      <w:pPr>
        <w:spacing w:after="200" w:line="276" w:lineRule="auto"/>
        <w:jc w:val="both"/>
        <w:rPr>
          <w:rFonts w:ascii="Cambria" w:hAnsi="Cambria"/>
          <w:sz w:val="22"/>
          <w:szCs w:val="22"/>
        </w:rPr>
      </w:pPr>
      <w:r>
        <w:rPr>
          <w:rFonts w:ascii="Cambria" w:hAnsi="Cambria"/>
          <w:sz w:val="22"/>
        </w:rPr>
        <w:t>La composition du poste « Impôts sur le revenu » pour la période du 1er janvier au 30 juin 2021, par rapport aux mêmes valeurs pour la période du 1er janvier au 30 juin 2020, est la suivante :</w:t>
      </w:r>
    </w:p>
    <w:tbl>
      <w:tblPr>
        <w:tblW w:w="9580" w:type="dxa"/>
        <w:tblCellMar>
          <w:left w:w="70" w:type="dxa"/>
          <w:right w:w="70" w:type="dxa"/>
        </w:tblCellMar>
        <w:tblLook w:val="04A0" w:firstRow="1" w:lastRow="0" w:firstColumn="1" w:lastColumn="0" w:noHBand="0" w:noVBand="1"/>
      </w:tblPr>
      <w:tblGrid>
        <w:gridCol w:w="4600"/>
        <w:gridCol w:w="1660"/>
        <w:gridCol w:w="1660"/>
        <w:gridCol w:w="1660"/>
      </w:tblGrid>
      <w:tr w:rsidR="009E50B5" w14:paraId="28C8B291" w14:textId="77777777" w:rsidTr="009E50B5">
        <w:trPr>
          <w:trHeight w:val="495"/>
        </w:trPr>
        <w:tc>
          <w:tcPr>
            <w:tcW w:w="4600" w:type="dxa"/>
            <w:tcBorders>
              <w:top w:val="single" w:sz="4" w:space="0" w:color="0070C0"/>
              <w:left w:val="nil"/>
              <w:bottom w:val="single" w:sz="8" w:space="0" w:color="0070C0"/>
              <w:right w:val="nil"/>
            </w:tcBorders>
            <w:shd w:val="clear" w:color="auto" w:fill="auto"/>
            <w:noWrap/>
            <w:vAlign w:val="bottom"/>
            <w:hideMark/>
          </w:tcPr>
          <w:p w14:paraId="084ECCDC" w14:textId="77777777" w:rsidR="009E50B5" w:rsidRDefault="009E50B5">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660" w:type="dxa"/>
            <w:tcBorders>
              <w:top w:val="single" w:sz="4" w:space="0" w:color="0070C0"/>
              <w:left w:val="nil"/>
              <w:bottom w:val="single" w:sz="8" w:space="0" w:color="0070C0"/>
              <w:right w:val="nil"/>
            </w:tcBorders>
            <w:shd w:val="clear" w:color="auto" w:fill="auto"/>
            <w:vAlign w:val="bottom"/>
            <w:hideMark/>
          </w:tcPr>
          <w:p w14:paraId="5215B663" w14:textId="77777777" w:rsidR="009E50B5" w:rsidRDefault="009E50B5">
            <w:pPr>
              <w:jc w:val="center"/>
              <w:rPr>
                <w:rFonts w:ascii="Cambria" w:hAnsi="Cambria" w:cs="Arial"/>
                <w:b/>
                <w:bCs/>
                <w:color w:val="000000"/>
                <w:sz w:val="18"/>
                <w:szCs w:val="18"/>
              </w:rPr>
            </w:pPr>
            <w:r>
              <w:rPr>
                <w:rFonts w:ascii="Cambria" w:hAnsi="Cambria"/>
                <w:b/>
                <w:color w:val="000000"/>
                <w:sz w:val="18"/>
              </w:rPr>
              <w:t xml:space="preserve">1er janvier 2021 - </w:t>
            </w:r>
            <w:r>
              <w:rPr>
                <w:rFonts w:ascii="Cambria" w:hAnsi="Cambria"/>
                <w:b/>
                <w:bCs/>
                <w:color w:val="000000"/>
                <w:sz w:val="18"/>
                <w:szCs w:val="18"/>
              </w:rPr>
              <w:br/>
            </w:r>
            <w:r>
              <w:rPr>
                <w:rFonts w:ascii="Cambria" w:hAnsi="Cambria"/>
                <w:b/>
                <w:color w:val="000000"/>
                <w:sz w:val="18"/>
              </w:rPr>
              <w:t>30 juin 2021</w:t>
            </w:r>
          </w:p>
        </w:tc>
        <w:tc>
          <w:tcPr>
            <w:tcW w:w="1660" w:type="dxa"/>
            <w:tcBorders>
              <w:top w:val="single" w:sz="4" w:space="0" w:color="0070C0"/>
              <w:left w:val="nil"/>
              <w:bottom w:val="single" w:sz="8" w:space="0" w:color="0070C0"/>
              <w:right w:val="nil"/>
            </w:tcBorders>
            <w:shd w:val="clear" w:color="auto" w:fill="auto"/>
            <w:vAlign w:val="bottom"/>
            <w:hideMark/>
          </w:tcPr>
          <w:p w14:paraId="2602E316" w14:textId="77777777" w:rsidR="009E50B5" w:rsidRDefault="009E50B5">
            <w:pPr>
              <w:jc w:val="center"/>
              <w:rPr>
                <w:rFonts w:ascii="Cambria" w:hAnsi="Cambria" w:cs="Arial"/>
                <w:b/>
                <w:bCs/>
                <w:color w:val="000000"/>
                <w:sz w:val="18"/>
                <w:szCs w:val="18"/>
              </w:rPr>
            </w:pPr>
            <w:r>
              <w:rPr>
                <w:rFonts w:ascii="Cambria" w:hAnsi="Cambria"/>
                <w:b/>
                <w:color w:val="000000"/>
                <w:sz w:val="18"/>
              </w:rPr>
              <w:t xml:space="preserve">1er janvier 2020 - </w:t>
            </w:r>
            <w:r>
              <w:rPr>
                <w:rFonts w:ascii="Cambria" w:hAnsi="Cambria"/>
                <w:b/>
                <w:bCs/>
                <w:color w:val="000000"/>
                <w:sz w:val="18"/>
                <w:szCs w:val="18"/>
              </w:rPr>
              <w:br/>
            </w:r>
            <w:r>
              <w:rPr>
                <w:rFonts w:ascii="Cambria" w:hAnsi="Cambria"/>
                <w:b/>
                <w:color w:val="000000"/>
                <w:sz w:val="18"/>
              </w:rPr>
              <w:t>30 juin 2020</w:t>
            </w:r>
          </w:p>
        </w:tc>
        <w:tc>
          <w:tcPr>
            <w:tcW w:w="1660" w:type="dxa"/>
            <w:tcBorders>
              <w:top w:val="single" w:sz="4" w:space="0" w:color="0070C0"/>
              <w:left w:val="nil"/>
              <w:bottom w:val="single" w:sz="8" w:space="0" w:color="0070C0"/>
              <w:right w:val="nil"/>
            </w:tcBorders>
            <w:shd w:val="clear" w:color="auto" w:fill="auto"/>
            <w:vAlign w:val="bottom"/>
            <w:hideMark/>
          </w:tcPr>
          <w:p w14:paraId="57CE84C7" w14:textId="77777777" w:rsidR="009E50B5" w:rsidRDefault="009E50B5">
            <w:pPr>
              <w:jc w:val="center"/>
              <w:rPr>
                <w:rFonts w:ascii="Cambria" w:hAnsi="Cambria" w:cs="Arial"/>
                <w:b/>
                <w:bCs/>
                <w:color w:val="000000"/>
                <w:sz w:val="18"/>
                <w:szCs w:val="18"/>
              </w:rPr>
            </w:pPr>
            <w:r>
              <w:rPr>
                <w:rFonts w:ascii="Cambria" w:hAnsi="Cambria"/>
                <w:b/>
                <w:color w:val="000000"/>
                <w:sz w:val="18"/>
              </w:rPr>
              <w:t>Variations</w:t>
            </w:r>
          </w:p>
        </w:tc>
      </w:tr>
      <w:tr w:rsidR="009E50B5" w14:paraId="00117778" w14:textId="77777777" w:rsidTr="009E50B5">
        <w:trPr>
          <w:trHeight w:val="240"/>
        </w:trPr>
        <w:tc>
          <w:tcPr>
            <w:tcW w:w="4600" w:type="dxa"/>
            <w:tcBorders>
              <w:top w:val="nil"/>
              <w:left w:val="nil"/>
              <w:bottom w:val="nil"/>
              <w:right w:val="nil"/>
            </w:tcBorders>
            <w:shd w:val="clear" w:color="auto" w:fill="auto"/>
            <w:noWrap/>
            <w:vAlign w:val="bottom"/>
            <w:hideMark/>
          </w:tcPr>
          <w:p w14:paraId="36772A36" w14:textId="77777777" w:rsidR="009E50B5" w:rsidRDefault="009E50B5">
            <w:pPr>
              <w:rPr>
                <w:rFonts w:ascii="Cambria" w:hAnsi="Cambria" w:cs="Arial"/>
                <w:color w:val="000000"/>
                <w:sz w:val="18"/>
                <w:szCs w:val="18"/>
              </w:rPr>
            </w:pPr>
            <w:r>
              <w:rPr>
                <w:rFonts w:ascii="Cambria" w:hAnsi="Cambria"/>
                <w:color w:val="000000"/>
                <w:sz w:val="18"/>
              </w:rPr>
              <w:t>Impôts pour la période</w:t>
            </w:r>
          </w:p>
        </w:tc>
        <w:tc>
          <w:tcPr>
            <w:tcW w:w="1660" w:type="dxa"/>
            <w:tcBorders>
              <w:top w:val="nil"/>
              <w:left w:val="nil"/>
              <w:bottom w:val="nil"/>
              <w:right w:val="nil"/>
            </w:tcBorders>
            <w:shd w:val="clear" w:color="auto" w:fill="auto"/>
            <w:noWrap/>
            <w:vAlign w:val="bottom"/>
            <w:hideMark/>
          </w:tcPr>
          <w:p w14:paraId="149B22AD" w14:textId="77777777" w:rsidR="009E50B5" w:rsidRDefault="009E50B5">
            <w:pPr>
              <w:jc w:val="right"/>
              <w:rPr>
                <w:rFonts w:ascii="Cambria" w:hAnsi="Cambria" w:cs="Arial"/>
                <w:color w:val="000000"/>
                <w:sz w:val="18"/>
                <w:szCs w:val="18"/>
              </w:rPr>
            </w:pPr>
            <w:r>
              <w:rPr>
                <w:rFonts w:ascii="Cambria" w:hAnsi="Cambria"/>
                <w:color w:val="000000"/>
                <w:sz w:val="18"/>
              </w:rPr>
              <w:t>496 841</w:t>
            </w:r>
          </w:p>
        </w:tc>
        <w:tc>
          <w:tcPr>
            <w:tcW w:w="1660" w:type="dxa"/>
            <w:tcBorders>
              <w:top w:val="nil"/>
              <w:left w:val="nil"/>
              <w:bottom w:val="nil"/>
              <w:right w:val="nil"/>
            </w:tcBorders>
            <w:shd w:val="clear" w:color="auto" w:fill="auto"/>
            <w:noWrap/>
            <w:vAlign w:val="bottom"/>
            <w:hideMark/>
          </w:tcPr>
          <w:p w14:paraId="1E8DFE26" w14:textId="77777777" w:rsidR="009E50B5" w:rsidRDefault="009E50B5">
            <w:pPr>
              <w:jc w:val="right"/>
              <w:rPr>
                <w:rFonts w:ascii="Cambria" w:hAnsi="Cambria" w:cs="Arial"/>
                <w:color w:val="000000"/>
                <w:sz w:val="18"/>
                <w:szCs w:val="18"/>
              </w:rPr>
            </w:pPr>
            <w:r>
              <w:rPr>
                <w:rFonts w:ascii="Cambria" w:hAnsi="Cambria"/>
                <w:color w:val="000000"/>
                <w:sz w:val="18"/>
              </w:rPr>
              <w:t>132 868</w:t>
            </w:r>
          </w:p>
        </w:tc>
        <w:tc>
          <w:tcPr>
            <w:tcW w:w="1660" w:type="dxa"/>
            <w:tcBorders>
              <w:top w:val="nil"/>
              <w:left w:val="nil"/>
              <w:bottom w:val="nil"/>
              <w:right w:val="nil"/>
            </w:tcBorders>
            <w:shd w:val="clear" w:color="auto" w:fill="auto"/>
            <w:noWrap/>
            <w:vAlign w:val="bottom"/>
            <w:hideMark/>
          </w:tcPr>
          <w:p w14:paraId="485BAD3A" w14:textId="77777777" w:rsidR="009E50B5" w:rsidRDefault="009E50B5">
            <w:pPr>
              <w:jc w:val="right"/>
              <w:rPr>
                <w:rFonts w:ascii="Cambria" w:hAnsi="Cambria" w:cs="Arial"/>
                <w:color w:val="000000"/>
                <w:sz w:val="18"/>
                <w:szCs w:val="18"/>
              </w:rPr>
            </w:pPr>
            <w:r>
              <w:rPr>
                <w:rFonts w:ascii="Cambria" w:hAnsi="Cambria"/>
                <w:color w:val="000000"/>
                <w:sz w:val="18"/>
              </w:rPr>
              <w:t>363 973</w:t>
            </w:r>
          </w:p>
        </w:tc>
      </w:tr>
      <w:tr w:rsidR="009E50B5" w14:paraId="7A840E64" w14:textId="77777777" w:rsidTr="009E50B5">
        <w:trPr>
          <w:trHeight w:val="240"/>
        </w:trPr>
        <w:tc>
          <w:tcPr>
            <w:tcW w:w="4600" w:type="dxa"/>
            <w:tcBorders>
              <w:top w:val="nil"/>
              <w:left w:val="nil"/>
              <w:bottom w:val="nil"/>
              <w:right w:val="nil"/>
            </w:tcBorders>
            <w:shd w:val="clear" w:color="auto" w:fill="auto"/>
            <w:noWrap/>
            <w:vAlign w:val="bottom"/>
            <w:hideMark/>
          </w:tcPr>
          <w:p w14:paraId="3920F190" w14:textId="77777777" w:rsidR="009E50B5" w:rsidRDefault="009E50B5">
            <w:pPr>
              <w:rPr>
                <w:rFonts w:ascii="Cambria" w:hAnsi="Cambria" w:cs="Arial"/>
                <w:color w:val="000000"/>
                <w:sz w:val="18"/>
                <w:szCs w:val="18"/>
              </w:rPr>
            </w:pPr>
            <w:r>
              <w:rPr>
                <w:rFonts w:ascii="Cambria" w:hAnsi="Cambria"/>
                <w:color w:val="000000"/>
                <w:sz w:val="18"/>
              </w:rPr>
              <w:t>Impôts payés d'avance</w:t>
            </w:r>
          </w:p>
        </w:tc>
        <w:tc>
          <w:tcPr>
            <w:tcW w:w="1660" w:type="dxa"/>
            <w:tcBorders>
              <w:top w:val="nil"/>
              <w:left w:val="nil"/>
              <w:bottom w:val="nil"/>
              <w:right w:val="nil"/>
            </w:tcBorders>
            <w:shd w:val="clear" w:color="auto" w:fill="auto"/>
            <w:noWrap/>
            <w:vAlign w:val="bottom"/>
            <w:hideMark/>
          </w:tcPr>
          <w:p w14:paraId="3FDFF948" w14:textId="77777777" w:rsidR="009E50B5" w:rsidRDefault="009E50B5">
            <w:pPr>
              <w:jc w:val="right"/>
              <w:rPr>
                <w:rFonts w:ascii="Cambria" w:hAnsi="Cambria" w:cs="Arial"/>
                <w:color w:val="000000"/>
                <w:sz w:val="18"/>
                <w:szCs w:val="18"/>
              </w:rPr>
            </w:pPr>
            <w:r>
              <w:rPr>
                <w:rFonts w:ascii="Cambria" w:hAnsi="Cambria"/>
                <w:color w:val="000000"/>
                <w:sz w:val="18"/>
              </w:rPr>
              <w:t>181 426</w:t>
            </w:r>
          </w:p>
        </w:tc>
        <w:tc>
          <w:tcPr>
            <w:tcW w:w="1660" w:type="dxa"/>
            <w:tcBorders>
              <w:top w:val="nil"/>
              <w:left w:val="nil"/>
              <w:bottom w:val="nil"/>
              <w:right w:val="nil"/>
            </w:tcBorders>
            <w:shd w:val="clear" w:color="auto" w:fill="auto"/>
            <w:noWrap/>
            <w:vAlign w:val="bottom"/>
            <w:hideMark/>
          </w:tcPr>
          <w:p w14:paraId="0E6B09B7" w14:textId="77777777" w:rsidR="009E50B5" w:rsidRDefault="009E50B5">
            <w:pPr>
              <w:jc w:val="right"/>
              <w:rPr>
                <w:rFonts w:ascii="Cambria" w:hAnsi="Cambria" w:cs="Arial"/>
                <w:color w:val="000000"/>
                <w:sz w:val="18"/>
                <w:szCs w:val="18"/>
              </w:rPr>
            </w:pPr>
            <w:r>
              <w:rPr>
                <w:rFonts w:ascii="Cambria" w:hAnsi="Cambria"/>
                <w:color w:val="000000"/>
                <w:sz w:val="18"/>
              </w:rPr>
              <w:t>0</w:t>
            </w:r>
          </w:p>
        </w:tc>
        <w:tc>
          <w:tcPr>
            <w:tcW w:w="1660" w:type="dxa"/>
            <w:tcBorders>
              <w:top w:val="nil"/>
              <w:left w:val="nil"/>
              <w:bottom w:val="nil"/>
              <w:right w:val="nil"/>
            </w:tcBorders>
            <w:shd w:val="clear" w:color="auto" w:fill="auto"/>
            <w:noWrap/>
            <w:vAlign w:val="bottom"/>
            <w:hideMark/>
          </w:tcPr>
          <w:p w14:paraId="3B605AB1" w14:textId="77777777" w:rsidR="009E50B5" w:rsidRDefault="009E50B5">
            <w:pPr>
              <w:jc w:val="right"/>
              <w:rPr>
                <w:rFonts w:ascii="Cambria" w:hAnsi="Cambria" w:cs="Arial"/>
                <w:color w:val="000000"/>
                <w:sz w:val="18"/>
                <w:szCs w:val="18"/>
              </w:rPr>
            </w:pPr>
            <w:r>
              <w:rPr>
                <w:rFonts w:ascii="Cambria" w:hAnsi="Cambria"/>
                <w:color w:val="000000"/>
                <w:sz w:val="18"/>
              </w:rPr>
              <w:t>181 426</w:t>
            </w:r>
          </w:p>
        </w:tc>
      </w:tr>
      <w:tr w:rsidR="009E50B5" w14:paraId="535F854B" w14:textId="77777777" w:rsidTr="009E50B5">
        <w:trPr>
          <w:trHeight w:val="255"/>
        </w:trPr>
        <w:tc>
          <w:tcPr>
            <w:tcW w:w="4600" w:type="dxa"/>
            <w:tcBorders>
              <w:top w:val="nil"/>
              <w:left w:val="nil"/>
              <w:bottom w:val="nil"/>
              <w:right w:val="nil"/>
            </w:tcBorders>
            <w:shd w:val="clear" w:color="auto" w:fill="auto"/>
            <w:noWrap/>
            <w:vAlign w:val="bottom"/>
            <w:hideMark/>
          </w:tcPr>
          <w:p w14:paraId="041C860B" w14:textId="77777777" w:rsidR="009E50B5" w:rsidRDefault="009E50B5">
            <w:pPr>
              <w:rPr>
                <w:rFonts w:ascii="Cambria" w:hAnsi="Cambria" w:cs="Arial"/>
                <w:b/>
                <w:bCs/>
                <w:color w:val="000000"/>
                <w:sz w:val="18"/>
                <w:szCs w:val="18"/>
              </w:rPr>
            </w:pPr>
            <w:r>
              <w:rPr>
                <w:rFonts w:ascii="Cambria" w:hAnsi="Cambria"/>
                <w:b/>
                <w:color w:val="000000"/>
                <w:sz w:val="18"/>
              </w:rPr>
              <w:t>Total Impôts sur le revenu</w:t>
            </w:r>
          </w:p>
        </w:tc>
        <w:tc>
          <w:tcPr>
            <w:tcW w:w="1660" w:type="dxa"/>
            <w:tcBorders>
              <w:top w:val="single" w:sz="4" w:space="0" w:color="auto"/>
              <w:left w:val="nil"/>
              <w:bottom w:val="single" w:sz="8" w:space="0" w:color="auto"/>
              <w:right w:val="nil"/>
            </w:tcBorders>
            <w:shd w:val="clear" w:color="auto" w:fill="auto"/>
            <w:noWrap/>
            <w:vAlign w:val="bottom"/>
            <w:hideMark/>
          </w:tcPr>
          <w:p w14:paraId="554F0034" w14:textId="77777777" w:rsidR="009E50B5" w:rsidRDefault="009E50B5">
            <w:pPr>
              <w:jc w:val="right"/>
              <w:rPr>
                <w:rFonts w:ascii="Cambria" w:hAnsi="Cambria" w:cs="Arial"/>
                <w:b/>
                <w:bCs/>
                <w:color w:val="000000"/>
                <w:sz w:val="18"/>
                <w:szCs w:val="18"/>
              </w:rPr>
            </w:pPr>
            <w:r>
              <w:rPr>
                <w:rFonts w:ascii="Cambria" w:hAnsi="Cambria"/>
                <w:b/>
                <w:color w:val="000000"/>
                <w:sz w:val="18"/>
              </w:rPr>
              <w:t>678 267</w:t>
            </w:r>
          </w:p>
        </w:tc>
        <w:tc>
          <w:tcPr>
            <w:tcW w:w="1660" w:type="dxa"/>
            <w:tcBorders>
              <w:top w:val="single" w:sz="4" w:space="0" w:color="auto"/>
              <w:left w:val="nil"/>
              <w:bottom w:val="single" w:sz="8" w:space="0" w:color="auto"/>
              <w:right w:val="nil"/>
            </w:tcBorders>
            <w:shd w:val="clear" w:color="auto" w:fill="auto"/>
            <w:noWrap/>
            <w:vAlign w:val="bottom"/>
            <w:hideMark/>
          </w:tcPr>
          <w:p w14:paraId="52C7AB2C" w14:textId="77777777" w:rsidR="009E50B5" w:rsidRDefault="009E50B5">
            <w:pPr>
              <w:jc w:val="right"/>
              <w:rPr>
                <w:rFonts w:ascii="Cambria" w:hAnsi="Cambria" w:cs="Arial"/>
                <w:b/>
                <w:bCs/>
                <w:color w:val="000000"/>
                <w:sz w:val="18"/>
                <w:szCs w:val="18"/>
              </w:rPr>
            </w:pPr>
            <w:r>
              <w:rPr>
                <w:rFonts w:ascii="Cambria" w:hAnsi="Cambria"/>
                <w:b/>
                <w:color w:val="000000"/>
                <w:sz w:val="18"/>
              </w:rPr>
              <w:t>132 868</w:t>
            </w:r>
          </w:p>
        </w:tc>
        <w:tc>
          <w:tcPr>
            <w:tcW w:w="1660" w:type="dxa"/>
            <w:tcBorders>
              <w:top w:val="single" w:sz="4" w:space="0" w:color="auto"/>
              <w:left w:val="nil"/>
              <w:bottom w:val="single" w:sz="8" w:space="0" w:color="auto"/>
              <w:right w:val="nil"/>
            </w:tcBorders>
            <w:shd w:val="clear" w:color="auto" w:fill="auto"/>
            <w:noWrap/>
            <w:vAlign w:val="bottom"/>
            <w:hideMark/>
          </w:tcPr>
          <w:p w14:paraId="50FEA07C" w14:textId="77777777" w:rsidR="009E50B5" w:rsidRDefault="009E50B5">
            <w:pPr>
              <w:jc w:val="right"/>
              <w:rPr>
                <w:rFonts w:ascii="Cambria" w:hAnsi="Cambria" w:cs="Arial"/>
                <w:b/>
                <w:bCs/>
                <w:color w:val="000000"/>
                <w:sz w:val="18"/>
                <w:szCs w:val="18"/>
              </w:rPr>
            </w:pPr>
            <w:r>
              <w:rPr>
                <w:rFonts w:ascii="Cambria" w:hAnsi="Cambria"/>
                <w:b/>
                <w:color w:val="000000"/>
                <w:sz w:val="18"/>
              </w:rPr>
              <w:t>545 399</w:t>
            </w:r>
          </w:p>
        </w:tc>
      </w:tr>
    </w:tbl>
    <w:p w14:paraId="5B446838" w14:textId="5481CDD5" w:rsidR="007015DE" w:rsidRDefault="007015DE" w:rsidP="00E16D12">
      <w:pPr>
        <w:spacing w:after="200" w:line="276" w:lineRule="auto"/>
        <w:jc w:val="both"/>
        <w:rPr>
          <w:rFonts w:ascii="Cambria" w:hAnsi="Cambria"/>
          <w:sz w:val="22"/>
          <w:szCs w:val="22"/>
        </w:rPr>
      </w:pPr>
    </w:p>
    <w:p w14:paraId="1AC88EC2" w14:textId="580BBF06" w:rsidR="0012426F" w:rsidRPr="00C17031" w:rsidRDefault="0012426F" w:rsidP="00E16D12">
      <w:pPr>
        <w:spacing w:after="200" w:line="276" w:lineRule="auto"/>
        <w:jc w:val="both"/>
        <w:rPr>
          <w:rFonts w:ascii="Cambria" w:hAnsi="Cambria"/>
          <w:sz w:val="22"/>
          <w:szCs w:val="22"/>
        </w:rPr>
      </w:pPr>
      <w:r>
        <w:rPr>
          <w:rFonts w:ascii="Cambria" w:hAnsi="Cambria"/>
          <w:sz w:val="22"/>
        </w:rPr>
        <w:t>Les impôts courants se réfèrent aux montants de l'IRES (impôt sur le revenu des sociétés) et de l'IRAP (impôt sur le revenu régional) comptabilisés pour la période.</w:t>
      </w:r>
    </w:p>
    <w:p w14:paraId="1B196C70" w14:textId="77777777" w:rsidR="00E16D12" w:rsidRDefault="00E16D12" w:rsidP="00E16D12">
      <w:pPr>
        <w:spacing w:after="200" w:line="276" w:lineRule="auto"/>
        <w:jc w:val="both"/>
        <w:rPr>
          <w:rFonts w:ascii="Cambria" w:hAnsi="Cambria"/>
          <w:sz w:val="22"/>
          <w:szCs w:val="22"/>
        </w:rPr>
      </w:pPr>
      <w:r>
        <w:rPr>
          <w:rFonts w:ascii="Cambria" w:hAnsi="Cambria"/>
          <w:sz w:val="22"/>
        </w:rPr>
        <w:t xml:space="preserve">Les actifs d'impôts différés comprennent les effets fiscaux des coûts non déductibles de l'année en cours et des ajustements négatifs de la conversion IAS/IFRS. </w:t>
      </w:r>
    </w:p>
    <w:p w14:paraId="0D829290" w14:textId="77777777" w:rsidR="00E16D12" w:rsidRPr="00F654AE" w:rsidRDefault="006214CD" w:rsidP="00E16D12">
      <w:pPr>
        <w:pStyle w:val="Titolo2"/>
        <w:numPr>
          <w:ilvl w:val="0"/>
          <w:numId w:val="6"/>
        </w:numPr>
        <w:spacing w:line="240" w:lineRule="auto"/>
        <w:ind w:left="357" w:right="0" w:hanging="357"/>
        <w:jc w:val="left"/>
        <w:rPr>
          <w:i w:val="0"/>
        </w:rPr>
      </w:pPr>
      <w:bookmarkStart w:id="165" w:name="_Toc112768697"/>
      <w:r>
        <w:rPr>
          <w:i w:val="0"/>
        </w:rPr>
        <w:t>Instruments financiers - juste valeur et gestion des risques</w:t>
      </w:r>
      <w:bookmarkEnd w:id="165"/>
    </w:p>
    <w:p w14:paraId="653D5D8D" w14:textId="77777777" w:rsidR="00E16D12" w:rsidRPr="00C17031" w:rsidRDefault="00E16D12" w:rsidP="00E16D12">
      <w:pPr>
        <w:rPr>
          <w:rFonts w:ascii="Cambria" w:hAnsi="Cambria"/>
        </w:rPr>
      </w:pPr>
    </w:p>
    <w:p w14:paraId="7E3ACFBF" w14:textId="77777777" w:rsidR="006214CD" w:rsidRPr="00C17031" w:rsidRDefault="006214CD" w:rsidP="007C6746">
      <w:pPr>
        <w:pStyle w:val="Paragrafoelenco"/>
        <w:spacing w:after="200" w:line="276" w:lineRule="auto"/>
        <w:ind w:left="360"/>
        <w:jc w:val="both"/>
        <w:rPr>
          <w:rFonts w:ascii="Cambria" w:hAnsi="Cambria"/>
          <w:b/>
          <w:bCs/>
          <w:sz w:val="22"/>
          <w:szCs w:val="22"/>
        </w:rPr>
      </w:pPr>
    </w:p>
    <w:p w14:paraId="3140D750" w14:textId="77777777" w:rsidR="006214CD" w:rsidRPr="00C17031" w:rsidRDefault="006214CD" w:rsidP="007C6746">
      <w:pPr>
        <w:pStyle w:val="Paragrafoelenco"/>
        <w:numPr>
          <w:ilvl w:val="0"/>
          <w:numId w:val="57"/>
        </w:numPr>
        <w:spacing w:after="200" w:line="276" w:lineRule="auto"/>
        <w:jc w:val="both"/>
        <w:rPr>
          <w:rFonts w:ascii="Cambria" w:hAnsi="Cambria"/>
          <w:b/>
          <w:bCs/>
          <w:sz w:val="22"/>
          <w:szCs w:val="22"/>
        </w:rPr>
      </w:pPr>
      <w:r>
        <w:rPr>
          <w:rFonts w:ascii="Cambria" w:hAnsi="Cambria"/>
          <w:b/>
          <w:sz w:val="22"/>
        </w:rPr>
        <w:t>Classification comptable</w:t>
      </w:r>
    </w:p>
    <w:p w14:paraId="1F90D488" w14:textId="5B2D0C86" w:rsidR="006214CD" w:rsidRDefault="006214CD" w:rsidP="00E16D12">
      <w:pPr>
        <w:spacing w:after="200" w:line="276" w:lineRule="auto"/>
        <w:jc w:val="both"/>
        <w:rPr>
          <w:rFonts w:ascii="Cambria" w:hAnsi="Cambria"/>
          <w:sz w:val="22"/>
          <w:szCs w:val="22"/>
        </w:rPr>
      </w:pPr>
      <w:r>
        <w:rPr>
          <w:rFonts w:ascii="Cambria" w:hAnsi="Cambria"/>
          <w:sz w:val="22"/>
        </w:rPr>
        <w:t>La classification des actifs et passifs financiers du Groupe est présentée ci-dessous :</w:t>
      </w:r>
    </w:p>
    <w:tbl>
      <w:tblPr>
        <w:tblW w:w="5000" w:type="pct"/>
        <w:tblCellMar>
          <w:left w:w="70" w:type="dxa"/>
          <w:right w:w="70" w:type="dxa"/>
        </w:tblCellMar>
        <w:tblLook w:val="04A0" w:firstRow="1" w:lastRow="0" w:firstColumn="1" w:lastColumn="0" w:noHBand="0" w:noVBand="1"/>
      </w:tblPr>
      <w:tblGrid>
        <w:gridCol w:w="5831"/>
        <w:gridCol w:w="1904"/>
        <w:gridCol w:w="1903"/>
      </w:tblGrid>
      <w:tr w:rsidR="009E50B5" w14:paraId="14A5541C" w14:textId="77777777" w:rsidTr="00F26E30">
        <w:trPr>
          <w:trHeight w:val="495"/>
        </w:trPr>
        <w:tc>
          <w:tcPr>
            <w:tcW w:w="3025" w:type="pct"/>
            <w:tcBorders>
              <w:top w:val="single" w:sz="4" w:space="0" w:color="0070C0"/>
              <w:left w:val="nil"/>
              <w:bottom w:val="single" w:sz="8" w:space="0" w:color="0070C0"/>
              <w:right w:val="nil"/>
            </w:tcBorders>
            <w:shd w:val="clear" w:color="auto" w:fill="auto"/>
            <w:noWrap/>
            <w:vAlign w:val="bottom"/>
            <w:hideMark/>
          </w:tcPr>
          <w:p w14:paraId="2EE6FD41" w14:textId="77777777" w:rsidR="009E50B5" w:rsidRDefault="009E50B5">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988" w:type="pct"/>
            <w:tcBorders>
              <w:top w:val="single" w:sz="4" w:space="0" w:color="0070C0"/>
              <w:left w:val="nil"/>
              <w:bottom w:val="single" w:sz="8" w:space="0" w:color="0070C0"/>
              <w:right w:val="nil"/>
            </w:tcBorders>
            <w:shd w:val="clear" w:color="auto" w:fill="auto"/>
            <w:vAlign w:val="bottom"/>
            <w:hideMark/>
          </w:tcPr>
          <w:p w14:paraId="6E8E7D9A" w14:textId="77777777" w:rsidR="009E50B5" w:rsidRDefault="009E50B5">
            <w:pPr>
              <w:jc w:val="center"/>
              <w:rPr>
                <w:rFonts w:ascii="Cambria" w:hAnsi="Cambria" w:cs="Arial"/>
                <w:b/>
                <w:bCs/>
                <w:color w:val="000000"/>
                <w:sz w:val="18"/>
                <w:szCs w:val="18"/>
              </w:rPr>
            </w:pPr>
            <w:r>
              <w:rPr>
                <w:rFonts w:ascii="Cambria" w:hAnsi="Cambria"/>
                <w:b/>
                <w:color w:val="000000"/>
                <w:sz w:val="18"/>
              </w:rPr>
              <w:t>30 juin 2021</w:t>
            </w:r>
          </w:p>
        </w:tc>
        <w:tc>
          <w:tcPr>
            <w:tcW w:w="987" w:type="pct"/>
            <w:tcBorders>
              <w:top w:val="single" w:sz="4" w:space="0" w:color="0070C0"/>
              <w:left w:val="nil"/>
              <w:bottom w:val="single" w:sz="8" w:space="0" w:color="0070C0"/>
              <w:right w:val="nil"/>
            </w:tcBorders>
            <w:shd w:val="clear" w:color="auto" w:fill="auto"/>
            <w:vAlign w:val="bottom"/>
            <w:hideMark/>
          </w:tcPr>
          <w:p w14:paraId="6B7578B9" w14:textId="77777777" w:rsidR="009E50B5" w:rsidRDefault="009E50B5">
            <w:pPr>
              <w:jc w:val="center"/>
              <w:rPr>
                <w:rFonts w:ascii="Cambria" w:hAnsi="Cambria" w:cs="Arial"/>
                <w:b/>
                <w:bCs/>
                <w:color w:val="000000"/>
                <w:sz w:val="18"/>
                <w:szCs w:val="18"/>
              </w:rPr>
            </w:pPr>
            <w:r>
              <w:rPr>
                <w:rFonts w:ascii="Cambria" w:hAnsi="Cambria"/>
                <w:b/>
                <w:color w:val="000000"/>
                <w:sz w:val="18"/>
              </w:rPr>
              <w:t>31 décembre 2020</w:t>
            </w:r>
          </w:p>
        </w:tc>
      </w:tr>
      <w:tr w:rsidR="009E50B5" w14:paraId="2A979DE9" w14:textId="77777777" w:rsidTr="00F26E30">
        <w:trPr>
          <w:trHeight w:val="240"/>
        </w:trPr>
        <w:tc>
          <w:tcPr>
            <w:tcW w:w="3025" w:type="pct"/>
            <w:tcBorders>
              <w:top w:val="nil"/>
              <w:left w:val="nil"/>
              <w:bottom w:val="nil"/>
              <w:right w:val="nil"/>
            </w:tcBorders>
            <w:shd w:val="clear" w:color="auto" w:fill="auto"/>
            <w:noWrap/>
            <w:vAlign w:val="bottom"/>
            <w:hideMark/>
          </w:tcPr>
          <w:p w14:paraId="2598763D" w14:textId="77777777" w:rsidR="009E50B5" w:rsidRDefault="009E50B5">
            <w:pPr>
              <w:rPr>
                <w:rFonts w:ascii="Cambria" w:hAnsi="Cambria" w:cs="Arial"/>
                <w:b/>
                <w:bCs/>
                <w:color w:val="000000"/>
                <w:sz w:val="18"/>
                <w:szCs w:val="18"/>
              </w:rPr>
            </w:pPr>
            <w:r>
              <w:rPr>
                <w:rFonts w:ascii="Cambria" w:hAnsi="Cambria"/>
                <w:b/>
                <w:color w:val="000000"/>
                <w:sz w:val="18"/>
              </w:rPr>
              <w:t>Actifs financiers au coût amorti</w:t>
            </w:r>
          </w:p>
        </w:tc>
        <w:tc>
          <w:tcPr>
            <w:tcW w:w="988" w:type="pct"/>
            <w:tcBorders>
              <w:top w:val="nil"/>
              <w:left w:val="nil"/>
              <w:bottom w:val="nil"/>
              <w:right w:val="nil"/>
            </w:tcBorders>
            <w:shd w:val="clear" w:color="auto" w:fill="auto"/>
            <w:noWrap/>
            <w:vAlign w:val="bottom"/>
            <w:hideMark/>
          </w:tcPr>
          <w:p w14:paraId="64FCC13F" w14:textId="77777777" w:rsidR="009E50B5" w:rsidRDefault="009E50B5">
            <w:pPr>
              <w:rPr>
                <w:rFonts w:ascii="Cambria" w:hAnsi="Cambria" w:cs="Arial"/>
                <w:b/>
                <w:bCs/>
                <w:color w:val="000000"/>
                <w:sz w:val="18"/>
                <w:szCs w:val="18"/>
              </w:rPr>
            </w:pPr>
          </w:p>
        </w:tc>
        <w:tc>
          <w:tcPr>
            <w:tcW w:w="987" w:type="pct"/>
            <w:tcBorders>
              <w:top w:val="nil"/>
              <w:left w:val="nil"/>
              <w:bottom w:val="nil"/>
              <w:right w:val="nil"/>
            </w:tcBorders>
            <w:shd w:val="clear" w:color="auto" w:fill="auto"/>
            <w:noWrap/>
            <w:vAlign w:val="bottom"/>
            <w:hideMark/>
          </w:tcPr>
          <w:p w14:paraId="4F8E8BD7" w14:textId="77777777" w:rsidR="009E50B5" w:rsidRDefault="009E50B5">
            <w:pPr>
              <w:rPr>
                <w:sz w:val="20"/>
                <w:szCs w:val="20"/>
              </w:rPr>
            </w:pPr>
          </w:p>
        </w:tc>
      </w:tr>
      <w:tr w:rsidR="00F26E30" w14:paraId="23548D1B" w14:textId="77777777" w:rsidTr="00F26E30">
        <w:trPr>
          <w:trHeight w:val="240"/>
        </w:trPr>
        <w:tc>
          <w:tcPr>
            <w:tcW w:w="3025" w:type="pct"/>
            <w:tcBorders>
              <w:top w:val="nil"/>
              <w:left w:val="nil"/>
              <w:bottom w:val="nil"/>
              <w:right w:val="nil"/>
            </w:tcBorders>
            <w:shd w:val="clear" w:color="auto" w:fill="auto"/>
            <w:noWrap/>
            <w:vAlign w:val="bottom"/>
            <w:hideMark/>
          </w:tcPr>
          <w:p w14:paraId="1591AF37" w14:textId="77777777" w:rsidR="00F26E30" w:rsidRDefault="00F26E30" w:rsidP="00F26E30">
            <w:pPr>
              <w:rPr>
                <w:rFonts w:ascii="Cambria" w:hAnsi="Cambria" w:cs="Arial"/>
                <w:color w:val="000000"/>
                <w:sz w:val="18"/>
                <w:szCs w:val="18"/>
              </w:rPr>
            </w:pPr>
            <w:r>
              <w:rPr>
                <w:rFonts w:ascii="Cambria" w:hAnsi="Cambria"/>
                <w:color w:val="000000"/>
                <w:sz w:val="18"/>
              </w:rPr>
              <w:t>Créances et autres actifs financiers à long terme</w:t>
            </w:r>
          </w:p>
        </w:tc>
        <w:tc>
          <w:tcPr>
            <w:tcW w:w="988" w:type="pct"/>
            <w:tcBorders>
              <w:top w:val="nil"/>
              <w:left w:val="nil"/>
              <w:bottom w:val="nil"/>
              <w:right w:val="nil"/>
            </w:tcBorders>
            <w:shd w:val="clear" w:color="auto" w:fill="auto"/>
            <w:noWrap/>
            <w:vAlign w:val="bottom"/>
            <w:hideMark/>
          </w:tcPr>
          <w:p w14:paraId="10FB93F8" w14:textId="3A3414EC" w:rsidR="00F26E30" w:rsidRDefault="00F26E30" w:rsidP="00F26E30">
            <w:pPr>
              <w:jc w:val="right"/>
              <w:rPr>
                <w:rFonts w:ascii="Cambria" w:hAnsi="Cambria" w:cs="Arial"/>
                <w:color w:val="000000"/>
                <w:sz w:val="18"/>
                <w:szCs w:val="18"/>
              </w:rPr>
            </w:pPr>
            <w:r>
              <w:rPr>
                <w:rFonts w:ascii="Cambria" w:hAnsi="Cambria"/>
                <w:color w:val="000000"/>
                <w:sz w:val="18"/>
              </w:rPr>
              <w:t>0</w:t>
            </w:r>
          </w:p>
        </w:tc>
        <w:tc>
          <w:tcPr>
            <w:tcW w:w="987" w:type="pct"/>
            <w:tcBorders>
              <w:top w:val="nil"/>
              <w:left w:val="nil"/>
              <w:bottom w:val="nil"/>
              <w:right w:val="nil"/>
            </w:tcBorders>
            <w:shd w:val="clear" w:color="auto" w:fill="auto"/>
            <w:noWrap/>
            <w:vAlign w:val="bottom"/>
            <w:hideMark/>
          </w:tcPr>
          <w:p w14:paraId="1E685368" w14:textId="3705363A" w:rsidR="00F26E30" w:rsidRDefault="00F26E30" w:rsidP="00F26E30">
            <w:pPr>
              <w:jc w:val="right"/>
              <w:rPr>
                <w:rFonts w:ascii="Cambria" w:hAnsi="Cambria" w:cs="Arial"/>
                <w:color w:val="000000"/>
                <w:sz w:val="18"/>
                <w:szCs w:val="18"/>
              </w:rPr>
            </w:pPr>
            <w:r>
              <w:rPr>
                <w:rFonts w:ascii="Cambria" w:hAnsi="Cambria"/>
                <w:color w:val="000000"/>
                <w:sz w:val="18"/>
              </w:rPr>
              <w:t>0</w:t>
            </w:r>
          </w:p>
        </w:tc>
      </w:tr>
      <w:tr w:rsidR="00F26E30" w14:paraId="42982763" w14:textId="77777777" w:rsidTr="00F26E30">
        <w:trPr>
          <w:trHeight w:val="240"/>
        </w:trPr>
        <w:tc>
          <w:tcPr>
            <w:tcW w:w="3025" w:type="pct"/>
            <w:tcBorders>
              <w:top w:val="nil"/>
              <w:left w:val="nil"/>
              <w:bottom w:val="nil"/>
              <w:right w:val="nil"/>
            </w:tcBorders>
            <w:shd w:val="clear" w:color="auto" w:fill="auto"/>
            <w:noWrap/>
            <w:vAlign w:val="bottom"/>
            <w:hideMark/>
          </w:tcPr>
          <w:p w14:paraId="7DB613DB" w14:textId="77777777" w:rsidR="00F26E30" w:rsidRDefault="00F26E30" w:rsidP="00F26E30">
            <w:pPr>
              <w:rPr>
                <w:rFonts w:ascii="Cambria" w:hAnsi="Cambria" w:cs="Arial"/>
                <w:color w:val="000000"/>
                <w:sz w:val="18"/>
                <w:szCs w:val="18"/>
              </w:rPr>
            </w:pPr>
            <w:r>
              <w:rPr>
                <w:rFonts w:ascii="Cambria" w:hAnsi="Cambria"/>
                <w:color w:val="000000"/>
                <w:sz w:val="18"/>
              </w:rPr>
              <w:t>Autres créances à long terme</w:t>
            </w:r>
          </w:p>
        </w:tc>
        <w:tc>
          <w:tcPr>
            <w:tcW w:w="988" w:type="pct"/>
            <w:tcBorders>
              <w:top w:val="nil"/>
              <w:left w:val="nil"/>
              <w:bottom w:val="nil"/>
              <w:right w:val="nil"/>
            </w:tcBorders>
            <w:shd w:val="clear" w:color="auto" w:fill="auto"/>
            <w:noWrap/>
            <w:vAlign w:val="bottom"/>
            <w:hideMark/>
          </w:tcPr>
          <w:p w14:paraId="4D24AA99" w14:textId="7B65B973" w:rsidR="00F26E30" w:rsidRDefault="00F26E30" w:rsidP="00F26E30">
            <w:pPr>
              <w:jc w:val="right"/>
              <w:rPr>
                <w:rFonts w:ascii="Cambria" w:hAnsi="Cambria" w:cs="Arial"/>
                <w:color w:val="000000"/>
                <w:sz w:val="18"/>
                <w:szCs w:val="18"/>
              </w:rPr>
            </w:pPr>
            <w:r>
              <w:rPr>
                <w:rFonts w:ascii="Cambria" w:hAnsi="Cambria"/>
                <w:color w:val="000000"/>
                <w:sz w:val="18"/>
              </w:rPr>
              <w:t>470 071</w:t>
            </w:r>
          </w:p>
        </w:tc>
        <w:tc>
          <w:tcPr>
            <w:tcW w:w="987" w:type="pct"/>
            <w:tcBorders>
              <w:top w:val="nil"/>
              <w:left w:val="nil"/>
              <w:bottom w:val="nil"/>
              <w:right w:val="nil"/>
            </w:tcBorders>
            <w:shd w:val="clear" w:color="auto" w:fill="auto"/>
            <w:noWrap/>
            <w:vAlign w:val="bottom"/>
            <w:hideMark/>
          </w:tcPr>
          <w:p w14:paraId="12B19B1B" w14:textId="752F6141" w:rsidR="00F26E30" w:rsidRDefault="00F26E30" w:rsidP="00F26E30">
            <w:pPr>
              <w:jc w:val="right"/>
              <w:rPr>
                <w:rFonts w:ascii="Cambria" w:hAnsi="Cambria" w:cs="Arial"/>
                <w:color w:val="000000"/>
                <w:sz w:val="18"/>
                <w:szCs w:val="18"/>
              </w:rPr>
            </w:pPr>
            <w:r>
              <w:rPr>
                <w:rFonts w:ascii="Cambria" w:hAnsi="Cambria"/>
                <w:color w:val="000000"/>
                <w:sz w:val="18"/>
              </w:rPr>
              <w:t>479 103</w:t>
            </w:r>
          </w:p>
        </w:tc>
      </w:tr>
      <w:tr w:rsidR="00F26E30" w14:paraId="1E512BE9" w14:textId="77777777" w:rsidTr="00F26E30">
        <w:trPr>
          <w:trHeight w:val="240"/>
        </w:trPr>
        <w:tc>
          <w:tcPr>
            <w:tcW w:w="3025" w:type="pct"/>
            <w:tcBorders>
              <w:top w:val="nil"/>
              <w:left w:val="nil"/>
              <w:bottom w:val="nil"/>
              <w:right w:val="nil"/>
            </w:tcBorders>
            <w:shd w:val="clear" w:color="auto" w:fill="auto"/>
            <w:noWrap/>
            <w:vAlign w:val="bottom"/>
            <w:hideMark/>
          </w:tcPr>
          <w:p w14:paraId="622BCCDE" w14:textId="77777777" w:rsidR="00F26E30" w:rsidRDefault="00F26E30" w:rsidP="00F26E30">
            <w:pPr>
              <w:rPr>
                <w:rFonts w:ascii="Cambria" w:hAnsi="Cambria" w:cs="Arial"/>
                <w:color w:val="000000"/>
                <w:sz w:val="18"/>
                <w:szCs w:val="18"/>
              </w:rPr>
            </w:pPr>
            <w:r>
              <w:rPr>
                <w:rFonts w:ascii="Cambria" w:hAnsi="Cambria"/>
                <w:color w:val="000000"/>
                <w:sz w:val="18"/>
              </w:rPr>
              <w:t>Créances commerciales</w:t>
            </w:r>
          </w:p>
        </w:tc>
        <w:tc>
          <w:tcPr>
            <w:tcW w:w="988" w:type="pct"/>
            <w:tcBorders>
              <w:top w:val="nil"/>
              <w:left w:val="nil"/>
              <w:bottom w:val="nil"/>
              <w:right w:val="nil"/>
            </w:tcBorders>
            <w:shd w:val="clear" w:color="auto" w:fill="auto"/>
            <w:noWrap/>
            <w:vAlign w:val="bottom"/>
            <w:hideMark/>
          </w:tcPr>
          <w:p w14:paraId="455F3A90" w14:textId="2EE54EBF" w:rsidR="00F26E30" w:rsidRDefault="00F26E30" w:rsidP="00F26E30">
            <w:pPr>
              <w:jc w:val="right"/>
              <w:rPr>
                <w:rFonts w:ascii="Cambria" w:hAnsi="Cambria" w:cs="Arial"/>
                <w:color w:val="000000"/>
                <w:sz w:val="18"/>
                <w:szCs w:val="18"/>
              </w:rPr>
            </w:pPr>
            <w:r>
              <w:rPr>
                <w:rFonts w:ascii="Cambria" w:hAnsi="Cambria"/>
                <w:color w:val="000000"/>
                <w:sz w:val="18"/>
              </w:rPr>
              <w:t>111 884</w:t>
            </w:r>
          </w:p>
        </w:tc>
        <w:tc>
          <w:tcPr>
            <w:tcW w:w="987" w:type="pct"/>
            <w:tcBorders>
              <w:top w:val="nil"/>
              <w:left w:val="nil"/>
              <w:bottom w:val="nil"/>
              <w:right w:val="nil"/>
            </w:tcBorders>
            <w:shd w:val="clear" w:color="auto" w:fill="auto"/>
            <w:noWrap/>
            <w:vAlign w:val="bottom"/>
            <w:hideMark/>
          </w:tcPr>
          <w:p w14:paraId="71567EF3" w14:textId="6BAF046D" w:rsidR="00F26E30" w:rsidRDefault="00F26E30" w:rsidP="00F26E30">
            <w:pPr>
              <w:jc w:val="right"/>
              <w:rPr>
                <w:rFonts w:ascii="Cambria" w:hAnsi="Cambria" w:cs="Arial"/>
                <w:color w:val="000000"/>
                <w:sz w:val="18"/>
                <w:szCs w:val="18"/>
              </w:rPr>
            </w:pPr>
            <w:r>
              <w:rPr>
                <w:rFonts w:ascii="Cambria" w:hAnsi="Cambria"/>
                <w:color w:val="000000"/>
                <w:sz w:val="18"/>
              </w:rPr>
              <w:t>179 780</w:t>
            </w:r>
          </w:p>
        </w:tc>
      </w:tr>
      <w:tr w:rsidR="00F26E30" w14:paraId="5243AF03" w14:textId="77777777" w:rsidTr="00F26E30">
        <w:trPr>
          <w:trHeight w:val="240"/>
        </w:trPr>
        <w:tc>
          <w:tcPr>
            <w:tcW w:w="3025" w:type="pct"/>
            <w:tcBorders>
              <w:top w:val="nil"/>
              <w:left w:val="nil"/>
              <w:bottom w:val="nil"/>
              <w:right w:val="nil"/>
            </w:tcBorders>
            <w:shd w:val="clear" w:color="auto" w:fill="auto"/>
            <w:noWrap/>
            <w:vAlign w:val="bottom"/>
            <w:hideMark/>
          </w:tcPr>
          <w:p w14:paraId="2B0E5865" w14:textId="77777777" w:rsidR="00F26E30" w:rsidRDefault="00F26E30" w:rsidP="00F26E30">
            <w:pPr>
              <w:rPr>
                <w:rFonts w:ascii="Cambria" w:hAnsi="Cambria" w:cs="Arial"/>
                <w:color w:val="000000"/>
                <w:sz w:val="18"/>
                <w:szCs w:val="18"/>
              </w:rPr>
            </w:pPr>
            <w:r>
              <w:rPr>
                <w:rFonts w:ascii="Cambria" w:hAnsi="Cambria"/>
                <w:color w:val="000000"/>
                <w:sz w:val="18"/>
              </w:rPr>
              <w:t>Autres créances à court terme</w:t>
            </w:r>
          </w:p>
        </w:tc>
        <w:tc>
          <w:tcPr>
            <w:tcW w:w="988" w:type="pct"/>
            <w:tcBorders>
              <w:top w:val="nil"/>
              <w:left w:val="nil"/>
              <w:bottom w:val="nil"/>
              <w:right w:val="nil"/>
            </w:tcBorders>
            <w:shd w:val="clear" w:color="auto" w:fill="auto"/>
            <w:noWrap/>
            <w:vAlign w:val="bottom"/>
            <w:hideMark/>
          </w:tcPr>
          <w:p w14:paraId="6061F0DB" w14:textId="0C797E8A" w:rsidR="00F26E30" w:rsidRDefault="00F26E30" w:rsidP="00F26E30">
            <w:pPr>
              <w:jc w:val="right"/>
              <w:rPr>
                <w:rFonts w:ascii="Cambria" w:hAnsi="Cambria" w:cs="Arial"/>
                <w:color w:val="000000"/>
                <w:sz w:val="18"/>
                <w:szCs w:val="18"/>
              </w:rPr>
            </w:pPr>
            <w:r>
              <w:rPr>
                <w:rFonts w:ascii="Cambria" w:hAnsi="Cambria"/>
                <w:color w:val="000000"/>
                <w:sz w:val="18"/>
              </w:rPr>
              <w:t>683 154</w:t>
            </w:r>
          </w:p>
        </w:tc>
        <w:tc>
          <w:tcPr>
            <w:tcW w:w="987" w:type="pct"/>
            <w:tcBorders>
              <w:top w:val="nil"/>
              <w:left w:val="nil"/>
              <w:bottom w:val="nil"/>
              <w:right w:val="nil"/>
            </w:tcBorders>
            <w:shd w:val="clear" w:color="auto" w:fill="auto"/>
            <w:noWrap/>
            <w:vAlign w:val="bottom"/>
            <w:hideMark/>
          </w:tcPr>
          <w:p w14:paraId="2861FD6B" w14:textId="68C40C79" w:rsidR="00F26E30" w:rsidRDefault="00F26E30" w:rsidP="00F26E30">
            <w:pPr>
              <w:jc w:val="right"/>
              <w:rPr>
                <w:rFonts w:ascii="Cambria" w:hAnsi="Cambria" w:cs="Arial"/>
                <w:color w:val="000000"/>
                <w:sz w:val="18"/>
                <w:szCs w:val="18"/>
              </w:rPr>
            </w:pPr>
            <w:r>
              <w:rPr>
                <w:rFonts w:ascii="Cambria" w:hAnsi="Cambria"/>
                <w:color w:val="000000"/>
                <w:sz w:val="18"/>
              </w:rPr>
              <w:t>737 372</w:t>
            </w:r>
          </w:p>
        </w:tc>
      </w:tr>
      <w:tr w:rsidR="00F26E30" w14:paraId="07C1A1F6" w14:textId="77777777" w:rsidTr="00F26E30">
        <w:trPr>
          <w:trHeight w:val="240"/>
        </w:trPr>
        <w:tc>
          <w:tcPr>
            <w:tcW w:w="3025" w:type="pct"/>
            <w:tcBorders>
              <w:top w:val="nil"/>
              <w:left w:val="nil"/>
              <w:bottom w:val="nil"/>
              <w:right w:val="nil"/>
            </w:tcBorders>
            <w:shd w:val="clear" w:color="auto" w:fill="auto"/>
            <w:noWrap/>
            <w:vAlign w:val="bottom"/>
            <w:hideMark/>
          </w:tcPr>
          <w:p w14:paraId="099DE853" w14:textId="77777777" w:rsidR="00F26E30" w:rsidRDefault="00F26E30" w:rsidP="00F26E30">
            <w:pPr>
              <w:rPr>
                <w:rFonts w:ascii="Cambria" w:hAnsi="Cambria" w:cs="Arial"/>
                <w:color w:val="000000"/>
                <w:sz w:val="18"/>
                <w:szCs w:val="18"/>
              </w:rPr>
            </w:pPr>
            <w:r>
              <w:rPr>
                <w:rFonts w:ascii="Cambria" w:hAnsi="Cambria"/>
                <w:color w:val="000000"/>
                <w:sz w:val="18"/>
              </w:rPr>
              <w:t>Créances fiscales</w:t>
            </w:r>
          </w:p>
        </w:tc>
        <w:tc>
          <w:tcPr>
            <w:tcW w:w="988" w:type="pct"/>
            <w:tcBorders>
              <w:top w:val="nil"/>
              <w:left w:val="nil"/>
              <w:bottom w:val="nil"/>
              <w:right w:val="nil"/>
            </w:tcBorders>
            <w:shd w:val="clear" w:color="auto" w:fill="auto"/>
            <w:noWrap/>
            <w:vAlign w:val="bottom"/>
            <w:hideMark/>
          </w:tcPr>
          <w:p w14:paraId="09E670A7" w14:textId="04AB39ED" w:rsidR="00F26E30" w:rsidRDefault="00F26E30" w:rsidP="00F26E30">
            <w:pPr>
              <w:jc w:val="right"/>
              <w:rPr>
                <w:rFonts w:ascii="Cambria" w:hAnsi="Cambria" w:cs="Arial"/>
                <w:color w:val="000000"/>
                <w:sz w:val="18"/>
                <w:szCs w:val="18"/>
              </w:rPr>
            </w:pPr>
            <w:r>
              <w:rPr>
                <w:rFonts w:ascii="Cambria" w:hAnsi="Cambria"/>
                <w:color w:val="000000"/>
                <w:sz w:val="18"/>
              </w:rPr>
              <w:t>1 334 353</w:t>
            </w:r>
          </w:p>
        </w:tc>
        <w:tc>
          <w:tcPr>
            <w:tcW w:w="987" w:type="pct"/>
            <w:tcBorders>
              <w:top w:val="nil"/>
              <w:left w:val="nil"/>
              <w:bottom w:val="nil"/>
              <w:right w:val="nil"/>
            </w:tcBorders>
            <w:shd w:val="clear" w:color="auto" w:fill="auto"/>
            <w:noWrap/>
            <w:vAlign w:val="bottom"/>
            <w:hideMark/>
          </w:tcPr>
          <w:p w14:paraId="687C687E" w14:textId="407A9C60" w:rsidR="00F26E30" w:rsidRDefault="00F26E30" w:rsidP="00F26E30">
            <w:pPr>
              <w:jc w:val="right"/>
              <w:rPr>
                <w:rFonts w:ascii="Cambria" w:hAnsi="Cambria" w:cs="Arial"/>
                <w:color w:val="000000"/>
                <w:sz w:val="18"/>
                <w:szCs w:val="18"/>
              </w:rPr>
            </w:pPr>
            <w:r>
              <w:rPr>
                <w:rFonts w:ascii="Cambria" w:hAnsi="Cambria"/>
                <w:color w:val="000000"/>
                <w:sz w:val="18"/>
              </w:rPr>
              <w:t>17 222</w:t>
            </w:r>
          </w:p>
        </w:tc>
      </w:tr>
      <w:tr w:rsidR="00F26E30" w14:paraId="47D9A551" w14:textId="77777777" w:rsidTr="00F26E30">
        <w:trPr>
          <w:trHeight w:val="240"/>
        </w:trPr>
        <w:tc>
          <w:tcPr>
            <w:tcW w:w="3025" w:type="pct"/>
            <w:tcBorders>
              <w:top w:val="nil"/>
              <w:left w:val="nil"/>
              <w:bottom w:val="nil"/>
              <w:right w:val="nil"/>
            </w:tcBorders>
            <w:shd w:val="clear" w:color="auto" w:fill="auto"/>
            <w:noWrap/>
            <w:vAlign w:val="bottom"/>
            <w:hideMark/>
          </w:tcPr>
          <w:p w14:paraId="2A6F1B55" w14:textId="77777777" w:rsidR="00F26E30" w:rsidRDefault="00F26E30" w:rsidP="00F26E30">
            <w:pPr>
              <w:rPr>
                <w:rFonts w:ascii="Cambria" w:hAnsi="Cambria" w:cs="Arial"/>
                <w:color w:val="000000"/>
                <w:sz w:val="18"/>
                <w:szCs w:val="18"/>
              </w:rPr>
            </w:pPr>
            <w:r>
              <w:rPr>
                <w:rFonts w:ascii="Cambria" w:hAnsi="Cambria"/>
                <w:color w:val="000000"/>
                <w:sz w:val="18"/>
              </w:rPr>
              <w:t>Actifs financiers à court terme</w:t>
            </w:r>
          </w:p>
        </w:tc>
        <w:tc>
          <w:tcPr>
            <w:tcW w:w="988" w:type="pct"/>
            <w:tcBorders>
              <w:top w:val="nil"/>
              <w:left w:val="nil"/>
              <w:bottom w:val="nil"/>
              <w:right w:val="nil"/>
            </w:tcBorders>
            <w:shd w:val="clear" w:color="auto" w:fill="auto"/>
            <w:noWrap/>
            <w:vAlign w:val="bottom"/>
            <w:hideMark/>
          </w:tcPr>
          <w:p w14:paraId="037851DE" w14:textId="055A8934" w:rsidR="00F26E30" w:rsidRDefault="00F26E30" w:rsidP="00F26E30">
            <w:pPr>
              <w:jc w:val="right"/>
              <w:rPr>
                <w:rFonts w:ascii="Cambria" w:hAnsi="Cambria" w:cs="Arial"/>
                <w:color w:val="000000"/>
                <w:sz w:val="18"/>
                <w:szCs w:val="18"/>
              </w:rPr>
            </w:pPr>
            <w:r>
              <w:rPr>
                <w:rFonts w:ascii="Cambria" w:hAnsi="Cambria"/>
                <w:color w:val="000000"/>
                <w:sz w:val="18"/>
              </w:rPr>
              <w:t>0</w:t>
            </w:r>
          </w:p>
        </w:tc>
        <w:tc>
          <w:tcPr>
            <w:tcW w:w="987" w:type="pct"/>
            <w:tcBorders>
              <w:top w:val="nil"/>
              <w:left w:val="nil"/>
              <w:bottom w:val="nil"/>
              <w:right w:val="nil"/>
            </w:tcBorders>
            <w:shd w:val="clear" w:color="auto" w:fill="auto"/>
            <w:noWrap/>
            <w:vAlign w:val="bottom"/>
            <w:hideMark/>
          </w:tcPr>
          <w:p w14:paraId="39E957CA" w14:textId="3F0DD83A" w:rsidR="00F26E30" w:rsidRDefault="00F26E30" w:rsidP="00F26E30">
            <w:pPr>
              <w:jc w:val="right"/>
              <w:rPr>
                <w:rFonts w:ascii="Cambria" w:hAnsi="Cambria" w:cs="Arial"/>
                <w:color w:val="000000"/>
                <w:sz w:val="18"/>
                <w:szCs w:val="18"/>
              </w:rPr>
            </w:pPr>
            <w:r>
              <w:rPr>
                <w:rFonts w:ascii="Cambria" w:hAnsi="Cambria"/>
                <w:color w:val="000000"/>
                <w:sz w:val="18"/>
              </w:rPr>
              <w:t>0</w:t>
            </w:r>
          </w:p>
        </w:tc>
      </w:tr>
      <w:tr w:rsidR="00F26E30" w14:paraId="65578E48" w14:textId="77777777" w:rsidTr="00F26E30">
        <w:trPr>
          <w:trHeight w:val="255"/>
        </w:trPr>
        <w:tc>
          <w:tcPr>
            <w:tcW w:w="3025" w:type="pct"/>
            <w:tcBorders>
              <w:top w:val="nil"/>
              <w:left w:val="nil"/>
              <w:bottom w:val="nil"/>
              <w:right w:val="nil"/>
            </w:tcBorders>
            <w:shd w:val="clear" w:color="auto" w:fill="auto"/>
            <w:noWrap/>
            <w:vAlign w:val="bottom"/>
            <w:hideMark/>
          </w:tcPr>
          <w:p w14:paraId="03A7F277" w14:textId="77777777" w:rsidR="00F26E30" w:rsidRDefault="00F26E30" w:rsidP="00F26E30">
            <w:pPr>
              <w:rPr>
                <w:rFonts w:ascii="Cambria" w:hAnsi="Cambria" w:cs="Arial"/>
                <w:b/>
                <w:bCs/>
                <w:color w:val="000000"/>
                <w:sz w:val="18"/>
                <w:szCs w:val="18"/>
              </w:rPr>
            </w:pPr>
            <w:r>
              <w:rPr>
                <w:rFonts w:ascii="Cambria" w:hAnsi="Cambria"/>
                <w:b/>
                <w:color w:val="000000"/>
                <w:sz w:val="18"/>
              </w:rPr>
              <w:t>Total Actifs financiers au coût amorti</w:t>
            </w:r>
          </w:p>
        </w:tc>
        <w:tc>
          <w:tcPr>
            <w:tcW w:w="988" w:type="pct"/>
            <w:tcBorders>
              <w:top w:val="single" w:sz="4" w:space="0" w:color="auto"/>
              <w:left w:val="nil"/>
              <w:bottom w:val="single" w:sz="8" w:space="0" w:color="auto"/>
              <w:right w:val="nil"/>
            </w:tcBorders>
            <w:shd w:val="clear" w:color="auto" w:fill="auto"/>
            <w:noWrap/>
            <w:vAlign w:val="bottom"/>
            <w:hideMark/>
          </w:tcPr>
          <w:p w14:paraId="5D0D7122" w14:textId="0406D6A7" w:rsidR="00F26E30" w:rsidRDefault="00F26E30" w:rsidP="00F26E30">
            <w:pPr>
              <w:jc w:val="right"/>
              <w:rPr>
                <w:rFonts w:ascii="Cambria" w:hAnsi="Cambria" w:cs="Arial"/>
                <w:b/>
                <w:bCs/>
                <w:color w:val="000000"/>
                <w:sz w:val="18"/>
                <w:szCs w:val="18"/>
              </w:rPr>
            </w:pPr>
            <w:r>
              <w:rPr>
                <w:rFonts w:ascii="Cambria" w:hAnsi="Cambria"/>
                <w:b/>
                <w:color w:val="000000"/>
                <w:sz w:val="18"/>
              </w:rPr>
              <w:t>2 599 462</w:t>
            </w:r>
          </w:p>
        </w:tc>
        <w:tc>
          <w:tcPr>
            <w:tcW w:w="987" w:type="pct"/>
            <w:tcBorders>
              <w:top w:val="single" w:sz="4" w:space="0" w:color="auto"/>
              <w:left w:val="nil"/>
              <w:bottom w:val="single" w:sz="8" w:space="0" w:color="auto"/>
              <w:right w:val="nil"/>
            </w:tcBorders>
            <w:shd w:val="clear" w:color="auto" w:fill="auto"/>
            <w:noWrap/>
            <w:vAlign w:val="bottom"/>
            <w:hideMark/>
          </w:tcPr>
          <w:p w14:paraId="67B9FE24" w14:textId="6FD8FF75" w:rsidR="00F26E30" w:rsidRDefault="00F26E30" w:rsidP="00F26E30">
            <w:pPr>
              <w:jc w:val="right"/>
              <w:rPr>
                <w:rFonts w:ascii="Cambria" w:hAnsi="Cambria" w:cs="Arial"/>
                <w:b/>
                <w:bCs/>
                <w:color w:val="000000"/>
                <w:sz w:val="18"/>
                <w:szCs w:val="18"/>
              </w:rPr>
            </w:pPr>
            <w:r>
              <w:rPr>
                <w:rFonts w:ascii="Cambria" w:hAnsi="Cambria"/>
                <w:b/>
                <w:color w:val="000000"/>
                <w:sz w:val="18"/>
              </w:rPr>
              <w:t>1 413 478</w:t>
            </w:r>
          </w:p>
        </w:tc>
      </w:tr>
      <w:tr w:rsidR="00F26E30" w14:paraId="6AB1486B" w14:textId="77777777" w:rsidTr="00F26E30">
        <w:trPr>
          <w:trHeight w:val="240"/>
        </w:trPr>
        <w:tc>
          <w:tcPr>
            <w:tcW w:w="3025" w:type="pct"/>
            <w:tcBorders>
              <w:top w:val="nil"/>
              <w:left w:val="nil"/>
              <w:bottom w:val="nil"/>
              <w:right w:val="nil"/>
            </w:tcBorders>
            <w:shd w:val="clear" w:color="auto" w:fill="auto"/>
            <w:noWrap/>
            <w:vAlign w:val="bottom"/>
            <w:hideMark/>
          </w:tcPr>
          <w:p w14:paraId="6AFA4CE0" w14:textId="77777777" w:rsidR="00F26E30" w:rsidRDefault="00F26E30" w:rsidP="00F26E30">
            <w:pPr>
              <w:jc w:val="right"/>
              <w:rPr>
                <w:rFonts w:ascii="Cambria" w:hAnsi="Cambria" w:cs="Arial"/>
                <w:b/>
                <w:bCs/>
                <w:color w:val="000000"/>
                <w:sz w:val="18"/>
                <w:szCs w:val="18"/>
              </w:rPr>
            </w:pPr>
          </w:p>
        </w:tc>
        <w:tc>
          <w:tcPr>
            <w:tcW w:w="988" w:type="pct"/>
            <w:tcBorders>
              <w:top w:val="nil"/>
              <w:left w:val="nil"/>
              <w:bottom w:val="nil"/>
              <w:right w:val="nil"/>
            </w:tcBorders>
            <w:shd w:val="clear" w:color="auto" w:fill="auto"/>
            <w:noWrap/>
            <w:vAlign w:val="bottom"/>
            <w:hideMark/>
          </w:tcPr>
          <w:p w14:paraId="1F641CB9" w14:textId="41AB6C2D" w:rsidR="00F26E30" w:rsidRDefault="00F26E30" w:rsidP="00F26E30">
            <w:pPr>
              <w:jc w:val="right"/>
              <w:rPr>
                <w:rFonts w:ascii="Cambria" w:hAnsi="Cambria" w:cs="Arial"/>
                <w:color w:val="000000"/>
                <w:sz w:val="18"/>
                <w:szCs w:val="18"/>
              </w:rPr>
            </w:pPr>
            <w:r>
              <w:rPr>
                <w:rFonts w:ascii="Cambria" w:hAnsi="Cambria"/>
                <w:color w:val="000000"/>
                <w:sz w:val="18"/>
              </w:rPr>
              <w:t> </w:t>
            </w:r>
          </w:p>
        </w:tc>
        <w:tc>
          <w:tcPr>
            <w:tcW w:w="987" w:type="pct"/>
            <w:tcBorders>
              <w:top w:val="nil"/>
              <w:left w:val="nil"/>
              <w:bottom w:val="nil"/>
              <w:right w:val="nil"/>
            </w:tcBorders>
            <w:shd w:val="clear" w:color="auto" w:fill="auto"/>
            <w:noWrap/>
            <w:vAlign w:val="bottom"/>
            <w:hideMark/>
          </w:tcPr>
          <w:p w14:paraId="5EAE95AF" w14:textId="0D01BC82" w:rsidR="00F26E30" w:rsidRDefault="00F26E30" w:rsidP="00F26E30">
            <w:pPr>
              <w:jc w:val="right"/>
              <w:rPr>
                <w:rFonts w:ascii="Cambria" w:hAnsi="Cambria" w:cs="Arial"/>
                <w:color w:val="000000"/>
                <w:sz w:val="18"/>
                <w:szCs w:val="18"/>
              </w:rPr>
            </w:pPr>
            <w:r>
              <w:rPr>
                <w:rFonts w:ascii="Cambria" w:hAnsi="Cambria"/>
                <w:color w:val="000000"/>
                <w:sz w:val="18"/>
              </w:rPr>
              <w:t> </w:t>
            </w:r>
          </w:p>
        </w:tc>
      </w:tr>
      <w:tr w:rsidR="00F26E30" w14:paraId="23175EC3" w14:textId="77777777" w:rsidTr="00F26E30">
        <w:trPr>
          <w:trHeight w:val="240"/>
        </w:trPr>
        <w:tc>
          <w:tcPr>
            <w:tcW w:w="3025" w:type="pct"/>
            <w:tcBorders>
              <w:top w:val="nil"/>
              <w:left w:val="nil"/>
              <w:bottom w:val="nil"/>
              <w:right w:val="nil"/>
            </w:tcBorders>
            <w:shd w:val="clear" w:color="auto" w:fill="auto"/>
            <w:noWrap/>
            <w:vAlign w:val="bottom"/>
            <w:hideMark/>
          </w:tcPr>
          <w:p w14:paraId="2E3415A7" w14:textId="77777777" w:rsidR="00F26E30" w:rsidRDefault="00F26E30" w:rsidP="00F26E30">
            <w:pPr>
              <w:rPr>
                <w:rFonts w:ascii="Cambria" w:hAnsi="Cambria" w:cs="Arial"/>
                <w:b/>
                <w:bCs/>
                <w:color w:val="000000"/>
                <w:sz w:val="18"/>
                <w:szCs w:val="18"/>
              </w:rPr>
            </w:pPr>
            <w:r>
              <w:rPr>
                <w:rFonts w:ascii="Cambria" w:hAnsi="Cambria"/>
                <w:b/>
                <w:color w:val="000000"/>
                <w:sz w:val="18"/>
              </w:rPr>
              <w:t>Passifs financiers au coût amorti</w:t>
            </w:r>
          </w:p>
        </w:tc>
        <w:tc>
          <w:tcPr>
            <w:tcW w:w="988" w:type="pct"/>
            <w:tcBorders>
              <w:top w:val="nil"/>
              <w:left w:val="nil"/>
              <w:bottom w:val="nil"/>
              <w:right w:val="nil"/>
            </w:tcBorders>
            <w:shd w:val="clear" w:color="auto" w:fill="auto"/>
            <w:noWrap/>
            <w:vAlign w:val="bottom"/>
            <w:hideMark/>
          </w:tcPr>
          <w:p w14:paraId="1F2F66E9" w14:textId="7FDD9129" w:rsidR="00F26E30" w:rsidRDefault="00F26E30" w:rsidP="00F26E30">
            <w:pPr>
              <w:jc w:val="right"/>
              <w:rPr>
                <w:rFonts w:ascii="Cambria" w:hAnsi="Cambria" w:cs="Arial"/>
                <w:color w:val="000000"/>
                <w:sz w:val="18"/>
                <w:szCs w:val="18"/>
              </w:rPr>
            </w:pPr>
            <w:r>
              <w:rPr>
                <w:rFonts w:ascii="Cambria" w:hAnsi="Cambria"/>
                <w:color w:val="000000"/>
                <w:sz w:val="18"/>
              </w:rPr>
              <w:t> </w:t>
            </w:r>
          </w:p>
        </w:tc>
        <w:tc>
          <w:tcPr>
            <w:tcW w:w="987" w:type="pct"/>
            <w:tcBorders>
              <w:top w:val="nil"/>
              <w:left w:val="nil"/>
              <w:bottom w:val="nil"/>
              <w:right w:val="nil"/>
            </w:tcBorders>
            <w:shd w:val="clear" w:color="auto" w:fill="auto"/>
            <w:noWrap/>
            <w:vAlign w:val="bottom"/>
            <w:hideMark/>
          </w:tcPr>
          <w:p w14:paraId="788BB7CE" w14:textId="712213D8" w:rsidR="00F26E30" w:rsidRDefault="00F26E30" w:rsidP="00F26E30">
            <w:pPr>
              <w:jc w:val="right"/>
              <w:rPr>
                <w:rFonts w:ascii="Cambria" w:hAnsi="Cambria" w:cs="Arial"/>
                <w:color w:val="000000"/>
                <w:sz w:val="18"/>
                <w:szCs w:val="18"/>
              </w:rPr>
            </w:pPr>
            <w:r>
              <w:rPr>
                <w:rFonts w:ascii="Cambria" w:hAnsi="Cambria"/>
                <w:color w:val="000000"/>
                <w:sz w:val="18"/>
              </w:rPr>
              <w:t> </w:t>
            </w:r>
          </w:p>
        </w:tc>
      </w:tr>
      <w:tr w:rsidR="00F26E30" w14:paraId="0A0C7785" w14:textId="77777777" w:rsidTr="00F26E30">
        <w:trPr>
          <w:trHeight w:val="240"/>
        </w:trPr>
        <w:tc>
          <w:tcPr>
            <w:tcW w:w="3025" w:type="pct"/>
            <w:tcBorders>
              <w:top w:val="nil"/>
              <w:left w:val="nil"/>
              <w:bottom w:val="nil"/>
              <w:right w:val="nil"/>
            </w:tcBorders>
            <w:shd w:val="clear" w:color="auto" w:fill="auto"/>
            <w:noWrap/>
            <w:vAlign w:val="bottom"/>
            <w:hideMark/>
          </w:tcPr>
          <w:p w14:paraId="529B1B4E" w14:textId="77777777" w:rsidR="00F26E30" w:rsidRDefault="00F26E30" w:rsidP="00F26E30">
            <w:pPr>
              <w:rPr>
                <w:rFonts w:ascii="Cambria" w:hAnsi="Cambria" w:cs="Arial"/>
                <w:color w:val="000000"/>
                <w:sz w:val="18"/>
                <w:szCs w:val="18"/>
              </w:rPr>
            </w:pPr>
            <w:r>
              <w:rPr>
                <w:rFonts w:ascii="Cambria" w:hAnsi="Cambria"/>
                <w:color w:val="000000"/>
                <w:sz w:val="18"/>
              </w:rPr>
              <w:t>Prêts à moyen et long terme</w:t>
            </w:r>
          </w:p>
        </w:tc>
        <w:tc>
          <w:tcPr>
            <w:tcW w:w="988" w:type="pct"/>
            <w:tcBorders>
              <w:top w:val="nil"/>
              <w:left w:val="nil"/>
              <w:bottom w:val="nil"/>
              <w:right w:val="nil"/>
            </w:tcBorders>
            <w:shd w:val="clear" w:color="auto" w:fill="auto"/>
            <w:noWrap/>
            <w:vAlign w:val="bottom"/>
            <w:hideMark/>
          </w:tcPr>
          <w:p w14:paraId="23736F95" w14:textId="5BC012DF" w:rsidR="00F26E30" w:rsidRDefault="00F26E30" w:rsidP="00F26E30">
            <w:pPr>
              <w:jc w:val="right"/>
              <w:rPr>
                <w:rFonts w:ascii="Cambria" w:hAnsi="Cambria" w:cs="Arial"/>
                <w:color w:val="000000"/>
                <w:sz w:val="18"/>
                <w:szCs w:val="18"/>
              </w:rPr>
            </w:pPr>
            <w:r>
              <w:rPr>
                <w:rFonts w:ascii="Cambria" w:hAnsi="Cambria"/>
                <w:color w:val="000000"/>
                <w:sz w:val="18"/>
              </w:rPr>
              <w:t xml:space="preserve">                4 197 711 </w:t>
            </w:r>
          </w:p>
        </w:tc>
        <w:tc>
          <w:tcPr>
            <w:tcW w:w="987" w:type="pct"/>
            <w:tcBorders>
              <w:top w:val="nil"/>
              <w:left w:val="nil"/>
              <w:bottom w:val="nil"/>
              <w:right w:val="nil"/>
            </w:tcBorders>
            <w:shd w:val="clear" w:color="auto" w:fill="auto"/>
            <w:noWrap/>
            <w:vAlign w:val="bottom"/>
            <w:hideMark/>
          </w:tcPr>
          <w:p w14:paraId="1E8C5E5A" w14:textId="228A8090" w:rsidR="00F26E30" w:rsidRDefault="00F26E30" w:rsidP="00F26E30">
            <w:pPr>
              <w:jc w:val="right"/>
              <w:rPr>
                <w:rFonts w:ascii="Cambria" w:hAnsi="Cambria" w:cs="Arial"/>
                <w:color w:val="000000"/>
                <w:sz w:val="18"/>
                <w:szCs w:val="18"/>
              </w:rPr>
            </w:pPr>
            <w:r>
              <w:rPr>
                <w:rFonts w:ascii="Cambria" w:hAnsi="Cambria"/>
                <w:color w:val="000000"/>
                <w:sz w:val="18"/>
              </w:rPr>
              <w:t xml:space="preserve">                4 115 858 </w:t>
            </w:r>
          </w:p>
        </w:tc>
      </w:tr>
      <w:tr w:rsidR="00F26E30" w14:paraId="4C28BBD3" w14:textId="77777777" w:rsidTr="00F26E30">
        <w:trPr>
          <w:trHeight w:val="240"/>
        </w:trPr>
        <w:tc>
          <w:tcPr>
            <w:tcW w:w="3025" w:type="pct"/>
            <w:tcBorders>
              <w:top w:val="nil"/>
              <w:left w:val="nil"/>
              <w:bottom w:val="nil"/>
              <w:right w:val="nil"/>
            </w:tcBorders>
            <w:shd w:val="clear" w:color="auto" w:fill="auto"/>
            <w:noWrap/>
            <w:vAlign w:val="bottom"/>
            <w:hideMark/>
          </w:tcPr>
          <w:p w14:paraId="1B51CE1C" w14:textId="77777777" w:rsidR="00F26E30" w:rsidRDefault="00F26E30" w:rsidP="00F26E30">
            <w:pPr>
              <w:rPr>
                <w:rFonts w:ascii="Cambria" w:hAnsi="Cambria" w:cs="Arial"/>
                <w:color w:val="000000"/>
                <w:sz w:val="18"/>
                <w:szCs w:val="18"/>
              </w:rPr>
            </w:pPr>
            <w:r>
              <w:rPr>
                <w:rFonts w:ascii="Cambria" w:hAnsi="Cambria"/>
                <w:color w:val="000000"/>
                <w:sz w:val="18"/>
              </w:rPr>
              <w:t>Autres passifs financiers à long terme</w:t>
            </w:r>
          </w:p>
        </w:tc>
        <w:tc>
          <w:tcPr>
            <w:tcW w:w="988" w:type="pct"/>
            <w:tcBorders>
              <w:top w:val="nil"/>
              <w:left w:val="nil"/>
              <w:bottom w:val="nil"/>
              <w:right w:val="nil"/>
            </w:tcBorders>
            <w:shd w:val="clear" w:color="auto" w:fill="auto"/>
            <w:noWrap/>
            <w:vAlign w:val="bottom"/>
            <w:hideMark/>
          </w:tcPr>
          <w:p w14:paraId="2C5CC2C4" w14:textId="6D92549A" w:rsidR="00F26E30" w:rsidRDefault="00F26E30" w:rsidP="00F26E30">
            <w:pPr>
              <w:jc w:val="right"/>
              <w:rPr>
                <w:rFonts w:ascii="Cambria" w:hAnsi="Cambria" w:cs="Arial"/>
                <w:color w:val="000000"/>
                <w:sz w:val="18"/>
                <w:szCs w:val="18"/>
              </w:rPr>
            </w:pPr>
            <w:r>
              <w:rPr>
                <w:rFonts w:ascii="Cambria" w:hAnsi="Cambria"/>
                <w:color w:val="000000"/>
                <w:sz w:val="18"/>
              </w:rPr>
              <w:t xml:space="preserve">                4 576 623 </w:t>
            </w:r>
          </w:p>
        </w:tc>
        <w:tc>
          <w:tcPr>
            <w:tcW w:w="987" w:type="pct"/>
            <w:tcBorders>
              <w:top w:val="nil"/>
              <w:left w:val="nil"/>
              <w:bottom w:val="nil"/>
              <w:right w:val="nil"/>
            </w:tcBorders>
            <w:shd w:val="clear" w:color="auto" w:fill="auto"/>
            <w:noWrap/>
            <w:vAlign w:val="bottom"/>
            <w:hideMark/>
          </w:tcPr>
          <w:p w14:paraId="7DA8B4B0" w14:textId="0CFF87B6" w:rsidR="00F26E30" w:rsidRDefault="00F26E30" w:rsidP="00F26E30">
            <w:pPr>
              <w:jc w:val="right"/>
              <w:rPr>
                <w:rFonts w:ascii="Cambria" w:hAnsi="Cambria" w:cs="Arial"/>
                <w:color w:val="000000"/>
                <w:sz w:val="18"/>
                <w:szCs w:val="18"/>
              </w:rPr>
            </w:pPr>
            <w:r>
              <w:rPr>
                <w:rFonts w:ascii="Cambria" w:hAnsi="Cambria"/>
                <w:color w:val="000000"/>
                <w:sz w:val="18"/>
              </w:rPr>
              <w:t xml:space="preserve">                6 584 043 </w:t>
            </w:r>
          </w:p>
        </w:tc>
      </w:tr>
      <w:tr w:rsidR="00F26E30" w14:paraId="4B498A34" w14:textId="77777777" w:rsidTr="00F26E30">
        <w:trPr>
          <w:trHeight w:val="240"/>
        </w:trPr>
        <w:tc>
          <w:tcPr>
            <w:tcW w:w="3025" w:type="pct"/>
            <w:tcBorders>
              <w:top w:val="nil"/>
              <w:left w:val="nil"/>
              <w:bottom w:val="nil"/>
              <w:right w:val="nil"/>
            </w:tcBorders>
            <w:shd w:val="clear" w:color="auto" w:fill="auto"/>
            <w:noWrap/>
            <w:vAlign w:val="bottom"/>
            <w:hideMark/>
          </w:tcPr>
          <w:p w14:paraId="51BA591B" w14:textId="77777777" w:rsidR="00F26E30" w:rsidRDefault="00F26E30" w:rsidP="00F26E30">
            <w:pPr>
              <w:rPr>
                <w:rFonts w:ascii="Cambria" w:hAnsi="Cambria" w:cs="Arial"/>
                <w:color w:val="000000"/>
                <w:sz w:val="18"/>
                <w:szCs w:val="18"/>
              </w:rPr>
            </w:pPr>
            <w:r>
              <w:rPr>
                <w:rFonts w:ascii="Cambria" w:hAnsi="Cambria"/>
                <w:color w:val="000000"/>
                <w:sz w:val="18"/>
              </w:rPr>
              <w:t>Dettes envers les banques et part à court terme des prêts à long terme</w:t>
            </w:r>
          </w:p>
        </w:tc>
        <w:tc>
          <w:tcPr>
            <w:tcW w:w="988" w:type="pct"/>
            <w:tcBorders>
              <w:top w:val="nil"/>
              <w:left w:val="nil"/>
              <w:bottom w:val="nil"/>
              <w:right w:val="nil"/>
            </w:tcBorders>
            <w:shd w:val="clear" w:color="auto" w:fill="auto"/>
            <w:noWrap/>
            <w:vAlign w:val="bottom"/>
            <w:hideMark/>
          </w:tcPr>
          <w:p w14:paraId="74F93746" w14:textId="7D74DB2B" w:rsidR="00F26E30" w:rsidRDefault="00F26E30" w:rsidP="00F26E30">
            <w:pPr>
              <w:jc w:val="right"/>
              <w:rPr>
                <w:rFonts w:ascii="Cambria" w:hAnsi="Cambria" w:cs="Arial"/>
                <w:color w:val="000000"/>
                <w:sz w:val="18"/>
                <w:szCs w:val="18"/>
              </w:rPr>
            </w:pPr>
            <w:r>
              <w:rPr>
                <w:rFonts w:ascii="Cambria" w:hAnsi="Cambria"/>
                <w:color w:val="000000"/>
                <w:sz w:val="18"/>
              </w:rPr>
              <w:t xml:space="preserve">                2 461 030 </w:t>
            </w:r>
          </w:p>
        </w:tc>
        <w:tc>
          <w:tcPr>
            <w:tcW w:w="987" w:type="pct"/>
            <w:tcBorders>
              <w:top w:val="nil"/>
              <w:left w:val="nil"/>
              <w:bottom w:val="nil"/>
              <w:right w:val="nil"/>
            </w:tcBorders>
            <w:shd w:val="clear" w:color="auto" w:fill="auto"/>
            <w:noWrap/>
            <w:vAlign w:val="bottom"/>
            <w:hideMark/>
          </w:tcPr>
          <w:p w14:paraId="17CA69CD" w14:textId="0100FE80" w:rsidR="00F26E30" w:rsidRDefault="00F26E30" w:rsidP="00F26E30">
            <w:pPr>
              <w:jc w:val="right"/>
              <w:rPr>
                <w:rFonts w:ascii="Cambria" w:hAnsi="Cambria" w:cs="Arial"/>
                <w:color w:val="000000"/>
                <w:sz w:val="18"/>
                <w:szCs w:val="18"/>
              </w:rPr>
            </w:pPr>
            <w:r>
              <w:rPr>
                <w:rFonts w:ascii="Cambria" w:hAnsi="Cambria"/>
                <w:color w:val="000000"/>
                <w:sz w:val="18"/>
              </w:rPr>
              <w:t xml:space="preserve">                1 477 061 </w:t>
            </w:r>
          </w:p>
        </w:tc>
      </w:tr>
      <w:tr w:rsidR="00F26E30" w14:paraId="3C09B2E0" w14:textId="77777777" w:rsidTr="00F26E30">
        <w:trPr>
          <w:trHeight w:val="240"/>
        </w:trPr>
        <w:tc>
          <w:tcPr>
            <w:tcW w:w="3025" w:type="pct"/>
            <w:tcBorders>
              <w:top w:val="nil"/>
              <w:left w:val="nil"/>
              <w:bottom w:val="nil"/>
              <w:right w:val="nil"/>
            </w:tcBorders>
            <w:shd w:val="clear" w:color="auto" w:fill="auto"/>
            <w:noWrap/>
            <w:vAlign w:val="bottom"/>
            <w:hideMark/>
          </w:tcPr>
          <w:p w14:paraId="5F47D796" w14:textId="77777777" w:rsidR="00F26E30" w:rsidRDefault="00F26E30" w:rsidP="00F26E30">
            <w:pPr>
              <w:rPr>
                <w:rFonts w:ascii="Cambria" w:hAnsi="Cambria" w:cs="Arial"/>
                <w:color w:val="000000"/>
                <w:sz w:val="18"/>
                <w:szCs w:val="18"/>
              </w:rPr>
            </w:pPr>
            <w:r>
              <w:rPr>
                <w:rFonts w:ascii="Cambria" w:hAnsi="Cambria"/>
                <w:color w:val="000000"/>
                <w:sz w:val="18"/>
              </w:rPr>
              <w:t>Autres passifs financiers exigibles</w:t>
            </w:r>
          </w:p>
        </w:tc>
        <w:tc>
          <w:tcPr>
            <w:tcW w:w="988" w:type="pct"/>
            <w:tcBorders>
              <w:top w:val="nil"/>
              <w:left w:val="nil"/>
              <w:bottom w:val="nil"/>
              <w:right w:val="nil"/>
            </w:tcBorders>
            <w:shd w:val="clear" w:color="auto" w:fill="auto"/>
            <w:noWrap/>
            <w:vAlign w:val="bottom"/>
            <w:hideMark/>
          </w:tcPr>
          <w:p w14:paraId="62268881" w14:textId="3AE477B0" w:rsidR="00F26E30" w:rsidRDefault="00F26E30" w:rsidP="00F26E30">
            <w:pPr>
              <w:jc w:val="right"/>
              <w:rPr>
                <w:rFonts w:ascii="Cambria" w:hAnsi="Cambria" w:cs="Arial"/>
                <w:color w:val="000000"/>
                <w:sz w:val="18"/>
                <w:szCs w:val="18"/>
              </w:rPr>
            </w:pPr>
            <w:r>
              <w:rPr>
                <w:rFonts w:ascii="Cambria" w:hAnsi="Cambria"/>
                <w:color w:val="000000"/>
                <w:sz w:val="18"/>
              </w:rPr>
              <w:t xml:space="preserve">                2 857 966 </w:t>
            </w:r>
          </w:p>
        </w:tc>
        <w:tc>
          <w:tcPr>
            <w:tcW w:w="987" w:type="pct"/>
            <w:tcBorders>
              <w:top w:val="nil"/>
              <w:left w:val="nil"/>
              <w:bottom w:val="nil"/>
              <w:right w:val="nil"/>
            </w:tcBorders>
            <w:shd w:val="clear" w:color="auto" w:fill="auto"/>
            <w:noWrap/>
            <w:vAlign w:val="bottom"/>
            <w:hideMark/>
          </w:tcPr>
          <w:p w14:paraId="7B4FB618" w14:textId="7E37EB2F" w:rsidR="00F26E30" w:rsidRDefault="00F26E30" w:rsidP="00F26E30">
            <w:pPr>
              <w:jc w:val="right"/>
              <w:rPr>
                <w:rFonts w:ascii="Cambria" w:hAnsi="Cambria" w:cs="Arial"/>
                <w:color w:val="000000"/>
                <w:sz w:val="18"/>
                <w:szCs w:val="18"/>
              </w:rPr>
            </w:pPr>
            <w:r>
              <w:rPr>
                <w:rFonts w:ascii="Cambria" w:hAnsi="Cambria"/>
                <w:color w:val="000000"/>
                <w:sz w:val="18"/>
              </w:rPr>
              <w:t xml:space="preserve">                1 483 823 </w:t>
            </w:r>
          </w:p>
        </w:tc>
      </w:tr>
      <w:tr w:rsidR="00F26E30" w14:paraId="1DBA7BB9" w14:textId="77777777" w:rsidTr="00F26E30">
        <w:trPr>
          <w:trHeight w:val="240"/>
        </w:trPr>
        <w:tc>
          <w:tcPr>
            <w:tcW w:w="3025" w:type="pct"/>
            <w:tcBorders>
              <w:top w:val="nil"/>
              <w:left w:val="nil"/>
              <w:bottom w:val="nil"/>
              <w:right w:val="nil"/>
            </w:tcBorders>
            <w:shd w:val="clear" w:color="auto" w:fill="auto"/>
            <w:noWrap/>
            <w:vAlign w:val="bottom"/>
            <w:hideMark/>
          </w:tcPr>
          <w:p w14:paraId="5B201477" w14:textId="77777777" w:rsidR="00F26E30" w:rsidRDefault="00F26E30" w:rsidP="00F26E30">
            <w:pPr>
              <w:rPr>
                <w:rFonts w:ascii="Cambria" w:hAnsi="Cambria" w:cs="Arial"/>
                <w:color w:val="000000"/>
                <w:sz w:val="18"/>
                <w:szCs w:val="18"/>
              </w:rPr>
            </w:pPr>
            <w:r>
              <w:rPr>
                <w:rFonts w:ascii="Cambria" w:hAnsi="Cambria"/>
                <w:color w:val="000000"/>
                <w:sz w:val="18"/>
              </w:rPr>
              <w:t>Dettes commerciales</w:t>
            </w:r>
          </w:p>
        </w:tc>
        <w:tc>
          <w:tcPr>
            <w:tcW w:w="988" w:type="pct"/>
            <w:tcBorders>
              <w:top w:val="nil"/>
              <w:left w:val="nil"/>
              <w:bottom w:val="nil"/>
              <w:right w:val="nil"/>
            </w:tcBorders>
            <w:shd w:val="clear" w:color="auto" w:fill="auto"/>
            <w:noWrap/>
            <w:vAlign w:val="bottom"/>
            <w:hideMark/>
          </w:tcPr>
          <w:p w14:paraId="78BDF1F1" w14:textId="2439A297" w:rsidR="00F26E30" w:rsidRDefault="00F26E30" w:rsidP="00F26E30">
            <w:pPr>
              <w:jc w:val="right"/>
              <w:rPr>
                <w:rFonts w:ascii="Cambria" w:hAnsi="Cambria" w:cs="Arial"/>
                <w:color w:val="000000"/>
                <w:sz w:val="18"/>
                <w:szCs w:val="18"/>
              </w:rPr>
            </w:pPr>
            <w:r>
              <w:rPr>
                <w:rFonts w:ascii="Cambria" w:hAnsi="Cambria"/>
                <w:color w:val="000000"/>
                <w:sz w:val="18"/>
              </w:rPr>
              <w:t xml:space="preserve">                4 148 683 </w:t>
            </w:r>
          </w:p>
        </w:tc>
        <w:tc>
          <w:tcPr>
            <w:tcW w:w="987" w:type="pct"/>
            <w:tcBorders>
              <w:top w:val="nil"/>
              <w:left w:val="nil"/>
              <w:bottom w:val="nil"/>
              <w:right w:val="nil"/>
            </w:tcBorders>
            <w:shd w:val="clear" w:color="auto" w:fill="auto"/>
            <w:noWrap/>
            <w:vAlign w:val="bottom"/>
            <w:hideMark/>
          </w:tcPr>
          <w:p w14:paraId="29F7AD27" w14:textId="15AAF1BB" w:rsidR="00F26E30" w:rsidRDefault="00F26E30" w:rsidP="00F26E30">
            <w:pPr>
              <w:jc w:val="right"/>
              <w:rPr>
                <w:rFonts w:ascii="Cambria" w:hAnsi="Cambria" w:cs="Arial"/>
                <w:color w:val="000000"/>
                <w:sz w:val="18"/>
                <w:szCs w:val="18"/>
              </w:rPr>
            </w:pPr>
            <w:r>
              <w:rPr>
                <w:rFonts w:ascii="Cambria" w:hAnsi="Cambria"/>
                <w:color w:val="000000"/>
                <w:sz w:val="18"/>
              </w:rPr>
              <w:t xml:space="preserve">                6 591 368 </w:t>
            </w:r>
          </w:p>
        </w:tc>
      </w:tr>
      <w:tr w:rsidR="00F26E30" w14:paraId="3CA1FA0E" w14:textId="77777777" w:rsidTr="00F26E30">
        <w:trPr>
          <w:trHeight w:val="240"/>
        </w:trPr>
        <w:tc>
          <w:tcPr>
            <w:tcW w:w="3025" w:type="pct"/>
            <w:tcBorders>
              <w:top w:val="nil"/>
              <w:left w:val="nil"/>
              <w:bottom w:val="nil"/>
              <w:right w:val="nil"/>
            </w:tcBorders>
            <w:shd w:val="clear" w:color="auto" w:fill="auto"/>
            <w:noWrap/>
            <w:vAlign w:val="bottom"/>
            <w:hideMark/>
          </w:tcPr>
          <w:p w14:paraId="162937C9" w14:textId="77777777" w:rsidR="00F26E30" w:rsidRDefault="00F26E30" w:rsidP="00F26E30">
            <w:pPr>
              <w:rPr>
                <w:rFonts w:ascii="Cambria" w:hAnsi="Cambria" w:cs="Arial"/>
                <w:color w:val="000000"/>
                <w:sz w:val="18"/>
                <w:szCs w:val="18"/>
              </w:rPr>
            </w:pPr>
            <w:r>
              <w:rPr>
                <w:rFonts w:ascii="Cambria" w:hAnsi="Cambria"/>
                <w:color w:val="000000"/>
                <w:sz w:val="18"/>
              </w:rPr>
              <w:t>Dettes pour obligations contractuelles</w:t>
            </w:r>
          </w:p>
        </w:tc>
        <w:tc>
          <w:tcPr>
            <w:tcW w:w="988" w:type="pct"/>
            <w:tcBorders>
              <w:top w:val="nil"/>
              <w:left w:val="nil"/>
              <w:bottom w:val="nil"/>
              <w:right w:val="nil"/>
            </w:tcBorders>
            <w:shd w:val="clear" w:color="auto" w:fill="auto"/>
            <w:noWrap/>
            <w:vAlign w:val="bottom"/>
            <w:hideMark/>
          </w:tcPr>
          <w:p w14:paraId="464DC9C0" w14:textId="0931AAF3" w:rsidR="00F26E30" w:rsidRDefault="00F26E30" w:rsidP="00F26E30">
            <w:pPr>
              <w:jc w:val="right"/>
              <w:rPr>
                <w:rFonts w:ascii="Cambria" w:hAnsi="Cambria" w:cs="Arial"/>
                <w:color w:val="000000"/>
                <w:sz w:val="18"/>
                <w:szCs w:val="18"/>
              </w:rPr>
            </w:pPr>
            <w:r>
              <w:rPr>
                <w:rFonts w:ascii="Cambria" w:hAnsi="Cambria"/>
                <w:color w:val="000000"/>
                <w:sz w:val="18"/>
              </w:rPr>
              <w:t xml:space="preserve">                      26 143 </w:t>
            </w:r>
          </w:p>
        </w:tc>
        <w:tc>
          <w:tcPr>
            <w:tcW w:w="987" w:type="pct"/>
            <w:tcBorders>
              <w:top w:val="nil"/>
              <w:left w:val="nil"/>
              <w:bottom w:val="nil"/>
              <w:right w:val="nil"/>
            </w:tcBorders>
            <w:shd w:val="clear" w:color="auto" w:fill="auto"/>
            <w:noWrap/>
            <w:vAlign w:val="bottom"/>
            <w:hideMark/>
          </w:tcPr>
          <w:p w14:paraId="31419947" w14:textId="0202FBEE" w:rsidR="00F26E30" w:rsidRDefault="00F26E30" w:rsidP="00F26E30">
            <w:pPr>
              <w:jc w:val="right"/>
              <w:rPr>
                <w:rFonts w:ascii="Cambria" w:hAnsi="Cambria" w:cs="Arial"/>
                <w:color w:val="000000"/>
                <w:sz w:val="18"/>
                <w:szCs w:val="18"/>
              </w:rPr>
            </w:pPr>
            <w:r>
              <w:rPr>
                <w:rFonts w:ascii="Cambria" w:hAnsi="Cambria"/>
                <w:color w:val="000000"/>
                <w:sz w:val="18"/>
              </w:rPr>
              <w:t xml:space="preserve">                      68 246 </w:t>
            </w:r>
          </w:p>
        </w:tc>
      </w:tr>
      <w:tr w:rsidR="00F26E30" w14:paraId="2D50C1ED" w14:textId="77777777" w:rsidTr="00F26E30">
        <w:trPr>
          <w:trHeight w:val="240"/>
        </w:trPr>
        <w:tc>
          <w:tcPr>
            <w:tcW w:w="3025" w:type="pct"/>
            <w:tcBorders>
              <w:top w:val="nil"/>
              <w:left w:val="nil"/>
              <w:bottom w:val="nil"/>
              <w:right w:val="nil"/>
            </w:tcBorders>
            <w:shd w:val="clear" w:color="auto" w:fill="auto"/>
            <w:noWrap/>
            <w:vAlign w:val="bottom"/>
            <w:hideMark/>
          </w:tcPr>
          <w:p w14:paraId="2D02CCF2" w14:textId="77777777" w:rsidR="00F26E30" w:rsidRDefault="00F26E30" w:rsidP="00F26E30">
            <w:pPr>
              <w:rPr>
                <w:rFonts w:ascii="Cambria" w:hAnsi="Cambria" w:cs="Arial"/>
                <w:color w:val="000000"/>
                <w:sz w:val="18"/>
                <w:szCs w:val="18"/>
              </w:rPr>
            </w:pPr>
            <w:r>
              <w:rPr>
                <w:rFonts w:ascii="Cambria" w:hAnsi="Cambria"/>
                <w:color w:val="000000"/>
                <w:sz w:val="18"/>
              </w:rPr>
              <w:t>Dettes fiscales</w:t>
            </w:r>
          </w:p>
        </w:tc>
        <w:tc>
          <w:tcPr>
            <w:tcW w:w="988" w:type="pct"/>
            <w:tcBorders>
              <w:top w:val="nil"/>
              <w:left w:val="nil"/>
              <w:bottom w:val="nil"/>
              <w:right w:val="nil"/>
            </w:tcBorders>
            <w:shd w:val="clear" w:color="auto" w:fill="auto"/>
            <w:noWrap/>
            <w:vAlign w:val="bottom"/>
            <w:hideMark/>
          </w:tcPr>
          <w:p w14:paraId="5F7D1BEE" w14:textId="385BAC29" w:rsidR="00F26E30" w:rsidRDefault="00F26E30" w:rsidP="00F26E30">
            <w:pPr>
              <w:jc w:val="right"/>
              <w:rPr>
                <w:rFonts w:ascii="Cambria" w:hAnsi="Cambria" w:cs="Arial"/>
                <w:color w:val="000000"/>
                <w:sz w:val="18"/>
                <w:szCs w:val="18"/>
              </w:rPr>
            </w:pPr>
            <w:r>
              <w:rPr>
                <w:rFonts w:ascii="Cambria" w:hAnsi="Cambria"/>
                <w:color w:val="000000"/>
                <w:sz w:val="18"/>
              </w:rPr>
              <w:t xml:space="preserve">                4 168 909 </w:t>
            </w:r>
          </w:p>
        </w:tc>
        <w:tc>
          <w:tcPr>
            <w:tcW w:w="987" w:type="pct"/>
            <w:tcBorders>
              <w:top w:val="nil"/>
              <w:left w:val="nil"/>
              <w:bottom w:val="nil"/>
              <w:right w:val="nil"/>
            </w:tcBorders>
            <w:shd w:val="clear" w:color="auto" w:fill="auto"/>
            <w:noWrap/>
            <w:vAlign w:val="bottom"/>
            <w:hideMark/>
          </w:tcPr>
          <w:p w14:paraId="5DA56641" w14:textId="0520CB51" w:rsidR="00F26E30" w:rsidRDefault="00F26E30" w:rsidP="00F26E30">
            <w:pPr>
              <w:jc w:val="right"/>
              <w:rPr>
                <w:rFonts w:ascii="Cambria" w:hAnsi="Cambria" w:cs="Arial"/>
                <w:color w:val="000000"/>
                <w:sz w:val="18"/>
                <w:szCs w:val="18"/>
              </w:rPr>
            </w:pPr>
            <w:r>
              <w:rPr>
                <w:rFonts w:ascii="Cambria" w:hAnsi="Cambria"/>
                <w:color w:val="000000"/>
                <w:sz w:val="18"/>
              </w:rPr>
              <w:t xml:space="preserve">                3 031 106 </w:t>
            </w:r>
          </w:p>
        </w:tc>
      </w:tr>
      <w:tr w:rsidR="00F26E30" w14:paraId="30FCBE9F" w14:textId="77777777" w:rsidTr="00F26E30">
        <w:trPr>
          <w:trHeight w:val="240"/>
        </w:trPr>
        <w:tc>
          <w:tcPr>
            <w:tcW w:w="3025" w:type="pct"/>
            <w:tcBorders>
              <w:top w:val="nil"/>
              <w:left w:val="nil"/>
              <w:bottom w:val="nil"/>
              <w:right w:val="nil"/>
            </w:tcBorders>
            <w:shd w:val="clear" w:color="auto" w:fill="auto"/>
            <w:noWrap/>
            <w:vAlign w:val="bottom"/>
            <w:hideMark/>
          </w:tcPr>
          <w:p w14:paraId="0E2C73AC" w14:textId="77777777" w:rsidR="00F26E30" w:rsidRDefault="00F26E30" w:rsidP="00F26E30">
            <w:pPr>
              <w:rPr>
                <w:rFonts w:ascii="Cambria" w:hAnsi="Cambria" w:cs="Arial"/>
                <w:color w:val="000000"/>
                <w:sz w:val="18"/>
                <w:szCs w:val="18"/>
              </w:rPr>
            </w:pPr>
            <w:r>
              <w:rPr>
                <w:rFonts w:ascii="Cambria" w:hAnsi="Cambria"/>
                <w:color w:val="000000"/>
                <w:sz w:val="18"/>
              </w:rPr>
              <w:t>Autres dettes et engagements à court terme</w:t>
            </w:r>
          </w:p>
        </w:tc>
        <w:tc>
          <w:tcPr>
            <w:tcW w:w="988" w:type="pct"/>
            <w:tcBorders>
              <w:top w:val="nil"/>
              <w:left w:val="nil"/>
              <w:bottom w:val="nil"/>
              <w:right w:val="nil"/>
            </w:tcBorders>
            <w:shd w:val="clear" w:color="auto" w:fill="auto"/>
            <w:noWrap/>
            <w:vAlign w:val="bottom"/>
            <w:hideMark/>
          </w:tcPr>
          <w:p w14:paraId="5A5E4767" w14:textId="5549C892" w:rsidR="00F26E30" w:rsidRDefault="00F26E30" w:rsidP="00F26E30">
            <w:pPr>
              <w:jc w:val="right"/>
              <w:rPr>
                <w:rFonts w:ascii="Cambria" w:hAnsi="Cambria" w:cs="Arial"/>
                <w:color w:val="000000"/>
                <w:sz w:val="18"/>
                <w:szCs w:val="18"/>
              </w:rPr>
            </w:pPr>
            <w:r>
              <w:rPr>
                <w:rFonts w:ascii="Cambria" w:hAnsi="Cambria"/>
                <w:color w:val="000000"/>
                <w:sz w:val="18"/>
              </w:rPr>
              <w:t xml:space="preserve">                3 331 419 </w:t>
            </w:r>
          </w:p>
        </w:tc>
        <w:tc>
          <w:tcPr>
            <w:tcW w:w="987" w:type="pct"/>
            <w:tcBorders>
              <w:top w:val="nil"/>
              <w:left w:val="nil"/>
              <w:bottom w:val="nil"/>
              <w:right w:val="nil"/>
            </w:tcBorders>
            <w:shd w:val="clear" w:color="auto" w:fill="auto"/>
            <w:noWrap/>
            <w:vAlign w:val="bottom"/>
            <w:hideMark/>
          </w:tcPr>
          <w:p w14:paraId="6DE623EA" w14:textId="47E10DAF" w:rsidR="00F26E30" w:rsidRDefault="00F26E30" w:rsidP="00F26E30">
            <w:pPr>
              <w:jc w:val="right"/>
              <w:rPr>
                <w:rFonts w:ascii="Cambria" w:hAnsi="Cambria" w:cs="Arial"/>
                <w:color w:val="000000"/>
                <w:sz w:val="18"/>
                <w:szCs w:val="18"/>
              </w:rPr>
            </w:pPr>
            <w:r>
              <w:rPr>
                <w:rFonts w:ascii="Cambria" w:hAnsi="Cambria"/>
                <w:color w:val="000000"/>
                <w:sz w:val="18"/>
              </w:rPr>
              <w:t xml:space="preserve">                1 471 901 </w:t>
            </w:r>
          </w:p>
        </w:tc>
      </w:tr>
      <w:tr w:rsidR="00F26E30" w14:paraId="37E7DD7F" w14:textId="77777777" w:rsidTr="00F26E30">
        <w:trPr>
          <w:trHeight w:val="255"/>
        </w:trPr>
        <w:tc>
          <w:tcPr>
            <w:tcW w:w="3025" w:type="pct"/>
            <w:tcBorders>
              <w:top w:val="nil"/>
              <w:left w:val="nil"/>
              <w:bottom w:val="nil"/>
              <w:right w:val="nil"/>
            </w:tcBorders>
            <w:shd w:val="clear" w:color="auto" w:fill="auto"/>
            <w:noWrap/>
            <w:vAlign w:val="bottom"/>
            <w:hideMark/>
          </w:tcPr>
          <w:p w14:paraId="6B29A1EA" w14:textId="77777777" w:rsidR="00F26E30" w:rsidRDefault="00F26E30" w:rsidP="00F26E30">
            <w:pPr>
              <w:rPr>
                <w:rFonts w:ascii="Cambria" w:hAnsi="Cambria" w:cs="Arial"/>
                <w:b/>
                <w:bCs/>
                <w:color w:val="000000"/>
                <w:sz w:val="18"/>
                <w:szCs w:val="18"/>
              </w:rPr>
            </w:pPr>
            <w:r>
              <w:rPr>
                <w:rFonts w:ascii="Cambria" w:hAnsi="Cambria"/>
                <w:b/>
                <w:color w:val="000000"/>
                <w:sz w:val="18"/>
              </w:rPr>
              <w:t>Total Passifs financiers au coût amorti</w:t>
            </w:r>
          </w:p>
        </w:tc>
        <w:tc>
          <w:tcPr>
            <w:tcW w:w="988" w:type="pct"/>
            <w:tcBorders>
              <w:top w:val="single" w:sz="4" w:space="0" w:color="auto"/>
              <w:left w:val="nil"/>
              <w:bottom w:val="single" w:sz="8" w:space="0" w:color="auto"/>
              <w:right w:val="nil"/>
            </w:tcBorders>
            <w:shd w:val="clear" w:color="auto" w:fill="auto"/>
            <w:noWrap/>
            <w:vAlign w:val="bottom"/>
            <w:hideMark/>
          </w:tcPr>
          <w:p w14:paraId="37358B24" w14:textId="0E169410" w:rsidR="00F26E30" w:rsidRDefault="00F26E30" w:rsidP="00F26E30">
            <w:pPr>
              <w:jc w:val="right"/>
              <w:rPr>
                <w:rFonts w:ascii="Cambria" w:hAnsi="Cambria" w:cs="Arial"/>
                <w:b/>
                <w:bCs/>
                <w:color w:val="000000"/>
                <w:sz w:val="18"/>
                <w:szCs w:val="18"/>
              </w:rPr>
            </w:pPr>
            <w:r>
              <w:rPr>
                <w:rFonts w:ascii="Cambria" w:hAnsi="Cambria"/>
                <w:b/>
                <w:color w:val="000000"/>
                <w:sz w:val="18"/>
              </w:rPr>
              <w:t xml:space="preserve">             25 768 483 </w:t>
            </w:r>
          </w:p>
        </w:tc>
        <w:tc>
          <w:tcPr>
            <w:tcW w:w="987" w:type="pct"/>
            <w:tcBorders>
              <w:top w:val="single" w:sz="4" w:space="0" w:color="auto"/>
              <w:left w:val="nil"/>
              <w:bottom w:val="single" w:sz="8" w:space="0" w:color="auto"/>
              <w:right w:val="nil"/>
            </w:tcBorders>
            <w:shd w:val="clear" w:color="auto" w:fill="auto"/>
            <w:noWrap/>
            <w:vAlign w:val="bottom"/>
            <w:hideMark/>
          </w:tcPr>
          <w:p w14:paraId="1C27A4BE" w14:textId="557EA396" w:rsidR="00F26E30" w:rsidRDefault="00F26E30" w:rsidP="00F26E30">
            <w:pPr>
              <w:jc w:val="right"/>
              <w:rPr>
                <w:rFonts w:ascii="Cambria" w:hAnsi="Cambria" w:cs="Arial"/>
                <w:b/>
                <w:bCs/>
                <w:color w:val="000000"/>
                <w:sz w:val="18"/>
                <w:szCs w:val="18"/>
              </w:rPr>
            </w:pPr>
            <w:r>
              <w:rPr>
                <w:rFonts w:ascii="Cambria" w:hAnsi="Cambria"/>
                <w:b/>
                <w:color w:val="000000"/>
                <w:sz w:val="18"/>
              </w:rPr>
              <w:t xml:space="preserve">             24 823 406 </w:t>
            </w:r>
          </w:p>
        </w:tc>
      </w:tr>
    </w:tbl>
    <w:p w14:paraId="33B31542" w14:textId="6CD085F0" w:rsidR="007015DE" w:rsidRDefault="007015DE" w:rsidP="00E16D12">
      <w:pPr>
        <w:spacing w:after="200" w:line="276" w:lineRule="auto"/>
        <w:jc w:val="both"/>
        <w:rPr>
          <w:rFonts w:ascii="Cambria" w:hAnsi="Cambria"/>
          <w:sz w:val="22"/>
          <w:szCs w:val="22"/>
        </w:rPr>
      </w:pPr>
    </w:p>
    <w:p w14:paraId="534EA454" w14:textId="24C07333" w:rsidR="006214CD" w:rsidRDefault="006214CD" w:rsidP="00E16D12">
      <w:pPr>
        <w:spacing w:after="200" w:line="276" w:lineRule="auto"/>
        <w:jc w:val="both"/>
        <w:rPr>
          <w:rFonts w:ascii="Cambria" w:hAnsi="Cambria"/>
          <w:sz w:val="22"/>
          <w:szCs w:val="22"/>
        </w:rPr>
      </w:pPr>
    </w:p>
    <w:p w14:paraId="0610387C" w14:textId="37538F11" w:rsidR="00717185" w:rsidRDefault="00717185" w:rsidP="00E16D12">
      <w:pPr>
        <w:spacing w:after="200" w:line="276" w:lineRule="auto"/>
        <w:jc w:val="both"/>
        <w:rPr>
          <w:rFonts w:ascii="Cambria" w:hAnsi="Cambria"/>
          <w:sz w:val="22"/>
          <w:szCs w:val="22"/>
        </w:rPr>
      </w:pPr>
    </w:p>
    <w:p w14:paraId="1BA4447D" w14:textId="77777777" w:rsidR="00717185" w:rsidRPr="00C17031" w:rsidRDefault="00717185" w:rsidP="00E16D12">
      <w:pPr>
        <w:spacing w:after="200" w:line="276" w:lineRule="auto"/>
        <w:jc w:val="both"/>
        <w:rPr>
          <w:rFonts w:ascii="Cambria" w:hAnsi="Cambria"/>
          <w:sz w:val="22"/>
          <w:szCs w:val="22"/>
        </w:rPr>
      </w:pPr>
    </w:p>
    <w:p w14:paraId="0B02FD9D" w14:textId="77777777" w:rsidR="006214CD" w:rsidRPr="00C17031" w:rsidRDefault="00667B11" w:rsidP="00E16D12">
      <w:pPr>
        <w:spacing w:after="200" w:line="276" w:lineRule="auto"/>
        <w:jc w:val="both"/>
        <w:rPr>
          <w:rFonts w:ascii="Cambria" w:hAnsi="Cambria"/>
          <w:b/>
          <w:bCs/>
          <w:sz w:val="22"/>
          <w:szCs w:val="22"/>
        </w:rPr>
      </w:pPr>
      <w:r>
        <w:rPr>
          <w:rFonts w:ascii="Cambria" w:hAnsi="Cambria"/>
          <w:b/>
          <w:sz w:val="22"/>
        </w:rPr>
        <w:lastRenderedPageBreak/>
        <w:t>B.</w:t>
      </w:r>
      <w:r>
        <w:rPr>
          <w:rFonts w:ascii="Cambria" w:hAnsi="Cambria"/>
          <w:b/>
          <w:bCs/>
          <w:sz w:val="22"/>
          <w:szCs w:val="22"/>
        </w:rPr>
        <w:tab/>
      </w:r>
      <w:r>
        <w:rPr>
          <w:rFonts w:ascii="Cambria" w:hAnsi="Cambria"/>
          <w:b/>
          <w:sz w:val="22"/>
        </w:rPr>
        <w:t>Mesure de la juste valeur</w:t>
      </w:r>
    </w:p>
    <w:p w14:paraId="0CC83460" w14:textId="1BC2DEB1" w:rsidR="00667B11" w:rsidRDefault="00667B11" w:rsidP="00667B11">
      <w:pPr>
        <w:spacing w:after="200" w:line="276" w:lineRule="auto"/>
        <w:jc w:val="both"/>
        <w:rPr>
          <w:rFonts w:ascii="Cambria" w:hAnsi="Cambria"/>
          <w:sz w:val="22"/>
          <w:szCs w:val="22"/>
        </w:rPr>
      </w:pPr>
      <w:r>
        <w:rPr>
          <w:rFonts w:ascii="Cambria" w:hAnsi="Cambria"/>
          <w:sz w:val="22"/>
        </w:rPr>
        <w:t>Le tableau suivant présente la comparaison, par catégorie, entre la valeur comptable et la juste valeur des instruments financiers détenus par le Groupe, à l'exclusion de ceux dont la valeur comptable est raisonnablement proche de la juste valeur :</w:t>
      </w:r>
    </w:p>
    <w:tbl>
      <w:tblPr>
        <w:tblW w:w="9600" w:type="dxa"/>
        <w:tblCellMar>
          <w:left w:w="70" w:type="dxa"/>
          <w:right w:w="70" w:type="dxa"/>
        </w:tblCellMar>
        <w:tblLook w:val="04A0" w:firstRow="1" w:lastRow="0" w:firstColumn="1" w:lastColumn="0" w:noHBand="0" w:noVBand="1"/>
      </w:tblPr>
      <w:tblGrid>
        <w:gridCol w:w="3480"/>
        <w:gridCol w:w="1460"/>
        <w:gridCol w:w="1460"/>
        <w:gridCol w:w="280"/>
        <w:gridCol w:w="1460"/>
        <w:gridCol w:w="1460"/>
      </w:tblGrid>
      <w:tr w:rsidR="009E50B5" w14:paraId="1403131E" w14:textId="77777777" w:rsidTr="009E50B5">
        <w:trPr>
          <w:trHeight w:val="255"/>
        </w:trPr>
        <w:tc>
          <w:tcPr>
            <w:tcW w:w="3480" w:type="dxa"/>
            <w:tcBorders>
              <w:top w:val="nil"/>
              <w:left w:val="nil"/>
              <w:bottom w:val="nil"/>
              <w:right w:val="nil"/>
            </w:tcBorders>
            <w:shd w:val="clear" w:color="auto" w:fill="auto"/>
            <w:noWrap/>
            <w:vAlign w:val="bottom"/>
            <w:hideMark/>
          </w:tcPr>
          <w:p w14:paraId="419AA280" w14:textId="77777777" w:rsidR="009E50B5" w:rsidRDefault="009E50B5">
            <w:pPr>
              <w:rPr>
                <w:sz w:val="20"/>
                <w:szCs w:val="20"/>
              </w:rPr>
            </w:pPr>
          </w:p>
        </w:tc>
        <w:tc>
          <w:tcPr>
            <w:tcW w:w="2920" w:type="dxa"/>
            <w:gridSpan w:val="2"/>
            <w:tcBorders>
              <w:top w:val="nil"/>
              <w:left w:val="nil"/>
              <w:bottom w:val="single" w:sz="4" w:space="0" w:color="0070C0"/>
              <w:right w:val="nil"/>
            </w:tcBorders>
            <w:shd w:val="clear" w:color="auto" w:fill="auto"/>
            <w:noWrap/>
            <w:vAlign w:val="bottom"/>
            <w:hideMark/>
          </w:tcPr>
          <w:p w14:paraId="6458D7EC" w14:textId="77777777" w:rsidR="009E50B5" w:rsidRDefault="009E50B5">
            <w:pPr>
              <w:jc w:val="center"/>
              <w:rPr>
                <w:rFonts w:ascii="Cambria" w:hAnsi="Cambria" w:cs="Arial"/>
                <w:b/>
                <w:bCs/>
                <w:color w:val="000000"/>
                <w:sz w:val="18"/>
                <w:szCs w:val="18"/>
              </w:rPr>
            </w:pPr>
            <w:r>
              <w:rPr>
                <w:rFonts w:ascii="Cambria" w:hAnsi="Cambria"/>
                <w:b/>
                <w:color w:val="000000"/>
                <w:sz w:val="18"/>
              </w:rPr>
              <w:t>Valeur comptable</w:t>
            </w:r>
          </w:p>
        </w:tc>
        <w:tc>
          <w:tcPr>
            <w:tcW w:w="280" w:type="dxa"/>
            <w:tcBorders>
              <w:top w:val="nil"/>
              <w:left w:val="nil"/>
              <w:bottom w:val="nil"/>
              <w:right w:val="nil"/>
            </w:tcBorders>
            <w:shd w:val="clear" w:color="auto" w:fill="auto"/>
            <w:noWrap/>
            <w:vAlign w:val="bottom"/>
            <w:hideMark/>
          </w:tcPr>
          <w:p w14:paraId="3F606741" w14:textId="77777777" w:rsidR="009E50B5" w:rsidRDefault="009E50B5">
            <w:pPr>
              <w:jc w:val="center"/>
              <w:rPr>
                <w:rFonts w:ascii="Cambria" w:hAnsi="Cambria" w:cs="Arial"/>
                <w:b/>
                <w:bCs/>
                <w:color w:val="000000"/>
                <w:sz w:val="18"/>
                <w:szCs w:val="18"/>
              </w:rPr>
            </w:pPr>
          </w:p>
        </w:tc>
        <w:tc>
          <w:tcPr>
            <w:tcW w:w="2920" w:type="dxa"/>
            <w:gridSpan w:val="2"/>
            <w:tcBorders>
              <w:top w:val="nil"/>
              <w:left w:val="nil"/>
              <w:bottom w:val="single" w:sz="4" w:space="0" w:color="0070C0"/>
              <w:right w:val="nil"/>
            </w:tcBorders>
            <w:shd w:val="clear" w:color="auto" w:fill="auto"/>
            <w:noWrap/>
            <w:vAlign w:val="bottom"/>
            <w:hideMark/>
          </w:tcPr>
          <w:p w14:paraId="7065FF61" w14:textId="77777777" w:rsidR="009E50B5" w:rsidRPr="009E50B5" w:rsidRDefault="009E50B5">
            <w:pPr>
              <w:jc w:val="center"/>
              <w:rPr>
                <w:rFonts w:ascii="Cambria" w:hAnsi="Cambria" w:cs="Arial"/>
                <w:b/>
                <w:bCs/>
                <w:i/>
                <w:color w:val="000000"/>
                <w:sz w:val="18"/>
                <w:szCs w:val="18"/>
              </w:rPr>
            </w:pPr>
            <w:r>
              <w:rPr>
                <w:rFonts w:ascii="Cambria" w:hAnsi="Cambria"/>
                <w:b/>
                <w:i/>
                <w:color w:val="000000"/>
                <w:sz w:val="18"/>
              </w:rPr>
              <w:t>Juste valeur</w:t>
            </w:r>
          </w:p>
        </w:tc>
      </w:tr>
      <w:tr w:rsidR="009E50B5" w14:paraId="2ACC21D3" w14:textId="77777777" w:rsidTr="009E50B5">
        <w:trPr>
          <w:trHeight w:val="495"/>
        </w:trPr>
        <w:tc>
          <w:tcPr>
            <w:tcW w:w="3480" w:type="dxa"/>
            <w:tcBorders>
              <w:top w:val="single" w:sz="4" w:space="0" w:color="0070C0"/>
              <w:left w:val="nil"/>
              <w:bottom w:val="single" w:sz="8" w:space="0" w:color="0070C0"/>
              <w:right w:val="nil"/>
            </w:tcBorders>
            <w:shd w:val="clear" w:color="auto" w:fill="auto"/>
            <w:noWrap/>
            <w:vAlign w:val="bottom"/>
            <w:hideMark/>
          </w:tcPr>
          <w:p w14:paraId="55012882" w14:textId="77777777" w:rsidR="009E50B5" w:rsidRDefault="009E50B5">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1460" w:type="dxa"/>
            <w:tcBorders>
              <w:top w:val="nil"/>
              <w:left w:val="nil"/>
              <w:bottom w:val="single" w:sz="8" w:space="0" w:color="0070C0"/>
              <w:right w:val="nil"/>
            </w:tcBorders>
            <w:shd w:val="clear" w:color="auto" w:fill="auto"/>
            <w:vAlign w:val="bottom"/>
            <w:hideMark/>
          </w:tcPr>
          <w:p w14:paraId="287BEF6D" w14:textId="77777777" w:rsidR="009E50B5" w:rsidRDefault="009E50B5">
            <w:pPr>
              <w:jc w:val="center"/>
              <w:rPr>
                <w:rFonts w:ascii="Cambria" w:hAnsi="Cambria" w:cs="Arial"/>
                <w:b/>
                <w:bCs/>
                <w:color w:val="000000"/>
                <w:sz w:val="18"/>
                <w:szCs w:val="18"/>
              </w:rPr>
            </w:pPr>
            <w:r>
              <w:rPr>
                <w:rFonts w:ascii="Cambria" w:hAnsi="Cambria"/>
                <w:b/>
                <w:color w:val="000000"/>
                <w:sz w:val="18"/>
              </w:rPr>
              <w:t>30/06/2021</w:t>
            </w:r>
          </w:p>
        </w:tc>
        <w:tc>
          <w:tcPr>
            <w:tcW w:w="1460" w:type="dxa"/>
            <w:tcBorders>
              <w:top w:val="nil"/>
              <w:left w:val="nil"/>
              <w:bottom w:val="single" w:sz="8" w:space="0" w:color="0070C0"/>
              <w:right w:val="nil"/>
            </w:tcBorders>
            <w:shd w:val="clear" w:color="auto" w:fill="auto"/>
            <w:vAlign w:val="bottom"/>
            <w:hideMark/>
          </w:tcPr>
          <w:p w14:paraId="359CE72A" w14:textId="77777777" w:rsidR="009E50B5" w:rsidRDefault="009E50B5">
            <w:pPr>
              <w:jc w:val="center"/>
              <w:rPr>
                <w:rFonts w:ascii="Cambria" w:hAnsi="Cambria" w:cs="Arial"/>
                <w:b/>
                <w:bCs/>
                <w:color w:val="000000"/>
                <w:sz w:val="18"/>
                <w:szCs w:val="18"/>
              </w:rPr>
            </w:pPr>
            <w:r>
              <w:rPr>
                <w:rFonts w:ascii="Cambria" w:hAnsi="Cambria"/>
                <w:b/>
                <w:color w:val="000000"/>
                <w:sz w:val="18"/>
              </w:rPr>
              <w:t>31/12/2020</w:t>
            </w:r>
          </w:p>
        </w:tc>
        <w:tc>
          <w:tcPr>
            <w:tcW w:w="280" w:type="dxa"/>
            <w:tcBorders>
              <w:top w:val="nil"/>
              <w:left w:val="nil"/>
              <w:bottom w:val="nil"/>
              <w:right w:val="nil"/>
            </w:tcBorders>
            <w:shd w:val="clear" w:color="auto" w:fill="auto"/>
            <w:vAlign w:val="bottom"/>
            <w:hideMark/>
          </w:tcPr>
          <w:p w14:paraId="5F5D036F" w14:textId="77777777" w:rsidR="009E50B5" w:rsidRDefault="009E50B5">
            <w:pPr>
              <w:jc w:val="center"/>
              <w:rPr>
                <w:rFonts w:ascii="Cambria" w:hAnsi="Cambria" w:cs="Arial"/>
                <w:b/>
                <w:bCs/>
                <w:color w:val="000000"/>
                <w:sz w:val="18"/>
                <w:szCs w:val="18"/>
              </w:rPr>
            </w:pPr>
          </w:p>
        </w:tc>
        <w:tc>
          <w:tcPr>
            <w:tcW w:w="1460" w:type="dxa"/>
            <w:tcBorders>
              <w:top w:val="nil"/>
              <w:left w:val="nil"/>
              <w:bottom w:val="single" w:sz="8" w:space="0" w:color="0070C0"/>
              <w:right w:val="nil"/>
            </w:tcBorders>
            <w:shd w:val="clear" w:color="auto" w:fill="auto"/>
            <w:vAlign w:val="bottom"/>
            <w:hideMark/>
          </w:tcPr>
          <w:p w14:paraId="0E59969D" w14:textId="77777777" w:rsidR="009E50B5" w:rsidRDefault="009E50B5">
            <w:pPr>
              <w:jc w:val="center"/>
              <w:rPr>
                <w:rFonts w:ascii="Cambria" w:hAnsi="Cambria" w:cs="Arial"/>
                <w:b/>
                <w:bCs/>
                <w:color w:val="000000"/>
                <w:sz w:val="18"/>
                <w:szCs w:val="18"/>
              </w:rPr>
            </w:pPr>
            <w:r>
              <w:rPr>
                <w:rFonts w:ascii="Cambria" w:hAnsi="Cambria"/>
                <w:b/>
                <w:color w:val="000000"/>
                <w:sz w:val="18"/>
              </w:rPr>
              <w:t>30/06/2021</w:t>
            </w:r>
          </w:p>
        </w:tc>
        <w:tc>
          <w:tcPr>
            <w:tcW w:w="1460" w:type="dxa"/>
            <w:tcBorders>
              <w:top w:val="nil"/>
              <w:left w:val="nil"/>
              <w:bottom w:val="single" w:sz="8" w:space="0" w:color="0070C0"/>
              <w:right w:val="nil"/>
            </w:tcBorders>
            <w:shd w:val="clear" w:color="auto" w:fill="auto"/>
            <w:vAlign w:val="bottom"/>
            <w:hideMark/>
          </w:tcPr>
          <w:p w14:paraId="1DF3BDFC" w14:textId="77777777" w:rsidR="009E50B5" w:rsidRDefault="009E50B5">
            <w:pPr>
              <w:jc w:val="center"/>
              <w:rPr>
                <w:rFonts w:ascii="Cambria" w:hAnsi="Cambria" w:cs="Arial"/>
                <w:b/>
                <w:bCs/>
                <w:color w:val="000000"/>
                <w:sz w:val="18"/>
                <w:szCs w:val="18"/>
              </w:rPr>
            </w:pPr>
            <w:r>
              <w:rPr>
                <w:rFonts w:ascii="Cambria" w:hAnsi="Cambria"/>
                <w:b/>
                <w:color w:val="000000"/>
                <w:sz w:val="18"/>
              </w:rPr>
              <w:t>31/12/2020</w:t>
            </w:r>
          </w:p>
        </w:tc>
      </w:tr>
      <w:tr w:rsidR="009E50B5" w14:paraId="66F6059F" w14:textId="77777777" w:rsidTr="009E50B5">
        <w:trPr>
          <w:trHeight w:val="240"/>
        </w:trPr>
        <w:tc>
          <w:tcPr>
            <w:tcW w:w="3480" w:type="dxa"/>
            <w:tcBorders>
              <w:top w:val="nil"/>
              <w:left w:val="nil"/>
              <w:bottom w:val="nil"/>
              <w:right w:val="nil"/>
            </w:tcBorders>
            <w:shd w:val="clear" w:color="auto" w:fill="auto"/>
            <w:noWrap/>
            <w:vAlign w:val="bottom"/>
            <w:hideMark/>
          </w:tcPr>
          <w:p w14:paraId="743A54BF" w14:textId="77777777" w:rsidR="009E50B5" w:rsidRDefault="009E50B5">
            <w:pPr>
              <w:jc w:val="center"/>
              <w:rPr>
                <w:rFonts w:ascii="Cambria" w:hAnsi="Cambria" w:cs="Arial"/>
                <w:b/>
                <w:bCs/>
                <w:color w:val="000000"/>
                <w:sz w:val="18"/>
                <w:szCs w:val="18"/>
              </w:rPr>
            </w:pPr>
          </w:p>
        </w:tc>
        <w:tc>
          <w:tcPr>
            <w:tcW w:w="1460" w:type="dxa"/>
            <w:tcBorders>
              <w:top w:val="nil"/>
              <w:left w:val="nil"/>
              <w:bottom w:val="nil"/>
              <w:right w:val="nil"/>
            </w:tcBorders>
            <w:shd w:val="clear" w:color="auto" w:fill="auto"/>
            <w:noWrap/>
            <w:vAlign w:val="bottom"/>
            <w:hideMark/>
          </w:tcPr>
          <w:p w14:paraId="7CD20CF5" w14:textId="77777777" w:rsidR="009E50B5" w:rsidRDefault="009E50B5">
            <w:pPr>
              <w:rPr>
                <w:sz w:val="20"/>
                <w:szCs w:val="20"/>
              </w:rPr>
            </w:pPr>
          </w:p>
        </w:tc>
        <w:tc>
          <w:tcPr>
            <w:tcW w:w="1460" w:type="dxa"/>
            <w:tcBorders>
              <w:top w:val="nil"/>
              <w:left w:val="nil"/>
              <w:bottom w:val="nil"/>
              <w:right w:val="nil"/>
            </w:tcBorders>
            <w:shd w:val="clear" w:color="auto" w:fill="auto"/>
            <w:noWrap/>
            <w:vAlign w:val="bottom"/>
            <w:hideMark/>
          </w:tcPr>
          <w:p w14:paraId="214810A9" w14:textId="77777777" w:rsidR="009E50B5" w:rsidRDefault="009E50B5">
            <w:pPr>
              <w:rPr>
                <w:sz w:val="20"/>
                <w:szCs w:val="20"/>
              </w:rPr>
            </w:pPr>
          </w:p>
        </w:tc>
        <w:tc>
          <w:tcPr>
            <w:tcW w:w="280" w:type="dxa"/>
            <w:tcBorders>
              <w:top w:val="nil"/>
              <w:left w:val="nil"/>
              <w:bottom w:val="nil"/>
              <w:right w:val="nil"/>
            </w:tcBorders>
            <w:shd w:val="clear" w:color="auto" w:fill="auto"/>
            <w:noWrap/>
            <w:vAlign w:val="bottom"/>
            <w:hideMark/>
          </w:tcPr>
          <w:p w14:paraId="64B3EE65" w14:textId="77777777" w:rsidR="009E50B5" w:rsidRDefault="009E50B5">
            <w:pPr>
              <w:rPr>
                <w:sz w:val="20"/>
                <w:szCs w:val="20"/>
              </w:rPr>
            </w:pPr>
          </w:p>
        </w:tc>
        <w:tc>
          <w:tcPr>
            <w:tcW w:w="1460" w:type="dxa"/>
            <w:tcBorders>
              <w:top w:val="nil"/>
              <w:left w:val="nil"/>
              <w:bottom w:val="nil"/>
              <w:right w:val="nil"/>
            </w:tcBorders>
            <w:shd w:val="clear" w:color="auto" w:fill="auto"/>
            <w:noWrap/>
            <w:vAlign w:val="bottom"/>
            <w:hideMark/>
          </w:tcPr>
          <w:p w14:paraId="65CD9213" w14:textId="77777777" w:rsidR="009E50B5" w:rsidRDefault="009E50B5">
            <w:pPr>
              <w:rPr>
                <w:sz w:val="20"/>
                <w:szCs w:val="20"/>
              </w:rPr>
            </w:pPr>
          </w:p>
        </w:tc>
        <w:tc>
          <w:tcPr>
            <w:tcW w:w="1460" w:type="dxa"/>
            <w:tcBorders>
              <w:top w:val="nil"/>
              <w:left w:val="nil"/>
              <w:bottom w:val="nil"/>
              <w:right w:val="nil"/>
            </w:tcBorders>
            <w:shd w:val="clear" w:color="auto" w:fill="auto"/>
            <w:noWrap/>
            <w:vAlign w:val="bottom"/>
            <w:hideMark/>
          </w:tcPr>
          <w:p w14:paraId="1A69C6A2" w14:textId="77777777" w:rsidR="009E50B5" w:rsidRDefault="009E50B5">
            <w:pPr>
              <w:rPr>
                <w:sz w:val="20"/>
                <w:szCs w:val="20"/>
              </w:rPr>
            </w:pPr>
          </w:p>
        </w:tc>
      </w:tr>
      <w:tr w:rsidR="009E50B5" w14:paraId="4E4C1903" w14:textId="77777777" w:rsidTr="009E50B5">
        <w:trPr>
          <w:trHeight w:val="240"/>
        </w:trPr>
        <w:tc>
          <w:tcPr>
            <w:tcW w:w="3480" w:type="dxa"/>
            <w:tcBorders>
              <w:top w:val="nil"/>
              <w:left w:val="nil"/>
              <w:bottom w:val="nil"/>
              <w:right w:val="nil"/>
            </w:tcBorders>
            <w:shd w:val="clear" w:color="auto" w:fill="auto"/>
            <w:noWrap/>
            <w:vAlign w:val="bottom"/>
            <w:hideMark/>
          </w:tcPr>
          <w:p w14:paraId="07429DA0" w14:textId="77777777" w:rsidR="009E50B5" w:rsidRDefault="009E50B5">
            <w:pPr>
              <w:outlineLvl w:val="0"/>
              <w:rPr>
                <w:rFonts w:ascii="Cambria" w:hAnsi="Cambria" w:cs="Arial"/>
                <w:b/>
                <w:bCs/>
                <w:color w:val="000000"/>
                <w:sz w:val="18"/>
                <w:szCs w:val="18"/>
              </w:rPr>
            </w:pPr>
            <w:bookmarkStart w:id="166" w:name="_Toc101455570"/>
            <w:bookmarkStart w:id="167" w:name="_Toc112768698"/>
            <w:r>
              <w:rPr>
                <w:rFonts w:ascii="Cambria" w:hAnsi="Cambria"/>
                <w:b/>
                <w:color w:val="000000"/>
                <w:sz w:val="18"/>
              </w:rPr>
              <w:t>Actifs financiers</w:t>
            </w:r>
            <w:bookmarkEnd w:id="166"/>
            <w:bookmarkEnd w:id="167"/>
          </w:p>
        </w:tc>
        <w:tc>
          <w:tcPr>
            <w:tcW w:w="1460" w:type="dxa"/>
            <w:tcBorders>
              <w:top w:val="nil"/>
              <w:left w:val="nil"/>
              <w:bottom w:val="nil"/>
              <w:right w:val="nil"/>
            </w:tcBorders>
            <w:shd w:val="clear" w:color="auto" w:fill="auto"/>
            <w:noWrap/>
            <w:vAlign w:val="bottom"/>
            <w:hideMark/>
          </w:tcPr>
          <w:p w14:paraId="21A5B614" w14:textId="77777777" w:rsidR="009E50B5" w:rsidRDefault="009E50B5">
            <w:pPr>
              <w:outlineLvl w:val="0"/>
              <w:rPr>
                <w:rFonts w:ascii="Cambria" w:hAnsi="Cambria" w:cs="Arial"/>
                <w:b/>
                <w:bCs/>
                <w:color w:val="000000"/>
                <w:sz w:val="18"/>
                <w:szCs w:val="18"/>
              </w:rPr>
            </w:pPr>
          </w:p>
        </w:tc>
        <w:tc>
          <w:tcPr>
            <w:tcW w:w="1460" w:type="dxa"/>
            <w:tcBorders>
              <w:top w:val="nil"/>
              <w:left w:val="nil"/>
              <w:bottom w:val="nil"/>
              <w:right w:val="nil"/>
            </w:tcBorders>
            <w:shd w:val="clear" w:color="auto" w:fill="auto"/>
            <w:noWrap/>
            <w:vAlign w:val="bottom"/>
            <w:hideMark/>
          </w:tcPr>
          <w:p w14:paraId="6D46E485" w14:textId="77777777" w:rsidR="009E50B5" w:rsidRDefault="009E50B5">
            <w:pPr>
              <w:outlineLvl w:val="0"/>
              <w:rPr>
                <w:sz w:val="20"/>
                <w:szCs w:val="20"/>
              </w:rPr>
            </w:pPr>
          </w:p>
        </w:tc>
        <w:tc>
          <w:tcPr>
            <w:tcW w:w="280" w:type="dxa"/>
            <w:tcBorders>
              <w:top w:val="nil"/>
              <w:left w:val="nil"/>
              <w:bottom w:val="nil"/>
              <w:right w:val="nil"/>
            </w:tcBorders>
            <w:shd w:val="clear" w:color="auto" w:fill="auto"/>
            <w:noWrap/>
            <w:vAlign w:val="bottom"/>
            <w:hideMark/>
          </w:tcPr>
          <w:p w14:paraId="53B9B88D" w14:textId="77777777" w:rsidR="009E50B5" w:rsidRDefault="009E50B5">
            <w:pPr>
              <w:outlineLvl w:val="0"/>
              <w:rPr>
                <w:sz w:val="20"/>
                <w:szCs w:val="20"/>
              </w:rPr>
            </w:pPr>
          </w:p>
        </w:tc>
        <w:tc>
          <w:tcPr>
            <w:tcW w:w="1460" w:type="dxa"/>
            <w:tcBorders>
              <w:top w:val="nil"/>
              <w:left w:val="nil"/>
              <w:bottom w:val="nil"/>
              <w:right w:val="nil"/>
            </w:tcBorders>
            <w:shd w:val="clear" w:color="auto" w:fill="auto"/>
            <w:noWrap/>
            <w:vAlign w:val="bottom"/>
            <w:hideMark/>
          </w:tcPr>
          <w:p w14:paraId="16E9EB57" w14:textId="77777777" w:rsidR="009E50B5" w:rsidRDefault="009E50B5">
            <w:pPr>
              <w:outlineLvl w:val="0"/>
              <w:rPr>
                <w:sz w:val="20"/>
                <w:szCs w:val="20"/>
              </w:rPr>
            </w:pPr>
          </w:p>
        </w:tc>
        <w:tc>
          <w:tcPr>
            <w:tcW w:w="1460" w:type="dxa"/>
            <w:tcBorders>
              <w:top w:val="nil"/>
              <w:left w:val="nil"/>
              <w:bottom w:val="nil"/>
              <w:right w:val="nil"/>
            </w:tcBorders>
            <w:shd w:val="clear" w:color="auto" w:fill="auto"/>
            <w:noWrap/>
            <w:vAlign w:val="bottom"/>
            <w:hideMark/>
          </w:tcPr>
          <w:p w14:paraId="26F63496" w14:textId="77777777" w:rsidR="009E50B5" w:rsidRDefault="009E50B5">
            <w:pPr>
              <w:outlineLvl w:val="0"/>
              <w:rPr>
                <w:sz w:val="20"/>
                <w:szCs w:val="20"/>
              </w:rPr>
            </w:pPr>
          </w:p>
        </w:tc>
      </w:tr>
      <w:tr w:rsidR="009E50B5" w14:paraId="71C11769" w14:textId="77777777" w:rsidTr="009E50B5">
        <w:trPr>
          <w:trHeight w:val="240"/>
        </w:trPr>
        <w:tc>
          <w:tcPr>
            <w:tcW w:w="3480" w:type="dxa"/>
            <w:tcBorders>
              <w:top w:val="nil"/>
              <w:left w:val="nil"/>
              <w:bottom w:val="nil"/>
              <w:right w:val="nil"/>
            </w:tcBorders>
            <w:shd w:val="clear" w:color="auto" w:fill="auto"/>
            <w:noWrap/>
            <w:vAlign w:val="center"/>
            <w:hideMark/>
          </w:tcPr>
          <w:p w14:paraId="58685C9C" w14:textId="77777777" w:rsidR="009E50B5" w:rsidRDefault="009E50B5">
            <w:pPr>
              <w:outlineLvl w:val="0"/>
              <w:rPr>
                <w:rFonts w:ascii="Cambria" w:hAnsi="Cambria" w:cs="Arial"/>
                <w:color w:val="000000"/>
                <w:sz w:val="18"/>
                <w:szCs w:val="18"/>
              </w:rPr>
            </w:pPr>
            <w:bookmarkStart w:id="168" w:name="_Toc101455571"/>
            <w:bookmarkStart w:id="169" w:name="_Toc112768699"/>
            <w:r>
              <w:rPr>
                <w:rFonts w:ascii="Cambria" w:hAnsi="Cambria"/>
                <w:color w:val="000000"/>
                <w:sz w:val="18"/>
              </w:rPr>
              <w:t>Créances financières sur les filiales</w:t>
            </w:r>
            <w:bookmarkEnd w:id="168"/>
            <w:bookmarkEnd w:id="169"/>
          </w:p>
        </w:tc>
        <w:tc>
          <w:tcPr>
            <w:tcW w:w="1460" w:type="dxa"/>
            <w:tcBorders>
              <w:top w:val="nil"/>
              <w:left w:val="nil"/>
              <w:bottom w:val="nil"/>
              <w:right w:val="nil"/>
            </w:tcBorders>
            <w:shd w:val="clear" w:color="auto" w:fill="auto"/>
            <w:noWrap/>
            <w:vAlign w:val="bottom"/>
            <w:hideMark/>
          </w:tcPr>
          <w:p w14:paraId="36B5A251" w14:textId="77777777" w:rsidR="009E50B5" w:rsidRDefault="009E50B5">
            <w:pPr>
              <w:outlineLvl w:val="0"/>
              <w:rPr>
                <w:rFonts w:ascii="Cambria" w:hAnsi="Cambria" w:cs="Arial"/>
                <w:color w:val="000000"/>
                <w:sz w:val="18"/>
                <w:szCs w:val="18"/>
              </w:rPr>
            </w:pPr>
            <w:r>
              <w:rPr>
                <w:rFonts w:ascii="Cambria" w:hAnsi="Cambria"/>
                <w:color w:val="000000"/>
                <w:sz w:val="18"/>
              </w:rPr>
              <w:t xml:space="preserve">                          </w:t>
            </w:r>
            <w:bookmarkStart w:id="170" w:name="_Toc101455572"/>
            <w:bookmarkStart w:id="171" w:name="_Toc112768700"/>
            <w:r>
              <w:rPr>
                <w:rFonts w:ascii="Cambria" w:hAnsi="Cambria"/>
                <w:color w:val="000000"/>
                <w:sz w:val="18"/>
              </w:rPr>
              <w:t>-</w:t>
            </w:r>
            <w:bookmarkEnd w:id="170"/>
            <w:bookmarkEnd w:id="171"/>
            <w:r>
              <w:rPr>
                <w:rFonts w:ascii="Cambria" w:hAnsi="Cambria"/>
                <w:color w:val="000000"/>
                <w:sz w:val="18"/>
              </w:rPr>
              <w:t xml:space="preserve">    </w:t>
            </w:r>
          </w:p>
        </w:tc>
        <w:tc>
          <w:tcPr>
            <w:tcW w:w="1460" w:type="dxa"/>
            <w:tcBorders>
              <w:top w:val="nil"/>
              <w:left w:val="nil"/>
              <w:bottom w:val="nil"/>
              <w:right w:val="nil"/>
            </w:tcBorders>
            <w:shd w:val="clear" w:color="auto" w:fill="auto"/>
            <w:noWrap/>
            <w:vAlign w:val="bottom"/>
            <w:hideMark/>
          </w:tcPr>
          <w:p w14:paraId="7120C880" w14:textId="77777777" w:rsidR="009E50B5" w:rsidRDefault="009E50B5">
            <w:pPr>
              <w:outlineLvl w:val="0"/>
              <w:rPr>
                <w:rFonts w:ascii="Cambria" w:hAnsi="Cambria" w:cs="Arial"/>
                <w:color w:val="000000"/>
                <w:sz w:val="18"/>
                <w:szCs w:val="18"/>
              </w:rPr>
            </w:pPr>
            <w:r>
              <w:rPr>
                <w:rFonts w:ascii="Cambria" w:hAnsi="Cambria"/>
                <w:color w:val="000000"/>
                <w:sz w:val="18"/>
              </w:rPr>
              <w:t xml:space="preserve">                          </w:t>
            </w:r>
            <w:bookmarkStart w:id="172" w:name="_Toc101455573"/>
            <w:bookmarkStart w:id="173" w:name="_Toc112768701"/>
            <w:r>
              <w:rPr>
                <w:rFonts w:ascii="Cambria" w:hAnsi="Cambria"/>
                <w:color w:val="000000"/>
                <w:sz w:val="18"/>
              </w:rPr>
              <w:t>-</w:t>
            </w:r>
            <w:bookmarkEnd w:id="172"/>
            <w:bookmarkEnd w:id="173"/>
            <w:r>
              <w:rPr>
                <w:rFonts w:ascii="Cambria" w:hAnsi="Cambria"/>
                <w:color w:val="000000"/>
                <w:sz w:val="18"/>
              </w:rPr>
              <w:t xml:space="preserve">    </w:t>
            </w:r>
          </w:p>
        </w:tc>
        <w:tc>
          <w:tcPr>
            <w:tcW w:w="280" w:type="dxa"/>
            <w:tcBorders>
              <w:top w:val="nil"/>
              <w:left w:val="nil"/>
              <w:bottom w:val="nil"/>
              <w:right w:val="nil"/>
            </w:tcBorders>
            <w:shd w:val="clear" w:color="auto" w:fill="auto"/>
            <w:noWrap/>
            <w:vAlign w:val="bottom"/>
            <w:hideMark/>
          </w:tcPr>
          <w:p w14:paraId="11B8D6DB" w14:textId="77777777" w:rsidR="009E50B5" w:rsidRDefault="009E50B5">
            <w:pPr>
              <w:outlineLvl w:val="0"/>
              <w:rPr>
                <w:rFonts w:ascii="Cambria" w:hAnsi="Cambria" w:cs="Arial"/>
                <w:color w:val="000000"/>
                <w:sz w:val="18"/>
                <w:szCs w:val="18"/>
              </w:rPr>
            </w:pPr>
          </w:p>
        </w:tc>
        <w:tc>
          <w:tcPr>
            <w:tcW w:w="1460" w:type="dxa"/>
            <w:tcBorders>
              <w:top w:val="nil"/>
              <w:left w:val="nil"/>
              <w:bottom w:val="nil"/>
              <w:right w:val="nil"/>
            </w:tcBorders>
            <w:shd w:val="clear" w:color="auto" w:fill="auto"/>
            <w:noWrap/>
            <w:vAlign w:val="bottom"/>
            <w:hideMark/>
          </w:tcPr>
          <w:p w14:paraId="7B1748E0" w14:textId="77777777" w:rsidR="009E50B5" w:rsidRDefault="009E50B5">
            <w:pPr>
              <w:outlineLvl w:val="0"/>
              <w:rPr>
                <w:rFonts w:ascii="Cambria" w:hAnsi="Cambria" w:cs="Arial"/>
                <w:color w:val="000000"/>
                <w:sz w:val="18"/>
                <w:szCs w:val="18"/>
              </w:rPr>
            </w:pPr>
            <w:r>
              <w:rPr>
                <w:rFonts w:ascii="Cambria" w:hAnsi="Cambria"/>
                <w:color w:val="000000"/>
                <w:sz w:val="18"/>
              </w:rPr>
              <w:t xml:space="preserve">                          </w:t>
            </w:r>
            <w:bookmarkStart w:id="174" w:name="_Toc101455574"/>
            <w:bookmarkStart w:id="175" w:name="_Toc112768702"/>
            <w:r>
              <w:rPr>
                <w:rFonts w:ascii="Cambria" w:hAnsi="Cambria"/>
                <w:color w:val="000000"/>
                <w:sz w:val="18"/>
              </w:rPr>
              <w:t>-</w:t>
            </w:r>
            <w:bookmarkEnd w:id="174"/>
            <w:bookmarkEnd w:id="175"/>
            <w:r>
              <w:rPr>
                <w:rFonts w:ascii="Cambria" w:hAnsi="Cambria"/>
                <w:color w:val="000000"/>
                <w:sz w:val="18"/>
              </w:rPr>
              <w:t xml:space="preserve">    </w:t>
            </w:r>
          </w:p>
        </w:tc>
        <w:tc>
          <w:tcPr>
            <w:tcW w:w="1460" w:type="dxa"/>
            <w:tcBorders>
              <w:top w:val="nil"/>
              <w:left w:val="nil"/>
              <w:bottom w:val="nil"/>
              <w:right w:val="nil"/>
            </w:tcBorders>
            <w:shd w:val="clear" w:color="auto" w:fill="auto"/>
            <w:noWrap/>
            <w:vAlign w:val="bottom"/>
            <w:hideMark/>
          </w:tcPr>
          <w:p w14:paraId="4753B7DB" w14:textId="77777777" w:rsidR="009E50B5" w:rsidRDefault="009E50B5">
            <w:pPr>
              <w:outlineLvl w:val="0"/>
              <w:rPr>
                <w:rFonts w:ascii="Cambria" w:hAnsi="Cambria" w:cs="Arial"/>
                <w:color w:val="000000"/>
                <w:sz w:val="18"/>
                <w:szCs w:val="18"/>
              </w:rPr>
            </w:pPr>
            <w:r>
              <w:rPr>
                <w:rFonts w:ascii="Cambria" w:hAnsi="Cambria"/>
                <w:color w:val="000000"/>
                <w:sz w:val="18"/>
              </w:rPr>
              <w:t xml:space="preserve">                          </w:t>
            </w:r>
            <w:bookmarkStart w:id="176" w:name="_Toc101455575"/>
            <w:bookmarkStart w:id="177" w:name="_Toc112768703"/>
            <w:r>
              <w:rPr>
                <w:rFonts w:ascii="Cambria" w:hAnsi="Cambria"/>
                <w:color w:val="000000"/>
                <w:sz w:val="18"/>
              </w:rPr>
              <w:t>-</w:t>
            </w:r>
            <w:bookmarkEnd w:id="176"/>
            <w:bookmarkEnd w:id="177"/>
            <w:r>
              <w:rPr>
                <w:rFonts w:ascii="Cambria" w:hAnsi="Cambria"/>
                <w:color w:val="000000"/>
                <w:sz w:val="18"/>
              </w:rPr>
              <w:t xml:space="preserve">    </w:t>
            </w:r>
          </w:p>
        </w:tc>
      </w:tr>
      <w:tr w:rsidR="009E50B5" w14:paraId="3F2F3B0A" w14:textId="77777777" w:rsidTr="009E50B5">
        <w:trPr>
          <w:trHeight w:val="240"/>
        </w:trPr>
        <w:tc>
          <w:tcPr>
            <w:tcW w:w="3480" w:type="dxa"/>
            <w:tcBorders>
              <w:top w:val="nil"/>
              <w:left w:val="nil"/>
              <w:bottom w:val="nil"/>
              <w:right w:val="nil"/>
            </w:tcBorders>
            <w:shd w:val="clear" w:color="auto" w:fill="auto"/>
            <w:noWrap/>
            <w:vAlign w:val="center"/>
            <w:hideMark/>
          </w:tcPr>
          <w:p w14:paraId="17AC0298" w14:textId="77777777" w:rsidR="009E50B5" w:rsidRDefault="009E50B5">
            <w:pPr>
              <w:outlineLvl w:val="0"/>
              <w:rPr>
                <w:rFonts w:ascii="Cambria" w:hAnsi="Cambria" w:cs="Arial"/>
                <w:color w:val="000000"/>
                <w:sz w:val="18"/>
                <w:szCs w:val="18"/>
              </w:rPr>
            </w:pPr>
            <w:bookmarkStart w:id="178" w:name="_Toc101455576"/>
            <w:bookmarkStart w:id="179" w:name="_Toc112768704"/>
            <w:r>
              <w:rPr>
                <w:rFonts w:ascii="Cambria" w:hAnsi="Cambria"/>
                <w:color w:val="000000"/>
                <w:sz w:val="18"/>
              </w:rPr>
              <w:t>Titres de participation</w:t>
            </w:r>
            <w:bookmarkEnd w:id="178"/>
            <w:bookmarkEnd w:id="179"/>
            <w:r>
              <w:rPr>
                <w:rFonts w:ascii="Cambria" w:hAnsi="Cambria"/>
                <w:color w:val="000000"/>
                <w:sz w:val="18"/>
              </w:rPr>
              <w:t xml:space="preserve">  </w:t>
            </w:r>
          </w:p>
        </w:tc>
        <w:tc>
          <w:tcPr>
            <w:tcW w:w="1460" w:type="dxa"/>
            <w:tcBorders>
              <w:top w:val="nil"/>
              <w:left w:val="nil"/>
              <w:bottom w:val="single" w:sz="4" w:space="0" w:color="auto"/>
              <w:right w:val="nil"/>
            </w:tcBorders>
            <w:shd w:val="clear" w:color="auto" w:fill="auto"/>
            <w:noWrap/>
            <w:vAlign w:val="bottom"/>
            <w:hideMark/>
          </w:tcPr>
          <w:p w14:paraId="3CEC46FA" w14:textId="77777777" w:rsidR="009E50B5" w:rsidRDefault="009E50B5">
            <w:pPr>
              <w:outlineLvl w:val="0"/>
              <w:rPr>
                <w:rFonts w:ascii="Cambria" w:hAnsi="Cambria" w:cs="Arial"/>
                <w:color w:val="000000"/>
                <w:sz w:val="18"/>
                <w:szCs w:val="18"/>
              </w:rPr>
            </w:pPr>
            <w:r>
              <w:rPr>
                <w:rFonts w:ascii="Cambria" w:hAnsi="Cambria"/>
                <w:color w:val="000000"/>
                <w:sz w:val="18"/>
              </w:rPr>
              <w:t xml:space="preserve">                          </w:t>
            </w:r>
            <w:bookmarkStart w:id="180" w:name="_Toc101455577"/>
            <w:bookmarkStart w:id="181" w:name="_Toc112768705"/>
            <w:r>
              <w:rPr>
                <w:rFonts w:ascii="Cambria" w:hAnsi="Cambria"/>
                <w:color w:val="000000"/>
                <w:sz w:val="18"/>
              </w:rPr>
              <w:t>-</w:t>
            </w:r>
            <w:bookmarkEnd w:id="180"/>
            <w:bookmarkEnd w:id="181"/>
            <w:r>
              <w:rPr>
                <w:rFonts w:ascii="Cambria" w:hAnsi="Cambria"/>
                <w:color w:val="000000"/>
                <w:sz w:val="18"/>
              </w:rPr>
              <w:t xml:space="preserve">    </w:t>
            </w:r>
          </w:p>
        </w:tc>
        <w:tc>
          <w:tcPr>
            <w:tcW w:w="1460" w:type="dxa"/>
            <w:tcBorders>
              <w:top w:val="nil"/>
              <w:left w:val="nil"/>
              <w:bottom w:val="single" w:sz="4" w:space="0" w:color="auto"/>
              <w:right w:val="nil"/>
            </w:tcBorders>
            <w:shd w:val="clear" w:color="auto" w:fill="auto"/>
            <w:noWrap/>
            <w:vAlign w:val="bottom"/>
            <w:hideMark/>
          </w:tcPr>
          <w:p w14:paraId="4F6BC2C8" w14:textId="77777777" w:rsidR="009E50B5" w:rsidRDefault="009E50B5">
            <w:pPr>
              <w:outlineLvl w:val="0"/>
              <w:rPr>
                <w:rFonts w:ascii="Cambria" w:hAnsi="Cambria" w:cs="Arial"/>
                <w:color w:val="000000"/>
                <w:sz w:val="18"/>
                <w:szCs w:val="18"/>
              </w:rPr>
            </w:pPr>
            <w:r>
              <w:rPr>
                <w:rFonts w:ascii="Cambria" w:hAnsi="Cambria"/>
                <w:color w:val="000000"/>
                <w:sz w:val="18"/>
              </w:rPr>
              <w:t xml:space="preserve">                          </w:t>
            </w:r>
            <w:bookmarkStart w:id="182" w:name="_Toc101455578"/>
            <w:bookmarkStart w:id="183" w:name="_Toc112768706"/>
            <w:r>
              <w:rPr>
                <w:rFonts w:ascii="Cambria" w:hAnsi="Cambria"/>
                <w:color w:val="000000"/>
                <w:sz w:val="18"/>
              </w:rPr>
              <w:t>-</w:t>
            </w:r>
            <w:bookmarkEnd w:id="182"/>
            <w:bookmarkEnd w:id="183"/>
            <w:r>
              <w:rPr>
                <w:rFonts w:ascii="Cambria" w:hAnsi="Cambria"/>
                <w:color w:val="000000"/>
                <w:sz w:val="18"/>
              </w:rPr>
              <w:t xml:space="preserve">    </w:t>
            </w:r>
          </w:p>
        </w:tc>
        <w:tc>
          <w:tcPr>
            <w:tcW w:w="280" w:type="dxa"/>
            <w:tcBorders>
              <w:top w:val="nil"/>
              <w:left w:val="nil"/>
              <w:bottom w:val="nil"/>
              <w:right w:val="nil"/>
            </w:tcBorders>
            <w:shd w:val="clear" w:color="auto" w:fill="auto"/>
            <w:noWrap/>
            <w:vAlign w:val="bottom"/>
            <w:hideMark/>
          </w:tcPr>
          <w:p w14:paraId="741C43F3" w14:textId="77777777" w:rsidR="009E50B5" w:rsidRDefault="009E50B5">
            <w:pPr>
              <w:outlineLvl w:val="0"/>
              <w:rPr>
                <w:rFonts w:ascii="Cambria" w:hAnsi="Cambria" w:cs="Arial"/>
                <w:color w:val="000000"/>
                <w:sz w:val="18"/>
                <w:szCs w:val="18"/>
              </w:rPr>
            </w:pPr>
          </w:p>
        </w:tc>
        <w:tc>
          <w:tcPr>
            <w:tcW w:w="1460" w:type="dxa"/>
            <w:tcBorders>
              <w:top w:val="nil"/>
              <w:left w:val="nil"/>
              <w:bottom w:val="single" w:sz="4" w:space="0" w:color="auto"/>
              <w:right w:val="nil"/>
            </w:tcBorders>
            <w:shd w:val="clear" w:color="auto" w:fill="auto"/>
            <w:noWrap/>
            <w:vAlign w:val="bottom"/>
            <w:hideMark/>
          </w:tcPr>
          <w:p w14:paraId="7B67C48C" w14:textId="77777777" w:rsidR="009E50B5" w:rsidRDefault="009E50B5">
            <w:pPr>
              <w:outlineLvl w:val="0"/>
              <w:rPr>
                <w:rFonts w:ascii="Cambria" w:hAnsi="Cambria" w:cs="Arial"/>
                <w:color w:val="000000"/>
                <w:sz w:val="18"/>
                <w:szCs w:val="18"/>
              </w:rPr>
            </w:pPr>
            <w:r>
              <w:rPr>
                <w:rFonts w:ascii="Cambria" w:hAnsi="Cambria"/>
                <w:color w:val="000000"/>
                <w:sz w:val="18"/>
              </w:rPr>
              <w:t xml:space="preserve">                          </w:t>
            </w:r>
            <w:bookmarkStart w:id="184" w:name="_Toc101455579"/>
            <w:bookmarkStart w:id="185" w:name="_Toc112768707"/>
            <w:r>
              <w:rPr>
                <w:rFonts w:ascii="Cambria" w:hAnsi="Cambria"/>
                <w:color w:val="000000"/>
                <w:sz w:val="18"/>
              </w:rPr>
              <w:t>-</w:t>
            </w:r>
            <w:bookmarkEnd w:id="184"/>
            <w:bookmarkEnd w:id="185"/>
            <w:r>
              <w:rPr>
                <w:rFonts w:ascii="Cambria" w:hAnsi="Cambria"/>
                <w:color w:val="000000"/>
                <w:sz w:val="18"/>
              </w:rPr>
              <w:t xml:space="preserve">    </w:t>
            </w:r>
          </w:p>
        </w:tc>
        <w:tc>
          <w:tcPr>
            <w:tcW w:w="1460" w:type="dxa"/>
            <w:tcBorders>
              <w:top w:val="nil"/>
              <w:left w:val="nil"/>
              <w:bottom w:val="single" w:sz="4" w:space="0" w:color="auto"/>
              <w:right w:val="nil"/>
            </w:tcBorders>
            <w:shd w:val="clear" w:color="auto" w:fill="auto"/>
            <w:noWrap/>
            <w:vAlign w:val="bottom"/>
            <w:hideMark/>
          </w:tcPr>
          <w:p w14:paraId="56EC380D" w14:textId="77777777" w:rsidR="009E50B5" w:rsidRDefault="009E50B5">
            <w:pPr>
              <w:outlineLvl w:val="0"/>
              <w:rPr>
                <w:rFonts w:ascii="Cambria" w:hAnsi="Cambria" w:cs="Arial"/>
                <w:color w:val="000000"/>
                <w:sz w:val="18"/>
                <w:szCs w:val="18"/>
              </w:rPr>
            </w:pPr>
            <w:r>
              <w:rPr>
                <w:rFonts w:ascii="Cambria" w:hAnsi="Cambria"/>
                <w:color w:val="000000"/>
                <w:sz w:val="18"/>
              </w:rPr>
              <w:t xml:space="preserve">                          </w:t>
            </w:r>
            <w:bookmarkStart w:id="186" w:name="_Toc101455580"/>
            <w:bookmarkStart w:id="187" w:name="_Toc112768708"/>
            <w:r>
              <w:rPr>
                <w:rFonts w:ascii="Cambria" w:hAnsi="Cambria"/>
                <w:color w:val="000000"/>
                <w:sz w:val="18"/>
              </w:rPr>
              <w:t>-</w:t>
            </w:r>
            <w:bookmarkEnd w:id="186"/>
            <w:bookmarkEnd w:id="187"/>
            <w:r>
              <w:rPr>
                <w:rFonts w:ascii="Cambria" w:hAnsi="Cambria"/>
                <w:color w:val="000000"/>
                <w:sz w:val="18"/>
              </w:rPr>
              <w:t xml:space="preserve">    </w:t>
            </w:r>
          </w:p>
        </w:tc>
      </w:tr>
      <w:tr w:rsidR="009E50B5" w14:paraId="63754226" w14:textId="77777777" w:rsidTr="009E50B5">
        <w:trPr>
          <w:trHeight w:val="240"/>
        </w:trPr>
        <w:tc>
          <w:tcPr>
            <w:tcW w:w="3480" w:type="dxa"/>
            <w:tcBorders>
              <w:top w:val="nil"/>
              <w:left w:val="nil"/>
              <w:bottom w:val="nil"/>
              <w:right w:val="nil"/>
            </w:tcBorders>
            <w:shd w:val="clear" w:color="auto" w:fill="auto"/>
            <w:noWrap/>
            <w:vAlign w:val="bottom"/>
            <w:hideMark/>
          </w:tcPr>
          <w:p w14:paraId="11F8D331" w14:textId="77777777" w:rsidR="009E50B5" w:rsidRDefault="009E50B5">
            <w:pPr>
              <w:outlineLvl w:val="0"/>
              <w:rPr>
                <w:rFonts w:ascii="Cambria" w:hAnsi="Cambria" w:cs="Arial"/>
                <w:b/>
                <w:bCs/>
                <w:color w:val="000000"/>
                <w:sz w:val="18"/>
                <w:szCs w:val="18"/>
              </w:rPr>
            </w:pPr>
            <w:bookmarkStart w:id="188" w:name="_Toc101455581"/>
            <w:bookmarkStart w:id="189" w:name="_Toc112768709"/>
            <w:r>
              <w:rPr>
                <w:rFonts w:ascii="Cambria" w:hAnsi="Cambria"/>
                <w:b/>
                <w:color w:val="000000"/>
                <w:sz w:val="18"/>
              </w:rPr>
              <w:t>Total Actifs financiers</w:t>
            </w:r>
            <w:bookmarkEnd w:id="188"/>
            <w:bookmarkEnd w:id="189"/>
          </w:p>
        </w:tc>
        <w:tc>
          <w:tcPr>
            <w:tcW w:w="1460" w:type="dxa"/>
            <w:tcBorders>
              <w:top w:val="single" w:sz="4" w:space="0" w:color="auto"/>
              <w:left w:val="nil"/>
              <w:bottom w:val="nil"/>
              <w:right w:val="nil"/>
            </w:tcBorders>
            <w:shd w:val="clear" w:color="auto" w:fill="auto"/>
            <w:noWrap/>
            <w:vAlign w:val="bottom"/>
            <w:hideMark/>
          </w:tcPr>
          <w:p w14:paraId="11CAA923" w14:textId="77777777" w:rsidR="009E50B5" w:rsidRDefault="009E50B5">
            <w:pPr>
              <w:jc w:val="right"/>
              <w:outlineLvl w:val="0"/>
              <w:rPr>
                <w:rFonts w:ascii="Cambria" w:hAnsi="Cambria" w:cs="Arial"/>
                <w:b/>
                <w:bCs/>
                <w:color w:val="000000"/>
                <w:sz w:val="18"/>
                <w:szCs w:val="18"/>
              </w:rPr>
            </w:pPr>
            <w:bookmarkStart w:id="190" w:name="_Toc101455582"/>
            <w:bookmarkStart w:id="191" w:name="_Toc112768710"/>
            <w:r>
              <w:rPr>
                <w:rFonts w:ascii="Cambria" w:hAnsi="Cambria"/>
                <w:b/>
                <w:color w:val="000000"/>
                <w:sz w:val="18"/>
              </w:rPr>
              <w:t>0</w:t>
            </w:r>
            <w:bookmarkEnd w:id="190"/>
            <w:bookmarkEnd w:id="191"/>
          </w:p>
        </w:tc>
        <w:tc>
          <w:tcPr>
            <w:tcW w:w="1460" w:type="dxa"/>
            <w:tcBorders>
              <w:top w:val="single" w:sz="4" w:space="0" w:color="auto"/>
              <w:left w:val="nil"/>
              <w:bottom w:val="nil"/>
              <w:right w:val="nil"/>
            </w:tcBorders>
            <w:shd w:val="clear" w:color="auto" w:fill="auto"/>
            <w:noWrap/>
            <w:vAlign w:val="bottom"/>
            <w:hideMark/>
          </w:tcPr>
          <w:p w14:paraId="26C76F3F" w14:textId="77777777" w:rsidR="009E50B5" w:rsidRDefault="009E50B5">
            <w:pPr>
              <w:jc w:val="right"/>
              <w:outlineLvl w:val="0"/>
              <w:rPr>
                <w:rFonts w:ascii="Cambria" w:hAnsi="Cambria" w:cs="Arial"/>
                <w:b/>
                <w:bCs/>
                <w:color w:val="000000"/>
                <w:sz w:val="18"/>
                <w:szCs w:val="18"/>
              </w:rPr>
            </w:pPr>
            <w:bookmarkStart w:id="192" w:name="_Toc101455583"/>
            <w:bookmarkStart w:id="193" w:name="_Toc112768711"/>
            <w:r>
              <w:rPr>
                <w:rFonts w:ascii="Cambria" w:hAnsi="Cambria"/>
                <w:b/>
                <w:color w:val="000000"/>
                <w:sz w:val="18"/>
              </w:rPr>
              <w:t>0</w:t>
            </w:r>
            <w:bookmarkEnd w:id="192"/>
            <w:bookmarkEnd w:id="193"/>
          </w:p>
        </w:tc>
        <w:tc>
          <w:tcPr>
            <w:tcW w:w="280" w:type="dxa"/>
            <w:tcBorders>
              <w:top w:val="nil"/>
              <w:left w:val="nil"/>
              <w:bottom w:val="nil"/>
              <w:right w:val="nil"/>
            </w:tcBorders>
            <w:shd w:val="clear" w:color="auto" w:fill="auto"/>
            <w:noWrap/>
            <w:vAlign w:val="bottom"/>
            <w:hideMark/>
          </w:tcPr>
          <w:p w14:paraId="4C037AF5" w14:textId="77777777" w:rsidR="009E50B5" w:rsidRDefault="009E50B5">
            <w:pPr>
              <w:jc w:val="right"/>
              <w:outlineLvl w:val="0"/>
              <w:rPr>
                <w:rFonts w:ascii="Cambria" w:hAnsi="Cambria" w:cs="Arial"/>
                <w:b/>
                <w:bCs/>
                <w:color w:val="000000"/>
                <w:sz w:val="18"/>
                <w:szCs w:val="18"/>
              </w:rPr>
            </w:pPr>
          </w:p>
        </w:tc>
        <w:tc>
          <w:tcPr>
            <w:tcW w:w="1460" w:type="dxa"/>
            <w:tcBorders>
              <w:top w:val="single" w:sz="4" w:space="0" w:color="auto"/>
              <w:left w:val="nil"/>
              <w:bottom w:val="nil"/>
              <w:right w:val="nil"/>
            </w:tcBorders>
            <w:shd w:val="clear" w:color="auto" w:fill="auto"/>
            <w:noWrap/>
            <w:vAlign w:val="bottom"/>
            <w:hideMark/>
          </w:tcPr>
          <w:p w14:paraId="3C90F640" w14:textId="77777777" w:rsidR="009E50B5" w:rsidRDefault="009E50B5">
            <w:pPr>
              <w:jc w:val="right"/>
              <w:outlineLvl w:val="0"/>
              <w:rPr>
                <w:rFonts w:ascii="Cambria" w:hAnsi="Cambria" w:cs="Arial"/>
                <w:b/>
                <w:bCs/>
                <w:color w:val="000000"/>
                <w:sz w:val="18"/>
                <w:szCs w:val="18"/>
              </w:rPr>
            </w:pPr>
            <w:bookmarkStart w:id="194" w:name="_Toc101455584"/>
            <w:bookmarkStart w:id="195" w:name="_Toc112768712"/>
            <w:r>
              <w:rPr>
                <w:rFonts w:ascii="Cambria" w:hAnsi="Cambria"/>
                <w:b/>
                <w:color w:val="000000"/>
                <w:sz w:val="18"/>
              </w:rPr>
              <w:t>0</w:t>
            </w:r>
            <w:bookmarkEnd w:id="194"/>
            <w:bookmarkEnd w:id="195"/>
          </w:p>
        </w:tc>
        <w:tc>
          <w:tcPr>
            <w:tcW w:w="1460" w:type="dxa"/>
            <w:tcBorders>
              <w:top w:val="single" w:sz="4" w:space="0" w:color="auto"/>
              <w:left w:val="nil"/>
              <w:bottom w:val="nil"/>
              <w:right w:val="nil"/>
            </w:tcBorders>
            <w:shd w:val="clear" w:color="auto" w:fill="auto"/>
            <w:noWrap/>
            <w:vAlign w:val="bottom"/>
            <w:hideMark/>
          </w:tcPr>
          <w:p w14:paraId="2043C8A6" w14:textId="77777777" w:rsidR="009E50B5" w:rsidRDefault="009E50B5">
            <w:pPr>
              <w:jc w:val="right"/>
              <w:outlineLvl w:val="0"/>
              <w:rPr>
                <w:rFonts w:ascii="Cambria" w:hAnsi="Cambria" w:cs="Arial"/>
                <w:b/>
                <w:bCs/>
                <w:color w:val="000000"/>
                <w:sz w:val="18"/>
                <w:szCs w:val="18"/>
              </w:rPr>
            </w:pPr>
            <w:bookmarkStart w:id="196" w:name="_Toc101455585"/>
            <w:bookmarkStart w:id="197" w:name="_Toc112768713"/>
            <w:r>
              <w:rPr>
                <w:rFonts w:ascii="Cambria" w:hAnsi="Cambria"/>
                <w:b/>
                <w:color w:val="000000"/>
                <w:sz w:val="18"/>
              </w:rPr>
              <w:t>0</w:t>
            </w:r>
            <w:bookmarkEnd w:id="196"/>
            <w:bookmarkEnd w:id="197"/>
          </w:p>
        </w:tc>
      </w:tr>
      <w:tr w:rsidR="009E50B5" w14:paraId="0835376E" w14:textId="77777777" w:rsidTr="009E50B5">
        <w:trPr>
          <w:trHeight w:val="240"/>
        </w:trPr>
        <w:tc>
          <w:tcPr>
            <w:tcW w:w="3480" w:type="dxa"/>
            <w:tcBorders>
              <w:top w:val="nil"/>
              <w:left w:val="nil"/>
              <w:bottom w:val="nil"/>
              <w:right w:val="nil"/>
            </w:tcBorders>
            <w:shd w:val="clear" w:color="auto" w:fill="auto"/>
            <w:noWrap/>
            <w:vAlign w:val="bottom"/>
            <w:hideMark/>
          </w:tcPr>
          <w:p w14:paraId="24778E56" w14:textId="77777777" w:rsidR="009E50B5" w:rsidRDefault="009E50B5">
            <w:pPr>
              <w:jc w:val="right"/>
              <w:outlineLvl w:val="0"/>
              <w:rPr>
                <w:rFonts w:ascii="Cambria" w:hAnsi="Cambria" w:cs="Arial"/>
                <w:b/>
                <w:bCs/>
                <w:color w:val="000000"/>
                <w:sz w:val="18"/>
                <w:szCs w:val="18"/>
              </w:rPr>
            </w:pPr>
          </w:p>
        </w:tc>
        <w:tc>
          <w:tcPr>
            <w:tcW w:w="1460" w:type="dxa"/>
            <w:tcBorders>
              <w:top w:val="nil"/>
              <w:left w:val="nil"/>
              <w:bottom w:val="nil"/>
              <w:right w:val="nil"/>
            </w:tcBorders>
            <w:shd w:val="clear" w:color="auto" w:fill="auto"/>
            <w:noWrap/>
            <w:vAlign w:val="bottom"/>
            <w:hideMark/>
          </w:tcPr>
          <w:p w14:paraId="199C4D9D" w14:textId="77777777" w:rsidR="009E50B5" w:rsidRDefault="009E50B5">
            <w:pPr>
              <w:outlineLvl w:val="0"/>
              <w:rPr>
                <w:sz w:val="20"/>
                <w:szCs w:val="20"/>
              </w:rPr>
            </w:pPr>
          </w:p>
        </w:tc>
        <w:tc>
          <w:tcPr>
            <w:tcW w:w="1460" w:type="dxa"/>
            <w:tcBorders>
              <w:top w:val="nil"/>
              <w:left w:val="nil"/>
              <w:bottom w:val="nil"/>
              <w:right w:val="nil"/>
            </w:tcBorders>
            <w:shd w:val="clear" w:color="auto" w:fill="auto"/>
            <w:noWrap/>
            <w:vAlign w:val="bottom"/>
            <w:hideMark/>
          </w:tcPr>
          <w:p w14:paraId="1C5A47BE" w14:textId="77777777" w:rsidR="009E50B5" w:rsidRDefault="009E50B5">
            <w:pPr>
              <w:outlineLvl w:val="0"/>
              <w:rPr>
                <w:sz w:val="20"/>
                <w:szCs w:val="20"/>
              </w:rPr>
            </w:pPr>
          </w:p>
        </w:tc>
        <w:tc>
          <w:tcPr>
            <w:tcW w:w="280" w:type="dxa"/>
            <w:tcBorders>
              <w:top w:val="nil"/>
              <w:left w:val="nil"/>
              <w:bottom w:val="nil"/>
              <w:right w:val="nil"/>
            </w:tcBorders>
            <w:shd w:val="clear" w:color="auto" w:fill="auto"/>
            <w:noWrap/>
            <w:vAlign w:val="bottom"/>
            <w:hideMark/>
          </w:tcPr>
          <w:p w14:paraId="4E7F1758" w14:textId="77777777" w:rsidR="009E50B5" w:rsidRDefault="009E50B5">
            <w:pPr>
              <w:outlineLvl w:val="0"/>
              <w:rPr>
                <w:sz w:val="20"/>
                <w:szCs w:val="20"/>
              </w:rPr>
            </w:pPr>
          </w:p>
        </w:tc>
        <w:tc>
          <w:tcPr>
            <w:tcW w:w="1460" w:type="dxa"/>
            <w:tcBorders>
              <w:top w:val="nil"/>
              <w:left w:val="nil"/>
              <w:bottom w:val="nil"/>
              <w:right w:val="nil"/>
            </w:tcBorders>
            <w:shd w:val="clear" w:color="auto" w:fill="auto"/>
            <w:noWrap/>
            <w:vAlign w:val="bottom"/>
            <w:hideMark/>
          </w:tcPr>
          <w:p w14:paraId="7CAF6434" w14:textId="77777777" w:rsidR="009E50B5" w:rsidRDefault="009E50B5">
            <w:pPr>
              <w:outlineLvl w:val="0"/>
              <w:rPr>
                <w:sz w:val="20"/>
                <w:szCs w:val="20"/>
              </w:rPr>
            </w:pPr>
          </w:p>
        </w:tc>
        <w:tc>
          <w:tcPr>
            <w:tcW w:w="1460" w:type="dxa"/>
            <w:tcBorders>
              <w:top w:val="nil"/>
              <w:left w:val="nil"/>
              <w:bottom w:val="nil"/>
              <w:right w:val="nil"/>
            </w:tcBorders>
            <w:shd w:val="clear" w:color="auto" w:fill="auto"/>
            <w:noWrap/>
            <w:vAlign w:val="bottom"/>
            <w:hideMark/>
          </w:tcPr>
          <w:p w14:paraId="6FA42BE7" w14:textId="77777777" w:rsidR="009E50B5" w:rsidRDefault="009E50B5">
            <w:pPr>
              <w:outlineLvl w:val="0"/>
              <w:rPr>
                <w:sz w:val="20"/>
                <w:szCs w:val="20"/>
              </w:rPr>
            </w:pPr>
          </w:p>
        </w:tc>
      </w:tr>
      <w:tr w:rsidR="009E50B5" w14:paraId="3A59DAB0" w14:textId="77777777" w:rsidTr="009E50B5">
        <w:trPr>
          <w:trHeight w:val="240"/>
        </w:trPr>
        <w:tc>
          <w:tcPr>
            <w:tcW w:w="3480" w:type="dxa"/>
            <w:tcBorders>
              <w:top w:val="nil"/>
              <w:left w:val="nil"/>
              <w:bottom w:val="nil"/>
              <w:right w:val="nil"/>
            </w:tcBorders>
            <w:shd w:val="clear" w:color="auto" w:fill="auto"/>
            <w:noWrap/>
            <w:vAlign w:val="bottom"/>
            <w:hideMark/>
          </w:tcPr>
          <w:p w14:paraId="7C9C29D5" w14:textId="77777777" w:rsidR="009E50B5" w:rsidRDefault="009E50B5">
            <w:pPr>
              <w:outlineLvl w:val="0"/>
              <w:rPr>
                <w:sz w:val="20"/>
                <w:szCs w:val="20"/>
              </w:rPr>
            </w:pPr>
          </w:p>
        </w:tc>
        <w:tc>
          <w:tcPr>
            <w:tcW w:w="1460" w:type="dxa"/>
            <w:tcBorders>
              <w:top w:val="nil"/>
              <w:left w:val="nil"/>
              <w:bottom w:val="nil"/>
              <w:right w:val="nil"/>
            </w:tcBorders>
            <w:shd w:val="clear" w:color="auto" w:fill="auto"/>
            <w:noWrap/>
            <w:vAlign w:val="bottom"/>
            <w:hideMark/>
          </w:tcPr>
          <w:p w14:paraId="0DFDDD66" w14:textId="77777777" w:rsidR="009E50B5" w:rsidRDefault="009E50B5">
            <w:pPr>
              <w:outlineLvl w:val="0"/>
              <w:rPr>
                <w:sz w:val="20"/>
                <w:szCs w:val="20"/>
              </w:rPr>
            </w:pPr>
          </w:p>
        </w:tc>
        <w:tc>
          <w:tcPr>
            <w:tcW w:w="1460" w:type="dxa"/>
            <w:tcBorders>
              <w:top w:val="nil"/>
              <w:left w:val="nil"/>
              <w:bottom w:val="nil"/>
              <w:right w:val="nil"/>
            </w:tcBorders>
            <w:shd w:val="clear" w:color="auto" w:fill="auto"/>
            <w:noWrap/>
            <w:vAlign w:val="bottom"/>
            <w:hideMark/>
          </w:tcPr>
          <w:p w14:paraId="5F233FD6" w14:textId="77777777" w:rsidR="009E50B5" w:rsidRDefault="009E50B5">
            <w:pPr>
              <w:outlineLvl w:val="0"/>
              <w:rPr>
                <w:sz w:val="20"/>
                <w:szCs w:val="20"/>
              </w:rPr>
            </w:pPr>
          </w:p>
        </w:tc>
        <w:tc>
          <w:tcPr>
            <w:tcW w:w="280" w:type="dxa"/>
            <w:tcBorders>
              <w:top w:val="nil"/>
              <w:left w:val="nil"/>
              <w:bottom w:val="nil"/>
              <w:right w:val="nil"/>
            </w:tcBorders>
            <w:shd w:val="clear" w:color="auto" w:fill="auto"/>
            <w:noWrap/>
            <w:vAlign w:val="bottom"/>
            <w:hideMark/>
          </w:tcPr>
          <w:p w14:paraId="6654CDE8" w14:textId="77777777" w:rsidR="009E50B5" w:rsidRDefault="009E50B5">
            <w:pPr>
              <w:outlineLvl w:val="0"/>
              <w:rPr>
                <w:sz w:val="20"/>
                <w:szCs w:val="20"/>
              </w:rPr>
            </w:pPr>
          </w:p>
        </w:tc>
        <w:tc>
          <w:tcPr>
            <w:tcW w:w="1460" w:type="dxa"/>
            <w:tcBorders>
              <w:top w:val="nil"/>
              <w:left w:val="nil"/>
              <w:bottom w:val="nil"/>
              <w:right w:val="nil"/>
            </w:tcBorders>
            <w:shd w:val="clear" w:color="auto" w:fill="auto"/>
            <w:noWrap/>
            <w:vAlign w:val="bottom"/>
            <w:hideMark/>
          </w:tcPr>
          <w:p w14:paraId="5E6C1CF7" w14:textId="77777777" w:rsidR="009E50B5" w:rsidRDefault="009E50B5">
            <w:pPr>
              <w:outlineLvl w:val="0"/>
              <w:rPr>
                <w:sz w:val="20"/>
                <w:szCs w:val="20"/>
              </w:rPr>
            </w:pPr>
          </w:p>
        </w:tc>
        <w:tc>
          <w:tcPr>
            <w:tcW w:w="1460" w:type="dxa"/>
            <w:tcBorders>
              <w:top w:val="nil"/>
              <w:left w:val="nil"/>
              <w:bottom w:val="nil"/>
              <w:right w:val="nil"/>
            </w:tcBorders>
            <w:shd w:val="clear" w:color="auto" w:fill="auto"/>
            <w:noWrap/>
            <w:vAlign w:val="bottom"/>
            <w:hideMark/>
          </w:tcPr>
          <w:p w14:paraId="74A007D8" w14:textId="77777777" w:rsidR="009E50B5" w:rsidRDefault="009E50B5">
            <w:pPr>
              <w:outlineLvl w:val="0"/>
              <w:rPr>
                <w:sz w:val="20"/>
                <w:szCs w:val="20"/>
              </w:rPr>
            </w:pPr>
          </w:p>
        </w:tc>
      </w:tr>
      <w:tr w:rsidR="009E50B5" w14:paraId="1B44F3EC" w14:textId="77777777" w:rsidTr="009E50B5">
        <w:trPr>
          <w:trHeight w:val="240"/>
        </w:trPr>
        <w:tc>
          <w:tcPr>
            <w:tcW w:w="3480" w:type="dxa"/>
            <w:tcBorders>
              <w:top w:val="nil"/>
              <w:left w:val="nil"/>
              <w:bottom w:val="nil"/>
              <w:right w:val="nil"/>
            </w:tcBorders>
            <w:shd w:val="clear" w:color="auto" w:fill="auto"/>
            <w:noWrap/>
            <w:vAlign w:val="bottom"/>
            <w:hideMark/>
          </w:tcPr>
          <w:p w14:paraId="24275719" w14:textId="77777777" w:rsidR="009E50B5" w:rsidRDefault="009E50B5">
            <w:pPr>
              <w:rPr>
                <w:rFonts w:ascii="Cambria" w:hAnsi="Cambria" w:cs="Arial"/>
                <w:b/>
                <w:bCs/>
                <w:color w:val="000000"/>
                <w:sz w:val="18"/>
                <w:szCs w:val="18"/>
              </w:rPr>
            </w:pPr>
            <w:r>
              <w:rPr>
                <w:rFonts w:ascii="Cambria" w:hAnsi="Cambria"/>
                <w:b/>
                <w:color w:val="000000"/>
                <w:sz w:val="18"/>
              </w:rPr>
              <w:t>Passifs financiers</w:t>
            </w:r>
          </w:p>
        </w:tc>
        <w:tc>
          <w:tcPr>
            <w:tcW w:w="1460" w:type="dxa"/>
            <w:tcBorders>
              <w:top w:val="nil"/>
              <w:left w:val="nil"/>
              <w:bottom w:val="nil"/>
              <w:right w:val="nil"/>
            </w:tcBorders>
            <w:shd w:val="clear" w:color="auto" w:fill="auto"/>
            <w:noWrap/>
            <w:vAlign w:val="bottom"/>
            <w:hideMark/>
          </w:tcPr>
          <w:p w14:paraId="144526A9" w14:textId="77777777" w:rsidR="009E50B5" w:rsidRDefault="009E50B5">
            <w:pPr>
              <w:rPr>
                <w:rFonts w:ascii="Cambria" w:hAnsi="Cambria" w:cs="Arial"/>
                <w:b/>
                <w:bCs/>
                <w:color w:val="000000"/>
                <w:sz w:val="18"/>
                <w:szCs w:val="18"/>
              </w:rPr>
            </w:pPr>
          </w:p>
        </w:tc>
        <w:tc>
          <w:tcPr>
            <w:tcW w:w="1460" w:type="dxa"/>
            <w:tcBorders>
              <w:top w:val="nil"/>
              <w:left w:val="nil"/>
              <w:bottom w:val="nil"/>
              <w:right w:val="nil"/>
            </w:tcBorders>
            <w:shd w:val="clear" w:color="auto" w:fill="auto"/>
            <w:noWrap/>
            <w:vAlign w:val="bottom"/>
            <w:hideMark/>
          </w:tcPr>
          <w:p w14:paraId="3BE8ED4C" w14:textId="77777777" w:rsidR="009E50B5" w:rsidRDefault="009E50B5">
            <w:pPr>
              <w:rPr>
                <w:sz w:val="20"/>
                <w:szCs w:val="20"/>
              </w:rPr>
            </w:pPr>
          </w:p>
        </w:tc>
        <w:tc>
          <w:tcPr>
            <w:tcW w:w="280" w:type="dxa"/>
            <w:tcBorders>
              <w:top w:val="nil"/>
              <w:left w:val="nil"/>
              <w:bottom w:val="nil"/>
              <w:right w:val="nil"/>
            </w:tcBorders>
            <w:shd w:val="clear" w:color="auto" w:fill="auto"/>
            <w:noWrap/>
            <w:vAlign w:val="bottom"/>
            <w:hideMark/>
          </w:tcPr>
          <w:p w14:paraId="71E45685" w14:textId="77777777" w:rsidR="009E50B5" w:rsidRDefault="009E50B5">
            <w:pPr>
              <w:rPr>
                <w:sz w:val="20"/>
                <w:szCs w:val="20"/>
              </w:rPr>
            </w:pPr>
          </w:p>
        </w:tc>
        <w:tc>
          <w:tcPr>
            <w:tcW w:w="1460" w:type="dxa"/>
            <w:tcBorders>
              <w:top w:val="nil"/>
              <w:left w:val="nil"/>
              <w:bottom w:val="nil"/>
              <w:right w:val="nil"/>
            </w:tcBorders>
            <w:shd w:val="clear" w:color="auto" w:fill="auto"/>
            <w:noWrap/>
            <w:vAlign w:val="bottom"/>
            <w:hideMark/>
          </w:tcPr>
          <w:p w14:paraId="5FD82B51" w14:textId="77777777" w:rsidR="009E50B5" w:rsidRDefault="009E50B5">
            <w:pPr>
              <w:rPr>
                <w:sz w:val="20"/>
                <w:szCs w:val="20"/>
              </w:rPr>
            </w:pPr>
          </w:p>
        </w:tc>
        <w:tc>
          <w:tcPr>
            <w:tcW w:w="1460" w:type="dxa"/>
            <w:tcBorders>
              <w:top w:val="nil"/>
              <w:left w:val="nil"/>
              <w:bottom w:val="nil"/>
              <w:right w:val="nil"/>
            </w:tcBorders>
            <w:shd w:val="clear" w:color="auto" w:fill="auto"/>
            <w:noWrap/>
            <w:vAlign w:val="bottom"/>
            <w:hideMark/>
          </w:tcPr>
          <w:p w14:paraId="0302BE23" w14:textId="77777777" w:rsidR="009E50B5" w:rsidRDefault="009E50B5">
            <w:pPr>
              <w:rPr>
                <w:sz w:val="20"/>
                <w:szCs w:val="20"/>
              </w:rPr>
            </w:pPr>
          </w:p>
        </w:tc>
      </w:tr>
      <w:tr w:rsidR="00F26E30" w14:paraId="6CD46415" w14:textId="77777777" w:rsidTr="009E50B5">
        <w:trPr>
          <w:trHeight w:val="240"/>
        </w:trPr>
        <w:tc>
          <w:tcPr>
            <w:tcW w:w="3480" w:type="dxa"/>
            <w:tcBorders>
              <w:top w:val="nil"/>
              <w:left w:val="nil"/>
              <w:bottom w:val="nil"/>
              <w:right w:val="nil"/>
            </w:tcBorders>
            <w:shd w:val="clear" w:color="auto" w:fill="auto"/>
            <w:noWrap/>
            <w:vAlign w:val="bottom"/>
            <w:hideMark/>
          </w:tcPr>
          <w:p w14:paraId="3F4E68D9" w14:textId="77777777" w:rsidR="00F26E30" w:rsidRDefault="00F26E30" w:rsidP="00F26E30">
            <w:pPr>
              <w:rPr>
                <w:rFonts w:ascii="Cambria" w:hAnsi="Cambria" w:cs="Arial"/>
                <w:color w:val="000000"/>
                <w:sz w:val="18"/>
                <w:szCs w:val="18"/>
              </w:rPr>
            </w:pPr>
            <w:r>
              <w:rPr>
                <w:rFonts w:ascii="Cambria" w:hAnsi="Cambria"/>
                <w:color w:val="000000"/>
                <w:sz w:val="18"/>
              </w:rPr>
              <w:t>Prêt de la BCC</w:t>
            </w:r>
          </w:p>
        </w:tc>
        <w:tc>
          <w:tcPr>
            <w:tcW w:w="1460" w:type="dxa"/>
            <w:tcBorders>
              <w:top w:val="nil"/>
              <w:left w:val="nil"/>
              <w:bottom w:val="nil"/>
              <w:right w:val="nil"/>
            </w:tcBorders>
            <w:shd w:val="clear" w:color="auto" w:fill="auto"/>
            <w:noWrap/>
            <w:vAlign w:val="bottom"/>
            <w:hideMark/>
          </w:tcPr>
          <w:p w14:paraId="3E191B95" w14:textId="1C92A572" w:rsidR="00F26E30" w:rsidRDefault="00F26E30" w:rsidP="00F26E30">
            <w:pPr>
              <w:jc w:val="right"/>
              <w:rPr>
                <w:rFonts w:ascii="Cambria" w:hAnsi="Cambria" w:cs="Arial"/>
                <w:color w:val="000000"/>
                <w:sz w:val="18"/>
                <w:szCs w:val="18"/>
              </w:rPr>
            </w:pPr>
            <w:r>
              <w:rPr>
                <w:rFonts w:ascii="Cambria" w:hAnsi="Cambria"/>
                <w:color w:val="000000"/>
                <w:sz w:val="18"/>
              </w:rPr>
              <w:t>123 453</w:t>
            </w:r>
          </w:p>
        </w:tc>
        <w:tc>
          <w:tcPr>
            <w:tcW w:w="1460" w:type="dxa"/>
            <w:tcBorders>
              <w:top w:val="nil"/>
              <w:left w:val="nil"/>
              <w:bottom w:val="nil"/>
              <w:right w:val="nil"/>
            </w:tcBorders>
            <w:shd w:val="clear" w:color="auto" w:fill="auto"/>
            <w:noWrap/>
            <w:vAlign w:val="bottom"/>
            <w:hideMark/>
          </w:tcPr>
          <w:p w14:paraId="6443F94B" w14:textId="2EB670BA" w:rsidR="00F26E30" w:rsidRDefault="00F26E30" w:rsidP="00F26E30">
            <w:pPr>
              <w:jc w:val="right"/>
              <w:rPr>
                <w:rFonts w:ascii="Cambria" w:hAnsi="Cambria" w:cs="Arial"/>
                <w:color w:val="000000"/>
                <w:sz w:val="18"/>
                <w:szCs w:val="18"/>
              </w:rPr>
            </w:pPr>
            <w:r>
              <w:rPr>
                <w:rFonts w:ascii="Cambria" w:hAnsi="Cambria"/>
                <w:color w:val="000000"/>
                <w:sz w:val="18"/>
              </w:rPr>
              <w:t>175 055</w:t>
            </w:r>
          </w:p>
        </w:tc>
        <w:tc>
          <w:tcPr>
            <w:tcW w:w="280" w:type="dxa"/>
            <w:tcBorders>
              <w:top w:val="nil"/>
              <w:left w:val="nil"/>
              <w:bottom w:val="nil"/>
              <w:right w:val="nil"/>
            </w:tcBorders>
            <w:shd w:val="clear" w:color="auto" w:fill="auto"/>
            <w:noWrap/>
            <w:vAlign w:val="bottom"/>
            <w:hideMark/>
          </w:tcPr>
          <w:p w14:paraId="1EBFAE1B" w14:textId="77777777" w:rsidR="00F26E30" w:rsidRDefault="00F26E30" w:rsidP="00F26E30">
            <w:pPr>
              <w:jc w:val="right"/>
              <w:rPr>
                <w:rFonts w:ascii="Cambria" w:hAnsi="Cambria" w:cs="Arial"/>
                <w:color w:val="000000"/>
                <w:sz w:val="18"/>
                <w:szCs w:val="18"/>
              </w:rPr>
            </w:pPr>
          </w:p>
        </w:tc>
        <w:tc>
          <w:tcPr>
            <w:tcW w:w="1460" w:type="dxa"/>
            <w:tcBorders>
              <w:top w:val="nil"/>
              <w:left w:val="nil"/>
              <w:bottom w:val="nil"/>
              <w:right w:val="nil"/>
            </w:tcBorders>
            <w:shd w:val="clear" w:color="auto" w:fill="auto"/>
            <w:noWrap/>
            <w:vAlign w:val="bottom"/>
            <w:hideMark/>
          </w:tcPr>
          <w:p w14:paraId="3A86FEF3" w14:textId="7ACA0894" w:rsidR="00F26E30" w:rsidRDefault="00F26E30" w:rsidP="00F26E30">
            <w:pPr>
              <w:jc w:val="right"/>
              <w:rPr>
                <w:rFonts w:ascii="Cambria" w:hAnsi="Cambria" w:cs="Arial"/>
                <w:color w:val="000000"/>
                <w:sz w:val="18"/>
                <w:szCs w:val="18"/>
              </w:rPr>
            </w:pPr>
            <w:r>
              <w:rPr>
                <w:rFonts w:ascii="Cambria" w:hAnsi="Cambria"/>
                <w:color w:val="000000"/>
                <w:sz w:val="18"/>
              </w:rPr>
              <w:t>123 453</w:t>
            </w:r>
          </w:p>
        </w:tc>
        <w:tc>
          <w:tcPr>
            <w:tcW w:w="1460" w:type="dxa"/>
            <w:tcBorders>
              <w:top w:val="nil"/>
              <w:left w:val="nil"/>
              <w:bottom w:val="nil"/>
              <w:right w:val="nil"/>
            </w:tcBorders>
            <w:shd w:val="clear" w:color="auto" w:fill="auto"/>
            <w:noWrap/>
            <w:vAlign w:val="bottom"/>
            <w:hideMark/>
          </w:tcPr>
          <w:p w14:paraId="67EF9282" w14:textId="39353126" w:rsidR="00F26E30" w:rsidRDefault="00F26E30" w:rsidP="00F26E30">
            <w:pPr>
              <w:jc w:val="right"/>
              <w:rPr>
                <w:rFonts w:ascii="Cambria" w:hAnsi="Cambria" w:cs="Arial"/>
                <w:color w:val="000000"/>
                <w:sz w:val="18"/>
                <w:szCs w:val="18"/>
              </w:rPr>
            </w:pPr>
            <w:r>
              <w:rPr>
                <w:rFonts w:ascii="Cambria" w:hAnsi="Cambria"/>
                <w:color w:val="000000"/>
                <w:sz w:val="18"/>
              </w:rPr>
              <w:t>175 055</w:t>
            </w:r>
          </w:p>
        </w:tc>
      </w:tr>
      <w:tr w:rsidR="00F26E30" w14:paraId="7FB2BDA0" w14:textId="77777777" w:rsidTr="009E50B5">
        <w:trPr>
          <w:trHeight w:val="240"/>
        </w:trPr>
        <w:tc>
          <w:tcPr>
            <w:tcW w:w="3480" w:type="dxa"/>
            <w:tcBorders>
              <w:top w:val="nil"/>
              <w:left w:val="nil"/>
              <w:bottom w:val="nil"/>
              <w:right w:val="nil"/>
            </w:tcBorders>
            <w:shd w:val="clear" w:color="auto" w:fill="auto"/>
            <w:noWrap/>
            <w:vAlign w:val="bottom"/>
            <w:hideMark/>
          </w:tcPr>
          <w:p w14:paraId="2B10782F" w14:textId="77777777" w:rsidR="00F26E30" w:rsidRDefault="00F26E30" w:rsidP="00F26E30">
            <w:pPr>
              <w:rPr>
                <w:rFonts w:ascii="Cambria" w:hAnsi="Cambria" w:cs="Arial"/>
                <w:color w:val="000000"/>
                <w:sz w:val="18"/>
                <w:szCs w:val="18"/>
              </w:rPr>
            </w:pPr>
            <w:r>
              <w:rPr>
                <w:rFonts w:ascii="Cambria" w:hAnsi="Cambria"/>
                <w:color w:val="000000"/>
                <w:sz w:val="18"/>
              </w:rPr>
              <w:t>Prêt de la BPB</w:t>
            </w:r>
          </w:p>
        </w:tc>
        <w:tc>
          <w:tcPr>
            <w:tcW w:w="1460" w:type="dxa"/>
            <w:tcBorders>
              <w:top w:val="nil"/>
              <w:left w:val="nil"/>
              <w:bottom w:val="nil"/>
              <w:right w:val="nil"/>
            </w:tcBorders>
            <w:shd w:val="clear" w:color="auto" w:fill="auto"/>
            <w:noWrap/>
            <w:vAlign w:val="bottom"/>
            <w:hideMark/>
          </w:tcPr>
          <w:p w14:paraId="31DF74F9" w14:textId="6E85DE44" w:rsidR="00F26E30" w:rsidRDefault="00F26E30" w:rsidP="00F26E30">
            <w:pPr>
              <w:jc w:val="right"/>
              <w:rPr>
                <w:rFonts w:ascii="Cambria" w:hAnsi="Cambria" w:cs="Arial"/>
                <w:color w:val="000000"/>
                <w:sz w:val="18"/>
                <w:szCs w:val="18"/>
              </w:rPr>
            </w:pPr>
            <w:r>
              <w:rPr>
                <w:rFonts w:ascii="Cambria" w:hAnsi="Cambria"/>
                <w:color w:val="000000"/>
                <w:sz w:val="18"/>
              </w:rPr>
              <w:t>467 842</w:t>
            </w:r>
          </w:p>
        </w:tc>
        <w:tc>
          <w:tcPr>
            <w:tcW w:w="1460" w:type="dxa"/>
            <w:tcBorders>
              <w:top w:val="nil"/>
              <w:left w:val="nil"/>
              <w:bottom w:val="nil"/>
              <w:right w:val="nil"/>
            </w:tcBorders>
            <w:shd w:val="clear" w:color="auto" w:fill="auto"/>
            <w:noWrap/>
            <w:vAlign w:val="bottom"/>
            <w:hideMark/>
          </w:tcPr>
          <w:p w14:paraId="64973C63" w14:textId="22360E99" w:rsidR="00F26E30" w:rsidRDefault="00F26E30" w:rsidP="00F26E30">
            <w:pPr>
              <w:jc w:val="right"/>
              <w:rPr>
                <w:rFonts w:ascii="Cambria" w:hAnsi="Cambria" w:cs="Arial"/>
                <w:color w:val="000000"/>
                <w:sz w:val="18"/>
                <w:szCs w:val="18"/>
              </w:rPr>
            </w:pPr>
            <w:r>
              <w:rPr>
                <w:rFonts w:ascii="Cambria" w:hAnsi="Cambria"/>
                <w:color w:val="000000"/>
                <w:sz w:val="18"/>
              </w:rPr>
              <w:t>598 902</w:t>
            </w:r>
          </w:p>
        </w:tc>
        <w:tc>
          <w:tcPr>
            <w:tcW w:w="280" w:type="dxa"/>
            <w:tcBorders>
              <w:top w:val="nil"/>
              <w:left w:val="nil"/>
              <w:bottom w:val="nil"/>
              <w:right w:val="nil"/>
            </w:tcBorders>
            <w:shd w:val="clear" w:color="auto" w:fill="auto"/>
            <w:noWrap/>
            <w:vAlign w:val="bottom"/>
            <w:hideMark/>
          </w:tcPr>
          <w:p w14:paraId="18F48A31" w14:textId="77777777" w:rsidR="00F26E30" w:rsidRDefault="00F26E30" w:rsidP="00F26E30">
            <w:pPr>
              <w:jc w:val="right"/>
              <w:rPr>
                <w:rFonts w:ascii="Cambria" w:hAnsi="Cambria" w:cs="Arial"/>
                <w:color w:val="000000"/>
                <w:sz w:val="18"/>
                <w:szCs w:val="18"/>
              </w:rPr>
            </w:pPr>
          </w:p>
        </w:tc>
        <w:tc>
          <w:tcPr>
            <w:tcW w:w="1460" w:type="dxa"/>
            <w:tcBorders>
              <w:top w:val="nil"/>
              <w:left w:val="nil"/>
              <w:bottom w:val="nil"/>
              <w:right w:val="nil"/>
            </w:tcBorders>
            <w:shd w:val="clear" w:color="auto" w:fill="auto"/>
            <w:noWrap/>
            <w:vAlign w:val="bottom"/>
            <w:hideMark/>
          </w:tcPr>
          <w:p w14:paraId="786646AD" w14:textId="6E04BFAD" w:rsidR="00F26E30" w:rsidRDefault="00F26E30" w:rsidP="00F26E30">
            <w:pPr>
              <w:jc w:val="right"/>
              <w:rPr>
                <w:rFonts w:ascii="Cambria" w:hAnsi="Cambria" w:cs="Arial"/>
                <w:color w:val="000000"/>
                <w:sz w:val="18"/>
                <w:szCs w:val="18"/>
              </w:rPr>
            </w:pPr>
            <w:r>
              <w:rPr>
                <w:rFonts w:ascii="Cambria" w:hAnsi="Cambria"/>
                <w:color w:val="000000"/>
                <w:sz w:val="18"/>
              </w:rPr>
              <w:t>467 842</w:t>
            </w:r>
          </w:p>
        </w:tc>
        <w:tc>
          <w:tcPr>
            <w:tcW w:w="1460" w:type="dxa"/>
            <w:tcBorders>
              <w:top w:val="nil"/>
              <w:left w:val="nil"/>
              <w:bottom w:val="nil"/>
              <w:right w:val="nil"/>
            </w:tcBorders>
            <w:shd w:val="clear" w:color="auto" w:fill="auto"/>
            <w:noWrap/>
            <w:vAlign w:val="bottom"/>
            <w:hideMark/>
          </w:tcPr>
          <w:p w14:paraId="06B242A1" w14:textId="1F15E2D3" w:rsidR="00F26E30" w:rsidRDefault="00F26E30" w:rsidP="00F26E30">
            <w:pPr>
              <w:jc w:val="right"/>
              <w:rPr>
                <w:rFonts w:ascii="Cambria" w:hAnsi="Cambria" w:cs="Arial"/>
                <w:color w:val="000000"/>
                <w:sz w:val="18"/>
                <w:szCs w:val="18"/>
              </w:rPr>
            </w:pPr>
            <w:r>
              <w:rPr>
                <w:rFonts w:ascii="Cambria" w:hAnsi="Cambria"/>
                <w:color w:val="000000"/>
                <w:sz w:val="18"/>
              </w:rPr>
              <w:t>598 902</w:t>
            </w:r>
          </w:p>
        </w:tc>
      </w:tr>
      <w:tr w:rsidR="00F26E30" w14:paraId="20510A82" w14:textId="77777777" w:rsidTr="009E50B5">
        <w:trPr>
          <w:trHeight w:val="240"/>
        </w:trPr>
        <w:tc>
          <w:tcPr>
            <w:tcW w:w="3480" w:type="dxa"/>
            <w:tcBorders>
              <w:top w:val="nil"/>
              <w:left w:val="nil"/>
              <w:bottom w:val="nil"/>
              <w:right w:val="nil"/>
            </w:tcBorders>
            <w:shd w:val="clear" w:color="auto" w:fill="auto"/>
            <w:noWrap/>
            <w:vAlign w:val="bottom"/>
            <w:hideMark/>
          </w:tcPr>
          <w:p w14:paraId="0721AA99" w14:textId="77777777" w:rsidR="00F26E30" w:rsidRDefault="00F26E30" w:rsidP="00F26E30">
            <w:pPr>
              <w:rPr>
                <w:rFonts w:ascii="Cambria" w:hAnsi="Cambria" w:cs="Arial"/>
                <w:color w:val="000000"/>
                <w:sz w:val="18"/>
                <w:szCs w:val="18"/>
              </w:rPr>
            </w:pPr>
            <w:r>
              <w:rPr>
                <w:rFonts w:ascii="Cambria" w:hAnsi="Cambria"/>
                <w:color w:val="000000"/>
                <w:sz w:val="18"/>
              </w:rPr>
              <w:t xml:space="preserve">Prêt de la </w:t>
            </w:r>
            <w:proofErr w:type="spellStart"/>
            <w:r>
              <w:rPr>
                <w:rFonts w:ascii="Cambria" w:hAnsi="Cambria"/>
                <w:color w:val="000000"/>
                <w:sz w:val="18"/>
              </w:rPr>
              <w:t>Sanpaolo</w:t>
            </w:r>
            <w:proofErr w:type="spellEnd"/>
          </w:p>
        </w:tc>
        <w:tc>
          <w:tcPr>
            <w:tcW w:w="1460" w:type="dxa"/>
            <w:tcBorders>
              <w:top w:val="nil"/>
              <w:left w:val="nil"/>
              <w:bottom w:val="nil"/>
              <w:right w:val="nil"/>
            </w:tcBorders>
            <w:shd w:val="clear" w:color="auto" w:fill="auto"/>
            <w:noWrap/>
            <w:vAlign w:val="bottom"/>
            <w:hideMark/>
          </w:tcPr>
          <w:p w14:paraId="319A72A5" w14:textId="7B764089" w:rsidR="00F26E30" w:rsidRDefault="00F26E30" w:rsidP="00F26E30">
            <w:pPr>
              <w:jc w:val="right"/>
              <w:rPr>
                <w:rFonts w:ascii="Cambria" w:hAnsi="Cambria" w:cs="Arial"/>
                <w:color w:val="000000"/>
                <w:sz w:val="18"/>
                <w:szCs w:val="18"/>
              </w:rPr>
            </w:pPr>
            <w:r>
              <w:rPr>
                <w:rFonts w:ascii="Cambria" w:hAnsi="Cambria"/>
                <w:color w:val="000000"/>
                <w:sz w:val="18"/>
              </w:rPr>
              <w:t>0</w:t>
            </w:r>
          </w:p>
        </w:tc>
        <w:tc>
          <w:tcPr>
            <w:tcW w:w="1460" w:type="dxa"/>
            <w:tcBorders>
              <w:top w:val="nil"/>
              <w:left w:val="nil"/>
              <w:bottom w:val="nil"/>
              <w:right w:val="nil"/>
            </w:tcBorders>
            <w:shd w:val="clear" w:color="auto" w:fill="auto"/>
            <w:noWrap/>
            <w:vAlign w:val="bottom"/>
            <w:hideMark/>
          </w:tcPr>
          <w:p w14:paraId="0D2CED3A" w14:textId="6C491B5F" w:rsidR="00F26E30" w:rsidRDefault="00F26E30" w:rsidP="00F26E30">
            <w:pPr>
              <w:jc w:val="right"/>
              <w:rPr>
                <w:rFonts w:ascii="Cambria" w:hAnsi="Cambria" w:cs="Arial"/>
                <w:color w:val="000000"/>
                <w:sz w:val="18"/>
                <w:szCs w:val="18"/>
              </w:rPr>
            </w:pPr>
            <w:r>
              <w:rPr>
                <w:rFonts w:ascii="Cambria" w:hAnsi="Cambria"/>
                <w:color w:val="000000"/>
                <w:sz w:val="18"/>
              </w:rPr>
              <w:t>125 371</w:t>
            </w:r>
          </w:p>
        </w:tc>
        <w:tc>
          <w:tcPr>
            <w:tcW w:w="280" w:type="dxa"/>
            <w:tcBorders>
              <w:top w:val="nil"/>
              <w:left w:val="nil"/>
              <w:bottom w:val="nil"/>
              <w:right w:val="nil"/>
            </w:tcBorders>
            <w:shd w:val="clear" w:color="auto" w:fill="auto"/>
            <w:noWrap/>
            <w:vAlign w:val="bottom"/>
            <w:hideMark/>
          </w:tcPr>
          <w:p w14:paraId="0F956FEA" w14:textId="77777777" w:rsidR="00F26E30" w:rsidRDefault="00F26E30" w:rsidP="00F26E30">
            <w:pPr>
              <w:jc w:val="right"/>
              <w:rPr>
                <w:rFonts w:ascii="Cambria" w:hAnsi="Cambria" w:cs="Arial"/>
                <w:color w:val="000000"/>
                <w:sz w:val="18"/>
                <w:szCs w:val="18"/>
              </w:rPr>
            </w:pPr>
          </w:p>
        </w:tc>
        <w:tc>
          <w:tcPr>
            <w:tcW w:w="1460" w:type="dxa"/>
            <w:tcBorders>
              <w:top w:val="nil"/>
              <w:left w:val="nil"/>
              <w:bottom w:val="nil"/>
              <w:right w:val="nil"/>
            </w:tcBorders>
            <w:shd w:val="clear" w:color="auto" w:fill="auto"/>
            <w:noWrap/>
            <w:vAlign w:val="bottom"/>
            <w:hideMark/>
          </w:tcPr>
          <w:p w14:paraId="72F30D11" w14:textId="3F8D7B10" w:rsidR="00F26E30" w:rsidRDefault="00F26E30" w:rsidP="00F26E30">
            <w:pPr>
              <w:jc w:val="right"/>
              <w:rPr>
                <w:rFonts w:ascii="Cambria" w:hAnsi="Cambria" w:cs="Arial"/>
                <w:color w:val="000000"/>
                <w:sz w:val="18"/>
                <w:szCs w:val="18"/>
              </w:rPr>
            </w:pPr>
            <w:r>
              <w:rPr>
                <w:rFonts w:ascii="Cambria" w:hAnsi="Cambria"/>
                <w:color w:val="000000"/>
                <w:sz w:val="18"/>
              </w:rPr>
              <w:t>0</w:t>
            </w:r>
          </w:p>
        </w:tc>
        <w:tc>
          <w:tcPr>
            <w:tcW w:w="1460" w:type="dxa"/>
            <w:tcBorders>
              <w:top w:val="nil"/>
              <w:left w:val="nil"/>
              <w:bottom w:val="nil"/>
              <w:right w:val="nil"/>
            </w:tcBorders>
            <w:shd w:val="clear" w:color="auto" w:fill="auto"/>
            <w:noWrap/>
            <w:vAlign w:val="bottom"/>
            <w:hideMark/>
          </w:tcPr>
          <w:p w14:paraId="714933B1" w14:textId="4F8FC9A0" w:rsidR="00F26E30" w:rsidRDefault="00F26E30" w:rsidP="00F26E30">
            <w:pPr>
              <w:jc w:val="right"/>
              <w:rPr>
                <w:rFonts w:ascii="Cambria" w:hAnsi="Cambria" w:cs="Arial"/>
                <w:color w:val="000000"/>
                <w:sz w:val="18"/>
                <w:szCs w:val="18"/>
              </w:rPr>
            </w:pPr>
            <w:r>
              <w:rPr>
                <w:rFonts w:ascii="Cambria" w:hAnsi="Cambria"/>
                <w:color w:val="000000"/>
                <w:sz w:val="18"/>
              </w:rPr>
              <w:t>125 371</w:t>
            </w:r>
          </w:p>
        </w:tc>
      </w:tr>
      <w:tr w:rsidR="00F26E30" w14:paraId="2DE2D35F" w14:textId="77777777" w:rsidTr="009E50B5">
        <w:trPr>
          <w:trHeight w:val="240"/>
        </w:trPr>
        <w:tc>
          <w:tcPr>
            <w:tcW w:w="3480" w:type="dxa"/>
            <w:tcBorders>
              <w:top w:val="nil"/>
              <w:left w:val="nil"/>
              <w:bottom w:val="nil"/>
              <w:right w:val="nil"/>
            </w:tcBorders>
            <w:shd w:val="clear" w:color="auto" w:fill="auto"/>
            <w:noWrap/>
            <w:vAlign w:val="bottom"/>
            <w:hideMark/>
          </w:tcPr>
          <w:p w14:paraId="600CE4C8" w14:textId="77777777" w:rsidR="00F26E30" w:rsidRDefault="00F26E30" w:rsidP="00F26E30">
            <w:pPr>
              <w:rPr>
                <w:rFonts w:ascii="Cambria" w:hAnsi="Cambria" w:cs="Arial"/>
                <w:color w:val="000000"/>
                <w:sz w:val="18"/>
                <w:szCs w:val="18"/>
              </w:rPr>
            </w:pPr>
            <w:r>
              <w:rPr>
                <w:rFonts w:ascii="Cambria" w:hAnsi="Cambria"/>
                <w:color w:val="000000"/>
                <w:sz w:val="18"/>
              </w:rPr>
              <w:t xml:space="preserve">Prêt de la BCC 2 </w:t>
            </w:r>
          </w:p>
        </w:tc>
        <w:tc>
          <w:tcPr>
            <w:tcW w:w="1460" w:type="dxa"/>
            <w:tcBorders>
              <w:top w:val="nil"/>
              <w:left w:val="nil"/>
              <w:bottom w:val="nil"/>
              <w:right w:val="nil"/>
            </w:tcBorders>
            <w:shd w:val="clear" w:color="auto" w:fill="auto"/>
            <w:noWrap/>
            <w:vAlign w:val="bottom"/>
            <w:hideMark/>
          </w:tcPr>
          <w:p w14:paraId="69B1B867" w14:textId="22A37039" w:rsidR="00F26E30" w:rsidRDefault="00F26E30" w:rsidP="00F26E30">
            <w:pPr>
              <w:jc w:val="right"/>
              <w:rPr>
                <w:rFonts w:ascii="Cambria" w:hAnsi="Cambria" w:cs="Arial"/>
                <w:color w:val="000000"/>
                <w:sz w:val="18"/>
                <w:szCs w:val="18"/>
              </w:rPr>
            </w:pPr>
            <w:r>
              <w:rPr>
                <w:rFonts w:ascii="Cambria" w:hAnsi="Cambria"/>
                <w:color w:val="000000"/>
                <w:sz w:val="18"/>
              </w:rPr>
              <w:t>653 687</w:t>
            </w:r>
          </w:p>
        </w:tc>
        <w:tc>
          <w:tcPr>
            <w:tcW w:w="1460" w:type="dxa"/>
            <w:tcBorders>
              <w:top w:val="nil"/>
              <w:left w:val="nil"/>
              <w:bottom w:val="nil"/>
              <w:right w:val="nil"/>
            </w:tcBorders>
            <w:shd w:val="clear" w:color="auto" w:fill="auto"/>
            <w:noWrap/>
            <w:vAlign w:val="bottom"/>
            <w:hideMark/>
          </w:tcPr>
          <w:p w14:paraId="61FC28E6" w14:textId="087A8ACA" w:rsidR="00F26E30" w:rsidRDefault="00F26E30" w:rsidP="00F26E30">
            <w:pPr>
              <w:jc w:val="right"/>
              <w:rPr>
                <w:rFonts w:ascii="Cambria" w:hAnsi="Cambria" w:cs="Arial"/>
                <w:color w:val="000000"/>
                <w:sz w:val="18"/>
                <w:szCs w:val="18"/>
              </w:rPr>
            </w:pPr>
            <w:r>
              <w:rPr>
                <w:rFonts w:ascii="Cambria" w:hAnsi="Cambria"/>
                <w:color w:val="000000"/>
                <w:sz w:val="18"/>
              </w:rPr>
              <w:t>716 915</w:t>
            </w:r>
          </w:p>
        </w:tc>
        <w:tc>
          <w:tcPr>
            <w:tcW w:w="280" w:type="dxa"/>
            <w:tcBorders>
              <w:top w:val="nil"/>
              <w:left w:val="nil"/>
              <w:bottom w:val="nil"/>
              <w:right w:val="nil"/>
            </w:tcBorders>
            <w:shd w:val="clear" w:color="auto" w:fill="auto"/>
            <w:noWrap/>
            <w:vAlign w:val="bottom"/>
            <w:hideMark/>
          </w:tcPr>
          <w:p w14:paraId="21B9E576" w14:textId="77777777" w:rsidR="00F26E30" w:rsidRDefault="00F26E30" w:rsidP="00F26E30">
            <w:pPr>
              <w:jc w:val="right"/>
              <w:rPr>
                <w:rFonts w:ascii="Cambria" w:hAnsi="Cambria" w:cs="Arial"/>
                <w:color w:val="000000"/>
                <w:sz w:val="18"/>
                <w:szCs w:val="18"/>
              </w:rPr>
            </w:pPr>
          </w:p>
        </w:tc>
        <w:tc>
          <w:tcPr>
            <w:tcW w:w="1460" w:type="dxa"/>
            <w:tcBorders>
              <w:top w:val="nil"/>
              <w:left w:val="nil"/>
              <w:bottom w:val="nil"/>
              <w:right w:val="nil"/>
            </w:tcBorders>
            <w:shd w:val="clear" w:color="auto" w:fill="auto"/>
            <w:noWrap/>
            <w:vAlign w:val="bottom"/>
            <w:hideMark/>
          </w:tcPr>
          <w:p w14:paraId="73A4948A" w14:textId="08F14215" w:rsidR="00F26E30" w:rsidRDefault="00F26E30" w:rsidP="00F26E30">
            <w:pPr>
              <w:jc w:val="right"/>
              <w:rPr>
                <w:rFonts w:ascii="Cambria" w:hAnsi="Cambria" w:cs="Arial"/>
                <w:color w:val="000000"/>
                <w:sz w:val="18"/>
                <w:szCs w:val="18"/>
              </w:rPr>
            </w:pPr>
            <w:r>
              <w:rPr>
                <w:rFonts w:ascii="Cambria" w:hAnsi="Cambria"/>
                <w:color w:val="000000"/>
                <w:sz w:val="18"/>
              </w:rPr>
              <w:t>653 687</w:t>
            </w:r>
          </w:p>
        </w:tc>
        <w:tc>
          <w:tcPr>
            <w:tcW w:w="1460" w:type="dxa"/>
            <w:tcBorders>
              <w:top w:val="nil"/>
              <w:left w:val="nil"/>
              <w:bottom w:val="nil"/>
              <w:right w:val="nil"/>
            </w:tcBorders>
            <w:shd w:val="clear" w:color="auto" w:fill="auto"/>
            <w:noWrap/>
            <w:vAlign w:val="bottom"/>
            <w:hideMark/>
          </w:tcPr>
          <w:p w14:paraId="0BE36693" w14:textId="2B32645A" w:rsidR="00F26E30" w:rsidRDefault="00F26E30" w:rsidP="00F26E30">
            <w:pPr>
              <w:jc w:val="right"/>
              <w:rPr>
                <w:rFonts w:ascii="Cambria" w:hAnsi="Cambria" w:cs="Arial"/>
                <w:color w:val="000000"/>
                <w:sz w:val="18"/>
                <w:szCs w:val="18"/>
              </w:rPr>
            </w:pPr>
            <w:r>
              <w:rPr>
                <w:rFonts w:ascii="Cambria" w:hAnsi="Cambria"/>
                <w:color w:val="000000"/>
                <w:sz w:val="18"/>
              </w:rPr>
              <w:t>716 915</w:t>
            </w:r>
          </w:p>
        </w:tc>
      </w:tr>
      <w:tr w:rsidR="00F26E30" w14:paraId="263B7F78" w14:textId="77777777" w:rsidTr="009E50B5">
        <w:trPr>
          <w:trHeight w:val="240"/>
        </w:trPr>
        <w:tc>
          <w:tcPr>
            <w:tcW w:w="3480" w:type="dxa"/>
            <w:tcBorders>
              <w:top w:val="nil"/>
              <w:left w:val="nil"/>
              <w:bottom w:val="nil"/>
              <w:right w:val="nil"/>
            </w:tcBorders>
            <w:shd w:val="clear" w:color="auto" w:fill="auto"/>
            <w:noWrap/>
            <w:vAlign w:val="bottom"/>
            <w:hideMark/>
          </w:tcPr>
          <w:p w14:paraId="71D39F4D" w14:textId="77777777" w:rsidR="00F26E30" w:rsidRDefault="00F26E30" w:rsidP="00F26E30">
            <w:pPr>
              <w:rPr>
                <w:rFonts w:ascii="Cambria" w:hAnsi="Cambria" w:cs="Arial"/>
                <w:color w:val="000000"/>
                <w:sz w:val="18"/>
                <w:szCs w:val="18"/>
              </w:rPr>
            </w:pPr>
            <w:r>
              <w:rPr>
                <w:rFonts w:ascii="Cambria" w:hAnsi="Cambria"/>
                <w:color w:val="000000"/>
                <w:sz w:val="18"/>
              </w:rPr>
              <w:t xml:space="preserve">Prêt de la </w:t>
            </w:r>
            <w:proofErr w:type="spellStart"/>
            <w:r>
              <w:rPr>
                <w:rFonts w:ascii="Cambria" w:hAnsi="Cambria"/>
                <w:color w:val="000000"/>
                <w:sz w:val="18"/>
              </w:rPr>
              <w:t>Sanpaolo</w:t>
            </w:r>
            <w:proofErr w:type="spellEnd"/>
            <w:r>
              <w:rPr>
                <w:rFonts w:ascii="Cambria" w:hAnsi="Cambria"/>
                <w:color w:val="000000"/>
                <w:sz w:val="18"/>
              </w:rPr>
              <w:t xml:space="preserve"> 2 </w:t>
            </w:r>
          </w:p>
        </w:tc>
        <w:tc>
          <w:tcPr>
            <w:tcW w:w="1460" w:type="dxa"/>
            <w:tcBorders>
              <w:top w:val="nil"/>
              <w:left w:val="nil"/>
              <w:bottom w:val="nil"/>
              <w:right w:val="nil"/>
            </w:tcBorders>
            <w:shd w:val="clear" w:color="auto" w:fill="auto"/>
            <w:noWrap/>
            <w:vAlign w:val="bottom"/>
            <w:hideMark/>
          </w:tcPr>
          <w:p w14:paraId="5E934B3A" w14:textId="6F87490B" w:rsidR="00F26E30" w:rsidRDefault="00F26E30" w:rsidP="00F26E30">
            <w:pPr>
              <w:jc w:val="right"/>
              <w:rPr>
                <w:rFonts w:ascii="Cambria" w:hAnsi="Cambria" w:cs="Arial"/>
                <w:color w:val="000000"/>
                <w:sz w:val="18"/>
                <w:szCs w:val="18"/>
              </w:rPr>
            </w:pPr>
            <w:r>
              <w:rPr>
                <w:rFonts w:ascii="Cambria" w:hAnsi="Cambria"/>
                <w:color w:val="000000"/>
                <w:sz w:val="18"/>
              </w:rPr>
              <w:t>958 666</w:t>
            </w:r>
          </w:p>
        </w:tc>
        <w:tc>
          <w:tcPr>
            <w:tcW w:w="1460" w:type="dxa"/>
            <w:tcBorders>
              <w:top w:val="nil"/>
              <w:left w:val="nil"/>
              <w:bottom w:val="nil"/>
              <w:right w:val="nil"/>
            </w:tcBorders>
            <w:shd w:val="clear" w:color="auto" w:fill="auto"/>
            <w:noWrap/>
            <w:vAlign w:val="bottom"/>
            <w:hideMark/>
          </w:tcPr>
          <w:p w14:paraId="53B9CC75" w14:textId="00540CE3" w:rsidR="00F26E30" w:rsidRDefault="00F26E30" w:rsidP="00F26E30">
            <w:pPr>
              <w:jc w:val="right"/>
              <w:rPr>
                <w:rFonts w:ascii="Cambria" w:hAnsi="Cambria" w:cs="Arial"/>
                <w:color w:val="000000"/>
                <w:sz w:val="18"/>
                <w:szCs w:val="18"/>
              </w:rPr>
            </w:pPr>
            <w:r>
              <w:rPr>
                <w:rFonts w:ascii="Cambria" w:hAnsi="Cambria"/>
                <w:color w:val="000000"/>
                <w:sz w:val="18"/>
              </w:rPr>
              <w:t>1 000 000</w:t>
            </w:r>
          </w:p>
        </w:tc>
        <w:tc>
          <w:tcPr>
            <w:tcW w:w="280" w:type="dxa"/>
            <w:tcBorders>
              <w:top w:val="nil"/>
              <w:left w:val="nil"/>
              <w:bottom w:val="nil"/>
              <w:right w:val="nil"/>
            </w:tcBorders>
            <w:shd w:val="clear" w:color="auto" w:fill="auto"/>
            <w:noWrap/>
            <w:vAlign w:val="bottom"/>
            <w:hideMark/>
          </w:tcPr>
          <w:p w14:paraId="19E57CEC" w14:textId="77777777" w:rsidR="00F26E30" w:rsidRDefault="00F26E30" w:rsidP="00F26E30">
            <w:pPr>
              <w:jc w:val="right"/>
              <w:rPr>
                <w:rFonts w:ascii="Cambria" w:hAnsi="Cambria" w:cs="Arial"/>
                <w:color w:val="000000"/>
                <w:sz w:val="18"/>
                <w:szCs w:val="18"/>
              </w:rPr>
            </w:pPr>
          </w:p>
        </w:tc>
        <w:tc>
          <w:tcPr>
            <w:tcW w:w="1460" w:type="dxa"/>
            <w:tcBorders>
              <w:top w:val="nil"/>
              <w:left w:val="nil"/>
              <w:bottom w:val="nil"/>
              <w:right w:val="nil"/>
            </w:tcBorders>
            <w:shd w:val="clear" w:color="auto" w:fill="auto"/>
            <w:noWrap/>
            <w:vAlign w:val="bottom"/>
            <w:hideMark/>
          </w:tcPr>
          <w:p w14:paraId="13F62A1A" w14:textId="162BC355" w:rsidR="00F26E30" w:rsidRDefault="00F26E30" w:rsidP="00F26E30">
            <w:pPr>
              <w:jc w:val="right"/>
              <w:rPr>
                <w:rFonts w:ascii="Cambria" w:hAnsi="Cambria" w:cs="Arial"/>
                <w:color w:val="000000"/>
                <w:sz w:val="18"/>
                <w:szCs w:val="18"/>
              </w:rPr>
            </w:pPr>
            <w:r>
              <w:rPr>
                <w:rFonts w:ascii="Cambria" w:hAnsi="Cambria"/>
                <w:color w:val="000000"/>
                <w:sz w:val="18"/>
              </w:rPr>
              <w:t>958 666</w:t>
            </w:r>
          </w:p>
        </w:tc>
        <w:tc>
          <w:tcPr>
            <w:tcW w:w="1460" w:type="dxa"/>
            <w:tcBorders>
              <w:top w:val="nil"/>
              <w:left w:val="nil"/>
              <w:bottom w:val="nil"/>
              <w:right w:val="nil"/>
            </w:tcBorders>
            <w:shd w:val="clear" w:color="auto" w:fill="auto"/>
            <w:noWrap/>
            <w:vAlign w:val="bottom"/>
            <w:hideMark/>
          </w:tcPr>
          <w:p w14:paraId="65B9DC0B" w14:textId="71677BE8" w:rsidR="00F26E30" w:rsidRDefault="00F26E30" w:rsidP="00F26E30">
            <w:pPr>
              <w:jc w:val="right"/>
              <w:rPr>
                <w:rFonts w:ascii="Cambria" w:hAnsi="Cambria" w:cs="Arial"/>
                <w:color w:val="000000"/>
                <w:sz w:val="18"/>
                <w:szCs w:val="18"/>
              </w:rPr>
            </w:pPr>
            <w:r>
              <w:rPr>
                <w:rFonts w:ascii="Cambria" w:hAnsi="Cambria"/>
                <w:color w:val="000000"/>
                <w:sz w:val="18"/>
              </w:rPr>
              <w:t>1 000 000</w:t>
            </w:r>
          </w:p>
        </w:tc>
      </w:tr>
      <w:tr w:rsidR="00F26E30" w14:paraId="562209D0" w14:textId="77777777" w:rsidTr="009E50B5">
        <w:trPr>
          <w:trHeight w:val="240"/>
        </w:trPr>
        <w:tc>
          <w:tcPr>
            <w:tcW w:w="3480" w:type="dxa"/>
            <w:tcBorders>
              <w:top w:val="nil"/>
              <w:left w:val="nil"/>
              <w:bottom w:val="nil"/>
              <w:right w:val="nil"/>
            </w:tcBorders>
            <w:shd w:val="clear" w:color="auto" w:fill="auto"/>
            <w:noWrap/>
            <w:vAlign w:val="bottom"/>
            <w:hideMark/>
          </w:tcPr>
          <w:p w14:paraId="5395E088" w14:textId="77777777" w:rsidR="00F26E30" w:rsidRDefault="00F26E30" w:rsidP="00F26E30">
            <w:pPr>
              <w:rPr>
                <w:rFonts w:ascii="Cambria" w:hAnsi="Cambria" w:cs="Arial"/>
                <w:color w:val="000000"/>
                <w:sz w:val="18"/>
                <w:szCs w:val="18"/>
              </w:rPr>
            </w:pPr>
            <w:r>
              <w:rPr>
                <w:rFonts w:ascii="Cambria" w:hAnsi="Cambria"/>
                <w:color w:val="000000"/>
                <w:sz w:val="18"/>
              </w:rPr>
              <w:t>Prêt de la BPM</w:t>
            </w:r>
          </w:p>
        </w:tc>
        <w:tc>
          <w:tcPr>
            <w:tcW w:w="1460" w:type="dxa"/>
            <w:tcBorders>
              <w:top w:val="nil"/>
              <w:left w:val="nil"/>
              <w:bottom w:val="nil"/>
              <w:right w:val="nil"/>
            </w:tcBorders>
            <w:shd w:val="clear" w:color="auto" w:fill="auto"/>
            <w:noWrap/>
            <w:vAlign w:val="bottom"/>
            <w:hideMark/>
          </w:tcPr>
          <w:p w14:paraId="37D39540" w14:textId="2F409E4D" w:rsidR="00F26E30" w:rsidRDefault="00F26E30" w:rsidP="00F26E30">
            <w:pPr>
              <w:jc w:val="right"/>
              <w:rPr>
                <w:rFonts w:ascii="Cambria" w:hAnsi="Cambria" w:cs="Arial"/>
                <w:color w:val="000000"/>
                <w:sz w:val="18"/>
                <w:szCs w:val="18"/>
              </w:rPr>
            </w:pPr>
            <w:r>
              <w:rPr>
                <w:rFonts w:ascii="Cambria" w:hAnsi="Cambria"/>
                <w:color w:val="000000"/>
                <w:sz w:val="18"/>
              </w:rPr>
              <w:t>850 000</w:t>
            </w:r>
          </w:p>
        </w:tc>
        <w:tc>
          <w:tcPr>
            <w:tcW w:w="1460" w:type="dxa"/>
            <w:tcBorders>
              <w:top w:val="nil"/>
              <w:left w:val="nil"/>
              <w:bottom w:val="nil"/>
              <w:right w:val="nil"/>
            </w:tcBorders>
            <w:shd w:val="clear" w:color="auto" w:fill="auto"/>
            <w:noWrap/>
            <w:vAlign w:val="bottom"/>
            <w:hideMark/>
          </w:tcPr>
          <w:p w14:paraId="4B119BE7" w14:textId="3F2DC3FD" w:rsidR="00F26E30" w:rsidRDefault="00F26E30" w:rsidP="00F26E30">
            <w:pPr>
              <w:jc w:val="right"/>
              <w:rPr>
                <w:rFonts w:ascii="Cambria" w:hAnsi="Cambria" w:cs="Arial"/>
                <w:color w:val="000000"/>
                <w:sz w:val="18"/>
                <w:szCs w:val="18"/>
              </w:rPr>
            </w:pPr>
            <w:r>
              <w:rPr>
                <w:rFonts w:ascii="Cambria" w:hAnsi="Cambria"/>
                <w:color w:val="000000"/>
                <w:sz w:val="18"/>
              </w:rPr>
              <w:t>850 000</w:t>
            </w:r>
          </w:p>
        </w:tc>
        <w:tc>
          <w:tcPr>
            <w:tcW w:w="280" w:type="dxa"/>
            <w:tcBorders>
              <w:top w:val="nil"/>
              <w:left w:val="nil"/>
              <w:bottom w:val="nil"/>
              <w:right w:val="nil"/>
            </w:tcBorders>
            <w:shd w:val="clear" w:color="auto" w:fill="auto"/>
            <w:noWrap/>
            <w:vAlign w:val="bottom"/>
            <w:hideMark/>
          </w:tcPr>
          <w:p w14:paraId="7D96DD15" w14:textId="77777777" w:rsidR="00F26E30" w:rsidRDefault="00F26E30" w:rsidP="00F26E30">
            <w:pPr>
              <w:jc w:val="right"/>
              <w:rPr>
                <w:rFonts w:ascii="Cambria" w:hAnsi="Cambria" w:cs="Arial"/>
                <w:color w:val="000000"/>
                <w:sz w:val="18"/>
                <w:szCs w:val="18"/>
              </w:rPr>
            </w:pPr>
          </w:p>
        </w:tc>
        <w:tc>
          <w:tcPr>
            <w:tcW w:w="1460" w:type="dxa"/>
            <w:tcBorders>
              <w:top w:val="nil"/>
              <w:left w:val="nil"/>
              <w:bottom w:val="nil"/>
              <w:right w:val="nil"/>
            </w:tcBorders>
            <w:shd w:val="clear" w:color="auto" w:fill="auto"/>
            <w:noWrap/>
            <w:vAlign w:val="bottom"/>
            <w:hideMark/>
          </w:tcPr>
          <w:p w14:paraId="1FAC6B9D" w14:textId="433680B2" w:rsidR="00F26E30" w:rsidRDefault="00F26E30" w:rsidP="00F26E30">
            <w:pPr>
              <w:jc w:val="right"/>
              <w:rPr>
                <w:rFonts w:ascii="Cambria" w:hAnsi="Cambria" w:cs="Arial"/>
                <w:color w:val="000000"/>
                <w:sz w:val="18"/>
                <w:szCs w:val="18"/>
              </w:rPr>
            </w:pPr>
            <w:r>
              <w:rPr>
                <w:rFonts w:ascii="Cambria" w:hAnsi="Cambria"/>
                <w:color w:val="000000"/>
                <w:sz w:val="18"/>
              </w:rPr>
              <w:t>850 000</w:t>
            </w:r>
          </w:p>
        </w:tc>
        <w:tc>
          <w:tcPr>
            <w:tcW w:w="1460" w:type="dxa"/>
            <w:tcBorders>
              <w:top w:val="nil"/>
              <w:left w:val="nil"/>
              <w:bottom w:val="nil"/>
              <w:right w:val="nil"/>
            </w:tcBorders>
            <w:shd w:val="clear" w:color="auto" w:fill="auto"/>
            <w:noWrap/>
            <w:vAlign w:val="bottom"/>
            <w:hideMark/>
          </w:tcPr>
          <w:p w14:paraId="34A9189D" w14:textId="562F111D" w:rsidR="00F26E30" w:rsidRDefault="00F26E30" w:rsidP="00F26E30">
            <w:pPr>
              <w:jc w:val="right"/>
              <w:rPr>
                <w:rFonts w:ascii="Cambria" w:hAnsi="Cambria" w:cs="Arial"/>
                <w:color w:val="000000"/>
                <w:sz w:val="18"/>
                <w:szCs w:val="18"/>
              </w:rPr>
            </w:pPr>
            <w:r>
              <w:rPr>
                <w:rFonts w:ascii="Cambria" w:hAnsi="Cambria"/>
                <w:color w:val="000000"/>
                <w:sz w:val="18"/>
              </w:rPr>
              <w:t>850 000</w:t>
            </w:r>
          </w:p>
        </w:tc>
      </w:tr>
      <w:tr w:rsidR="00F26E30" w14:paraId="5466F971" w14:textId="77777777" w:rsidTr="009E50B5">
        <w:trPr>
          <w:trHeight w:val="240"/>
        </w:trPr>
        <w:tc>
          <w:tcPr>
            <w:tcW w:w="3480" w:type="dxa"/>
            <w:tcBorders>
              <w:top w:val="nil"/>
              <w:left w:val="nil"/>
              <w:bottom w:val="nil"/>
              <w:right w:val="nil"/>
            </w:tcBorders>
            <w:shd w:val="clear" w:color="auto" w:fill="auto"/>
            <w:noWrap/>
            <w:vAlign w:val="bottom"/>
            <w:hideMark/>
          </w:tcPr>
          <w:p w14:paraId="72DF550A" w14:textId="77777777" w:rsidR="00F26E30" w:rsidRDefault="00F26E30" w:rsidP="00F26E30">
            <w:pPr>
              <w:rPr>
                <w:rFonts w:ascii="Cambria" w:hAnsi="Cambria" w:cs="Arial"/>
                <w:color w:val="000000"/>
                <w:sz w:val="18"/>
                <w:szCs w:val="18"/>
              </w:rPr>
            </w:pPr>
            <w:r>
              <w:rPr>
                <w:rFonts w:ascii="Cambria" w:hAnsi="Cambria"/>
                <w:color w:val="000000"/>
                <w:sz w:val="18"/>
              </w:rPr>
              <w:t>Prêt de la BPB 2</w:t>
            </w:r>
          </w:p>
        </w:tc>
        <w:tc>
          <w:tcPr>
            <w:tcW w:w="1460" w:type="dxa"/>
            <w:tcBorders>
              <w:top w:val="nil"/>
              <w:left w:val="nil"/>
              <w:bottom w:val="nil"/>
              <w:right w:val="nil"/>
            </w:tcBorders>
            <w:shd w:val="clear" w:color="auto" w:fill="auto"/>
            <w:noWrap/>
            <w:vAlign w:val="bottom"/>
            <w:hideMark/>
          </w:tcPr>
          <w:p w14:paraId="7CCE50B9" w14:textId="6696E7BD" w:rsidR="00F26E30" w:rsidRDefault="00F26E30" w:rsidP="00F26E30">
            <w:pPr>
              <w:jc w:val="right"/>
              <w:rPr>
                <w:rFonts w:ascii="Cambria" w:hAnsi="Cambria" w:cs="Arial"/>
                <w:color w:val="000000"/>
                <w:sz w:val="18"/>
                <w:szCs w:val="18"/>
              </w:rPr>
            </w:pPr>
            <w:r>
              <w:rPr>
                <w:rFonts w:ascii="Cambria" w:hAnsi="Cambria"/>
                <w:color w:val="000000"/>
                <w:sz w:val="18"/>
              </w:rPr>
              <w:t>800 000</w:t>
            </w:r>
          </w:p>
        </w:tc>
        <w:tc>
          <w:tcPr>
            <w:tcW w:w="1460" w:type="dxa"/>
            <w:tcBorders>
              <w:top w:val="nil"/>
              <w:left w:val="nil"/>
              <w:bottom w:val="nil"/>
              <w:right w:val="nil"/>
            </w:tcBorders>
            <w:shd w:val="clear" w:color="auto" w:fill="auto"/>
            <w:noWrap/>
            <w:vAlign w:val="bottom"/>
            <w:hideMark/>
          </w:tcPr>
          <w:p w14:paraId="11FBBF39" w14:textId="670A53FC" w:rsidR="00F26E30" w:rsidRDefault="00F26E30" w:rsidP="00F26E30">
            <w:pPr>
              <w:jc w:val="right"/>
              <w:rPr>
                <w:rFonts w:ascii="Cambria" w:hAnsi="Cambria" w:cs="Arial"/>
                <w:color w:val="000000"/>
                <w:sz w:val="18"/>
                <w:szCs w:val="18"/>
              </w:rPr>
            </w:pPr>
            <w:r>
              <w:rPr>
                <w:rFonts w:ascii="Cambria" w:hAnsi="Cambria"/>
                <w:color w:val="000000"/>
                <w:sz w:val="18"/>
              </w:rPr>
              <w:t>800 000</w:t>
            </w:r>
          </w:p>
        </w:tc>
        <w:tc>
          <w:tcPr>
            <w:tcW w:w="280" w:type="dxa"/>
            <w:tcBorders>
              <w:top w:val="nil"/>
              <w:left w:val="nil"/>
              <w:bottom w:val="nil"/>
              <w:right w:val="nil"/>
            </w:tcBorders>
            <w:shd w:val="clear" w:color="auto" w:fill="auto"/>
            <w:noWrap/>
            <w:vAlign w:val="bottom"/>
            <w:hideMark/>
          </w:tcPr>
          <w:p w14:paraId="01E3A47C" w14:textId="77777777" w:rsidR="00F26E30" w:rsidRDefault="00F26E30" w:rsidP="00F26E30">
            <w:pPr>
              <w:jc w:val="right"/>
              <w:rPr>
                <w:rFonts w:ascii="Cambria" w:hAnsi="Cambria" w:cs="Arial"/>
                <w:color w:val="000000"/>
                <w:sz w:val="18"/>
                <w:szCs w:val="18"/>
              </w:rPr>
            </w:pPr>
          </w:p>
        </w:tc>
        <w:tc>
          <w:tcPr>
            <w:tcW w:w="1460" w:type="dxa"/>
            <w:tcBorders>
              <w:top w:val="nil"/>
              <w:left w:val="nil"/>
              <w:bottom w:val="nil"/>
              <w:right w:val="nil"/>
            </w:tcBorders>
            <w:shd w:val="clear" w:color="auto" w:fill="auto"/>
            <w:noWrap/>
            <w:vAlign w:val="bottom"/>
            <w:hideMark/>
          </w:tcPr>
          <w:p w14:paraId="1529D40F" w14:textId="1B77E750" w:rsidR="00F26E30" w:rsidRDefault="00F26E30" w:rsidP="00F26E30">
            <w:pPr>
              <w:jc w:val="right"/>
              <w:rPr>
                <w:rFonts w:ascii="Cambria" w:hAnsi="Cambria" w:cs="Arial"/>
                <w:color w:val="000000"/>
                <w:sz w:val="18"/>
                <w:szCs w:val="18"/>
              </w:rPr>
            </w:pPr>
            <w:r>
              <w:rPr>
                <w:rFonts w:ascii="Cambria" w:hAnsi="Cambria"/>
                <w:color w:val="000000"/>
                <w:sz w:val="18"/>
              </w:rPr>
              <w:t>800 000</w:t>
            </w:r>
          </w:p>
        </w:tc>
        <w:tc>
          <w:tcPr>
            <w:tcW w:w="1460" w:type="dxa"/>
            <w:tcBorders>
              <w:top w:val="nil"/>
              <w:left w:val="nil"/>
              <w:bottom w:val="nil"/>
              <w:right w:val="nil"/>
            </w:tcBorders>
            <w:shd w:val="clear" w:color="auto" w:fill="auto"/>
            <w:noWrap/>
            <w:vAlign w:val="bottom"/>
            <w:hideMark/>
          </w:tcPr>
          <w:p w14:paraId="00B900F9" w14:textId="0C72F41C" w:rsidR="00F26E30" w:rsidRDefault="00F26E30" w:rsidP="00F26E30">
            <w:pPr>
              <w:jc w:val="right"/>
              <w:rPr>
                <w:rFonts w:ascii="Cambria" w:hAnsi="Cambria" w:cs="Arial"/>
                <w:color w:val="000000"/>
                <w:sz w:val="18"/>
                <w:szCs w:val="18"/>
              </w:rPr>
            </w:pPr>
            <w:r>
              <w:rPr>
                <w:rFonts w:ascii="Cambria" w:hAnsi="Cambria"/>
                <w:color w:val="000000"/>
                <w:sz w:val="18"/>
              </w:rPr>
              <w:t>800 000</w:t>
            </w:r>
          </w:p>
        </w:tc>
      </w:tr>
      <w:tr w:rsidR="00F26E30" w14:paraId="0AF1FCAB" w14:textId="77777777" w:rsidTr="009E50B5">
        <w:trPr>
          <w:trHeight w:val="240"/>
        </w:trPr>
        <w:tc>
          <w:tcPr>
            <w:tcW w:w="3480" w:type="dxa"/>
            <w:tcBorders>
              <w:top w:val="nil"/>
              <w:left w:val="nil"/>
              <w:bottom w:val="nil"/>
              <w:right w:val="nil"/>
            </w:tcBorders>
            <w:shd w:val="clear" w:color="auto" w:fill="auto"/>
            <w:noWrap/>
            <w:vAlign w:val="bottom"/>
            <w:hideMark/>
          </w:tcPr>
          <w:p w14:paraId="0D7C4B9B" w14:textId="77777777" w:rsidR="00F26E30" w:rsidRDefault="00F26E30" w:rsidP="00F26E30">
            <w:pPr>
              <w:rPr>
                <w:rFonts w:ascii="Cambria" w:hAnsi="Cambria" w:cs="Arial"/>
                <w:color w:val="000000"/>
                <w:sz w:val="18"/>
                <w:szCs w:val="18"/>
              </w:rPr>
            </w:pPr>
            <w:r>
              <w:rPr>
                <w:rFonts w:ascii="Cambria" w:hAnsi="Cambria"/>
                <w:color w:val="000000"/>
                <w:sz w:val="18"/>
              </w:rPr>
              <w:t>Prêt de la BDF</w:t>
            </w:r>
          </w:p>
        </w:tc>
        <w:tc>
          <w:tcPr>
            <w:tcW w:w="1460" w:type="dxa"/>
            <w:tcBorders>
              <w:top w:val="nil"/>
              <w:left w:val="nil"/>
              <w:bottom w:val="nil"/>
              <w:right w:val="nil"/>
            </w:tcBorders>
            <w:shd w:val="clear" w:color="auto" w:fill="auto"/>
            <w:noWrap/>
            <w:vAlign w:val="bottom"/>
            <w:hideMark/>
          </w:tcPr>
          <w:p w14:paraId="746D394B" w14:textId="75B59E89" w:rsidR="00F26E30" w:rsidRDefault="00F26E30" w:rsidP="00F26E30">
            <w:pPr>
              <w:jc w:val="right"/>
              <w:rPr>
                <w:rFonts w:ascii="Cambria" w:hAnsi="Cambria" w:cs="Arial"/>
                <w:color w:val="000000"/>
                <w:sz w:val="18"/>
                <w:szCs w:val="18"/>
              </w:rPr>
            </w:pPr>
            <w:r>
              <w:rPr>
                <w:rFonts w:ascii="Cambria" w:hAnsi="Cambria"/>
                <w:color w:val="000000"/>
                <w:sz w:val="18"/>
              </w:rPr>
              <w:t>897 276</w:t>
            </w:r>
          </w:p>
        </w:tc>
        <w:tc>
          <w:tcPr>
            <w:tcW w:w="1460" w:type="dxa"/>
            <w:tcBorders>
              <w:top w:val="nil"/>
              <w:left w:val="nil"/>
              <w:bottom w:val="nil"/>
              <w:right w:val="nil"/>
            </w:tcBorders>
            <w:shd w:val="clear" w:color="auto" w:fill="auto"/>
            <w:noWrap/>
            <w:vAlign w:val="bottom"/>
            <w:hideMark/>
          </w:tcPr>
          <w:p w14:paraId="1D3BF719" w14:textId="529DE74E" w:rsidR="00F26E30" w:rsidRDefault="00F26E30" w:rsidP="00F26E30">
            <w:pPr>
              <w:jc w:val="right"/>
              <w:rPr>
                <w:rFonts w:ascii="Cambria" w:hAnsi="Cambria" w:cs="Arial"/>
                <w:color w:val="000000"/>
                <w:sz w:val="18"/>
                <w:szCs w:val="18"/>
              </w:rPr>
            </w:pPr>
            <w:r>
              <w:rPr>
                <w:rFonts w:ascii="Cambria" w:hAnsi="Cambria"/>
                <w:color w:val="000000"/>
                <w:sz w:val="18"/>
              </w:rPr>
              <w:t>974 505</w:t>
            </w:r>
          </w:p>
        </w:tc>
        <w:tc>
          <w:tcPr>
            <w:tcW w:w="280" w:type="dxa"/>
            <w:tcBorders>
              <w:top w:val="nil"/>
              <w:left w:val="nil"/>
              <w:bottom w:val="nil"/>
              <w:right w:val="nil"/>
            </w:tcBorders>
            <w:shd w:val="clear" w:color="auto" w:fill="auto"/>
            <w:noWrap/>
            <w:vAlign w:val="bottom"/>
            <w:hideMark/>
          </w:tcPr>
          <w:p w14:paraId="20832F82" w14:textId="77777777" w:rsidR="00F26E30" w:rsidRDefault="00F26E30" w:rsidP="00F26E30">
            <w:pPr>
              <w:jc w:val="right"/>
              <w:rPr>
                <w:rFonts w:ascii="Cambria" w:hAnsi="Cambria" w:cs="Arial"/>
                <w:color w:val="000000"/>
                <w:sz w:val="18"/>
                <w:szCs w:val="18"/>
              </w:rPr>
            </w:pPr>
          </w:p>
        </w:tc>
        <w:tc>
          <w:tcPr>
            <w:tcW w:w="1460" w:type="dxa"/>
            <w:tcBorders>
              <w:top w:val="nil"/>
              <w:left w:val="nil"/>
              <w:bottom w:val="nil"/>
              <w:right w:val="nil"/>
            </w:tcBorders>
            <w:shd w:val="clear" w:color="auto" w:fill="auto"/>
            <w:noWrap/>
            <w:vAlign w:val="bottom"/>
            <w:hideMark/>
          </w:tcPr>
          <w:p w14:paraId="63C25542" w14:textId="24EE3CFC" w:rsidR="00F26E30" w:rsidRDefault="00F26E30" w:rsidP="00F26E30">
            <w:pPr>
              <w:jc w:val="right"/>
              <w:rPr>
                <w:rFonts w:ascii="Cambria" w:hAnsi="Cambria" w:cs="Arial"/>
                <w:color w:val="000000"/>
                <w:sz w:val="18"/>
                <w:szCs w:val="18"/>
              </w:rPr>
            </w:pPr>
            <w:r>
              <w:rPr>
                <w:rFonts w:ascii="Cambria" w:hAnsi="Cambria"/>
                <w:color w:val="000000"/>
                <w:sz w:val="18"/>
              </w:rPr>
              <w:t>897 276</w:t>
            </w:r>
          </w:p>
        </w:tc>
        <w:tc>
          <w:tcPr>
            <w:tcW w:w="1460" w:type="dxa"/>
            <w:tcBorders>
              <w:top w:val="nil"/>
              <w:left w:val="nil"/>
              <w:bottom w:val="nil"/>
              <w:right w:val="nil"/>
            </w:tcBorders>
            <w:shd w:val="clear" w:color="auto" w:fill="auto"/>
            <w:noWrap/>
            <w:vAlign w:val="bottom"/>
            <w:hideMark/>
          </w:tcPr>
          <w:p w14:paraId="314DA64F" w14:textId="21AD949A" w:rsidR="00F26E30" w:rsidRDefault="00F26E30" w:rsidP="00F26E30">
            <w:pPr>
              <w:jc w:val="right"/>
              <w:rPr>
                <w:rFonts w:ascii="Cambria" w:hAnsi="Cambria" w:cs="Arial"/>
                <w:color w:val="000000"/>
                <w:sz w:val="18"/>
                <w:szCs w:val="18"/>
              </w:rPr>
            </w:pPr>
            <w:r>
              <w:rPr>
                <w:rFonts w:ascii="Cambria" w:hAnsi="Cambria"/>
                <w:color w:val="000000"/>
                <w:sz w:val="18"/>
              </w:rPr>
              <w:t>974 505</w:t>
            </w:r>
          </w:p>
        </w:tc>
      </w:tr>
      <w:tr w:rsidR="00F26E30" w14:paraId="77035113" w14:textId="77777777" w:rsidTr="009E50B5">
        <w:trPr>
          <w:trHeight w:val="240"/>
        </w:trPr>
        <w:tc>
          <w:tcPr>
            <w:tcW w:w="3480" w:type="dxa"/>
            <w:tcBorders>
              <w:top w:val="nil"/>
              <w:left w:val="nil"/>
              <w:bottom w:val="nil"/>
              <w:right w:val="nil"/>
            </w:tcBorders>
            <w:shd w:val="clear" w:color="auto" w:fill="auto"/>
            <w:noWrap/>
            <w:vAlign w:val="bottom"/>
            <w:hideMark/>
          </w:tcPr>
          <w:p w14:paraId="0076E90B" w14:textId="77777777" w:rsidR="00F26E30" w:rsidRDefault="00F26E30" w:rsidP="00F26E30">
            <w:pPr>
              <w:rPr>
                <w:rFonts w:ascii="Cambria" w:hAnsi="Cambria" w:cs="Arial"/>
                <w:color w:val="000000"/>
                <w:sz w:val="18"/>
                <w:szCs w:val="18"/>
              </w:rPr>
            </w:pPr>
            <w:r>
              <w:rPr>
                <w:rFonts w:ascii="Cambria" w:hAnsi="Cambria"/>
                <w:color w:val="000000"/>
                <w:sz w:val="18"/>
              </w:rPr>
              <w:t xml:space="preserve">Prêt de la </w:t>
            </w:r>
            <w:proofErr w:type="spellStart"/>
            <w:r>
              <w:rPr>
                <w:rFonts w:ascii="Cambria" w:hAnsi="Cambria"/>
                <w:color w:val="000000"/>
                <w:sz w:val="18"/>
              </w:rPr>
              <w:t>Sanpaolo</w:t>
            </w:r>
            <w:proofErr w:type="spellEnd"/>
            <w:r>
              <w:rPr>
                <w:rFonts w:ascii="Cambria" w:hAnsi="Cambria"/>
                <w:color w:val="000000"/>
                <w:sz w:val="18"/>
              </w:rPr>
              <w:t xml:space="preserve"> 3</w:t>
            </w:r>
          </w:p>
        </w:tc>
        <w:tc>
          <w:tcPr>
            <w:tcW w:w="1460" w:type="dxa"/>
            <w:tcBorders>
              <w:top w:val="nil"/>
              <w:left w:val="nil"/>
              <w:bottom w:val="nil"/>
              <w:right w:val="nil"/>
            </w:tcBorders>
            <w:shd w:val="clear" w:color="auto" w:fill="auto"/>
            <w:noWrap/>
            <w:vAlign w:val="bottom"/>
            <w:hideMark/>
          </w:tcPr>
          <w:p w14:paraId="6CD6F1F5" w14:textId="63F61A63" w:rsidR="00F26E30" w:rsidRDefault="00F26E30" w:rsidP="00F26E30">
            <w:pPr>
              <w:jc w:val="right"/>
              <w:rPr>
                <w:rFonts w:ascii="Cambria" w:hAnsi="Cambria" w:cs="Arial"/>
                <w:color w:val="000000"/>
                <w:sz w:val="18"/>
                <w:szCs w:val="18"/>
              </w:rPr>
            </w:pPr>
            <w:r>
              <w:rPr>
                <w:rFonts w:ascii="Cambria" w:hAnsi="Cambria"/>
                <w:color w:val="000000"/>
                <w:sz w:val="18"/>
              </w:rPr>
              <w:t>750 000</w:t>
            </w:r>
          </w:p>
        </w:tc>
        <w:tc>
          <w:tcPr>
            <w:tcW w:w="1460" w:type="dxa"/>
            <w:tcBorders>
              <w:top w:val="nil"/>
              <w:left w:val="nil"/>
              <w:bottom w:val="nil"/>
              <w:right w:val="nil"/>
            </w:tcBorders>
            <w:shd w:val="clear" w:color="auto" w:fill="auto"/>
            <w:noWrap/>
            <w:vAlign w:val="bottom"/>
            <w:hideMark/>
          </w:tcPr>
          <w:p w14:paraId="0D0D2F3B" w14:textId="77777777" w:rsidR="00F26E30" w:rsidRDefault="00F26E30" w:rsidP="00F26E30">
            <w:pPr>
              <w:jc w:val="right"/>
              <w:rPr>
                <w:rFonts w:ascii="Cambria" w:hAnsi="Cambria" w:cs="Arial"/>
                <w:color w:val="000000"/>
                <w:sz w:val="18"/>
                <w:szCs w:val="18"/>
              </w:rPr>
            </w:pPr>
          </w:p>
        </w:tc>
        <w:tc>
          <w:tcPr>
            <w:tcW w:w="280" w:type="dxa"/>
            <w:tcBorders>
              <w:top w:val="nil"/>
              <w:left w:val="nil"/>
              <w:bottom w:val="nil"/>
              <w:right w:val="nil"/>
            </w:tcBorders>
            <w:shd w:val="clear" w:color="auto" w:fill="auto"/>
            <w:noWrap/>
            <w:vAlign w:val="bottom"/>
            <w:hideMark/>
          </w:tcPr>
          <w:p w14:paraId="4DD9A6C0" w14:textId="77777777" w:rsidR="00F26E30" w:rsidRDefault="00F26E30" w:rsidP="00F26E30">
            <w:pPr>
              <w:rPr>
                <w:sz w:val="20"/>
                <w:szCs w:val="20"/>
              </w:rPr>
            </w:pPr>
          </w:p>
        </w:tc>
        <w:tc>
          <w:tcPr>
            <w:tcW w:w="1460" w:type="dxa"/>
            <w:tcBorders>
              <w:top w:val="nil"/>
              <w:left w:val="nil"/>
              <w:bottom w:val="nil"/>
              <w:right w:val="nil"/>
            </w:tcBorders>
            <w:shd w:val="clear" w:color="auto" w:fill="auto"/>
            <w:noWrap/>
            <w:vAlign w:val="bottom"/>
            <w:hideMark/>
          </w:tcPr>
          <w:p w14:paraId="31DEF60F" w14:textId="4B3ED3E1" w:rsidR="00F26E30" w:rsidRDefault="00F26E30" w:rsidP="00F26E30">
            <w:pPr>
              <w:jc w:val="right"/>
              <w:rPr>
                <w:rFonts w:ascii="Cambria" w:hAnsi="Cambria" w:cs="Arial"/>
                <w:color w:val="000000"/>
                <w:sz w:val="18"/>
                <w:szCs w:val="18"/>
              </w:rPr>
            </w:pPr>
            <w:r>
              <w:rPr>
                <w:rFonts w:ascii="Cambria" w:hAnsi="Cambria"/>
                <w:color w:val="000000"/>
                <w:sz w:val="18"/>
              </w:rPr>
              <w:t>750 000</w:t>
            </w:r>
          </w:p>
        </w:tc>
        <w:tc>
          <w:tcPr>
            <w:tcW w:w="1460" w:type="dxa"/>
            <w:tcBorders>
              <w:top w:val="nil"/>
              <w:left w:val="nil"/>
              <w:bottom w:val="nil"/>
              <w:right w:val="nil"/>
            </w:tcBorders>
            <w:shd w:val="clear" w:color="auto" w:fill="auto"/>
            <w:noWrap/>
            <w:vAlign w:val="bottom"/>
            <w:hideMark/>
          </w:tcPr>
          <w:p w14:paraId="51925CEA" w14:textId="77777777" w:rsidR="00F26E30" w:rsidRDefault="00F26E30" w:rsidP="00F26E30">
            <w:pPr>
              <w:jc w:val="right"/>
              <w:rPr>
                <w:rFonts w:ascii="Cambria" w:hAnsi="Cambria" w:cs="Arial"/>
                <w:color w:val="000000"/>
                <w:sz w:val="18"/>
                <w:szCs w:val="18"/>
              </w:rPr>
            </w:pPr>
          </w:p>
        </w:tc>
      </w:tr>
      <w:tr w:rsidR="00F26E30" w14:paraId="0732840A" w14:textId="77777777" w:rsidTr="009E50B5">
        <w:trPr>
          <w:trHeight w:val="240"/>
        </w:trPr>
        <w:tc>
          <w:tcPr>
            <w:tcW w:w="3480" w:type="dxa"/>
            <w:tcBorders>
              <w:top w:val="nil"/>
              <w:left w:val="nil"/>
              <w:bottom w:val="nil"/>
              <w:right w:val="nil"/>
            </w:tcBorders>
            <w:shd w:val="clear" w:color="auto" w:fill="auto"/>
            <w:noWrap/>
            <w:vAlign w:val="bottom"/>
            <w:hideMark/>
          </w:tcPr>
          <w:p w14:paraId="554A3E76" w14:textId="77777777" w:rsidR="00F26E30" w:rsidRPr="00DC792B" w:rsidRDefault="00F26E30" w:rsidP="00F26E30">
            <w:pPr>
              <w:rPr>
                <w:rFonts w:ascii="Cambria" w:hAnsi="Cambria" w:cs="Arial"/>
                <w:color w:val="000000"/>
                <w:sz w:val="18"/>
                <w:szCs w:val="18"/>
                <w:lang w:val="it-IT"/>
              </w:rPr>
            </w:pPr>
            <w:r w:rsidRPr="00DC792B">
              <w:rPr>
                <w:rFonts w:ascii="Cambria" w:hAnsi="Cambria"/>
                <w:color w:val="000000"/>
                <w:sz w:val="18"/>
                <w:lang w:val="it-IT"/>
              </w:rPr>
              <w:t xml:space="preserve">Intesa Sanpaolo Spa import </w:t>
            </w:r>
            <w:proofErr w:type="spellStart"/>
            <w:r w:rsidRPr="00DC792B">
              <w:rPr>
                <w:rFonts w:ascii="Cambria" w:hAnsi="Cambria"/>
                <w:color w:val="000000"/>
                <w:sz w:val="18"/>
                <w:lang w:val="it-IT"/>
              </w:rPr>
              <w:t>finan</w:t>
            </w:r>
            <w:proofErr w:type="spellEnd"/>
            <w:r w:rsidRPr="00DC792B">
              <w:rPr>
                <w:rFonts w:ascii="Cambria" w:hAnsi="Cambria"/>
                <w:color w:val="000000"/>
                <w:sz w:val="18"/>
                <w:lang w:val="it-IT"/>
              </w:rPr>
              <w:t>.</w:t>
            </w:r>
          </w:p>
        </w:tc>
        <w:tc>
          <w:tcPr>
            <w:tcW w:w="1460" w:type="dxa"/>
            <w:tcBorders>
              <w:top w:val="nil"/>
              <w:left w:val="nil"/>
              <w:bottom w:val="nil"/>
              <w:right w:val="nil"/>
            </w:tcBorders>
            <w:shd w:val="clear" w:color="auto" w:fill="auto"/>
            <w:noWrap/>
            <w:vAlign w:val="bottom"/>
            <w:hideMark/>
          </w:tcPr>
          <w:p w14:paraId="1C4B18C0" w14:textId="24B780F7" w:rsidR="00F26E30" w:rsidRDefault="00F26E30" w:rsidP="00F26E30">
            <w:pPr>
              <w:jc w:val="right"/>
              <w:rPr>
                <w:rFonts w:ascii="Cambria" w:hAnsi="Cambria" w:cs="Arial"/>
                <w:color w:val="000000"/>
                <w:sz w:val="18"/>
                <w:szCs w:val="18"/>
              </w:rPr>
            </w:pPr>
            <w:r>
              <w:rPr>
                <w:rFonts w:ascii="Cambria" w:hAnsi="Cambria"/>
                <w:color w:val="000000"/>
                <w:sz w:val="18"/>
              </w:rPr>
              <w:t>506 346</w:t>
            </w:r>
          </w:p>
        </w:tc>
        <w:tc>
          <w:tcPr>
            <w:tcW w:w="1460" w:type="dxa"/>
            <w:tcBorders>
              <w:top w:val="nil"/>
              <w:left w:val="nil"/>
              <w:bottom w:val="nil"/>
              <w:right w:val="nil"/>
            </w:tcBorders>
            <w:shd w:val="clear" w:color="auto" w:fill="auto"/>
            <w:noWrap/>
            <w:vAlign w:val="bottom"/>
            <w:hideMark/>
          </w:tcPr>
          <w:p w14:paraId="0801361A" w14:textId="2E29182A" w:rsidR="00F26E30" w:rsidRDefault="00F26E30" w:rsidP="00F26E30">
            <w:pPr>
              <w:jc w:val="right"/>
              <w:rPr>
                <w:rFonts w:ascii="Cambria" w:hAnsi="Cambria" w:cs="Arial"/>
                <w:color w:val="000000"/>
                <w:sz w:val="18"/>
                <w:szCs w:val="18"/>
              </w:rPr>
            </w:pPr>
            <w:r>
              <w:rPr>
                <w:rFonts w:ascii="Cambria" w:hAnsi="Cambria"/>
                <w:color w:val="000000"/>
                <w:sz w:val="18"/>
              </w:rPr>
              <w:t>83 483</w:t>
            </w:r>
          </w:p>
        </w:tc>
        <w:tc>
          <w:tcPr>
            <w:tcW w:w="280" w:type="dxa"/>
            <w:tcBorders>
              <w:top w:val="nil"/>
              <w:left w:val="nil"/>
              <w:bottom w:val="nil"/>
              <w:right w:val="nil"/>
            </w:tcBorders>
            <w:shd w:val="clear" w:color="auto" w:fill="auto"/>
            <w:noWrap/>
            <w:vAlign w:val="bottom"/>
            <w:hideMark/>
          </w:tcPr>
          <w:p w14:paraId="31852756" w14:textId="77777777" w:rsidR="00F26E30" w:rsidRDefault="00F26E30" w:rsidP="00F26E30">
            <w:pPr>
              <w:jc w:val="right"/>
              <w:rPr>
                <w:rFonts w:ascii="Cambria" w:hAnsi="Cambria" w:cs="Arial"/>
                <w:color w:val="000000"/>
                <w:sz w:val="18"/>
                <w:szCs w:val="18"/>
              </w:rPr>
            </w:pPr>
          </w:p>
        </w:tc>
        <w:tc>
          <w:tcPr>
            <w:tcW w:w="1460" w:type="dxa"/>
            <w:tcBorders>
              <w:top w:val="nil"/>
              <w:left w:val="nil"/>
              <w:bottom w:val="nil"/>
              <w:right w:val="nil"/>
            </w:tcBorders>
            <w:shd w:val="clear" w:color="auto" w:fill="auto"/>
            <w:noWrap/>
            <w:vAlign w:val="bottom"/>
            <w:hideMark/>
          </w:tcPr>
          <w:p w14:paraId="5C42E84E" w14:textId="47AB7791" w:rsidR="00F26E30" w:rsidRDefault="00F26E30" w:rsidP="00F26E30">
            <w:pPr>
              <w:jc w:val="right"/>
              <w:rPr>
                <w:rFonts w:ascii="Cambria" w:hAnsi="Cambria" w:cs="Arial"/>
                <w:color w:val="000000"/>
                <w:sz w:val="18"/>
                <w:szCs w:val="18"/>
              </w:rPr>
            </w:pPr>
            <w:r>
              <w:rPr>
                <w:rFonts w:ascii="Cambria" w:hAnsi="Cambria"/>
                <w:color w:val="000000"/>
                <w:sz w:val="18"/>
              </w:rPr>
              <w:t>506 346</w:t>
            </w:r>
          </w:p>
        </w:tc>
        <w:tc>
          <w:tcPr>
            <w:tcW w:w="1460" w:type="dxa"/>
            <w:tcBorders>
              <w:top w:val="nil"/>
              <w:left w:val="nil"/>
              <w:bottom w:val="nil"/>
              <w:right w:val="nil"/>
            </w:tcBorders>
            <w:shd w:val="clear" w:color="auto" w:fill="auto"/>
            <w:noWrap/>
            <w:vAlign w:val="bottom"/>
            <w:hideMark/>
          </w:tcPr>
          <w:p w14:paraId="0DD6DEEB" w14:textId="3EB0A64A" w:rsidR="00F26E30" w:rsidRDefault="00F26E30" w:rsidP="00F26E30">
            <w:pPr>
              <w:jc w:val="right"/>
              <w:rPr>
                <w:rFonts w:ascii="Cambria" w:hAnsi="Cambria" w:cs="Arial"/>
                <w:color w:val="000000"/>
                <w:sz w:val="18"/>
                <w:szCs w:val="18"/>
              </w:rPr>
            </w:pPr>
            <w:r>
              <w:rPr>
                <w:rFonts w:ascii="Cambria" w:hAnsi="Cambria"/>
                <w:color w:val="000000"/>
                <w:sz w:val="18"/>
              </w:rPr>
              <w:t>83 483</w:t>
            </w:r>
          </w:p>
        </w:tc>
      </w:tr>
      <w:tr w:rsidR="00F26E30" w14:paraId="191CD490" w14:textId="77777777" w:rsidTr="009E50B5">
        <w:trPr>
          <w:trHeight w:val="240"/>
        </w:trPr>
        <w:tc>
          <w:tcPr>
            <w:tcW w:w="3480" w:type="dxa"/>
            <w:tcBorders>
              <w:top w:val="nil"/>
              <w:left w:val="nil"/>
              <w:bottom w:val="nil"/>
              <w:right w:val="nil"/>
            </w:tcBorders>
            <w:shd w:val="clear" w:color="auto" w:fill="auto"/>
            <w:noWrap/>
            <w:vAlign w:val="bottom"/>
            <w:hideMark/>
          </w:tcPr>
          <w:p w14:paraId="38001C9F" w14:textId="77777777" w:rsidR="00F26E30" w:rsidRDefault="00F26E30" w:rsidP="00F26E30">
            <w:pPr>
              <w:rPr>
                <w:rFonts w:ascii="Cambria" w:hAnsi="Cambria" w:cs="Arial"/>
                <w:color w:val="000000"/>
                <w:sz w:val="18"/>
                <w:szCs w:val="18"/>
              </w:rPr>
            </w:pPr>
            <w:proofErr w:type="spellStart"/>
            <w:r>
              <w:rPr>
                <w:rFonts w:ascii="Cambria" w:hAnsi="Cambria"/>
                <w:color w:val="000000"/>
                <w:sz w:val="18"/>
              </w:rPr>
              <w:t>Intesa</w:t>
            </w:r>
            <w:proofErr w:type="spellEnd"/>
            <w:r>
              <w:rPr>
                <w:rFonts w:ascii="Cambria" w:hAnsi="Cambria"/>
                <w:color w:val="000000"/>
                <w:sz w:val="18"/>
              </w:rPr>
              <w:t xml:space="preserve"> </w:t>
            </w:r>
            <w:proofErr w:type="spellStart"/>
            <w:r>
              <w:rPr>
                <w:rFonts w:ascii="Cambria" w:hAnsi="Cambria"/>
                <w:color w:val="000000"/>
                <w:sz w:val="18"/>
              </w:rPr>
              <w:t>Sanpaolo</w:t>
            </w:r>
            <w:proofErr w:type="spellEnd"/>
            <w:r>
              <w:rPr>
                <w:rFonts w:ascii="Cambria" w:hAnsi="Cambria"/>
                <w:color w:val="000000"/>
                <w:sz w:val="18"/>
              </w:rPr>
              <w:t xml:space="preserve"> spa </w:t>
            </w:r>
            <w:proofErr w:type="spellStart"/>
            <w:r>
              <w:rPr>
                <w:rFonts w:ascii="Cambria" w:hAnsi="Cambria"/>
                <w:color w:val="000000"/>
                <w:sz w:val="18"/>
              </w:rPr>
              <w:t>confirming</w:t>
            </w:r>
            <w:proofErr w:type="spellEnd"/>
          </w:p>
        </w:tc>
        <w:tc>
          <w:tcPr>
            <w:tcW w:w="1460" w:type="dxa"/>
            <w:tcBorders>
              <w:top w:val="nil"/>
              <w:left w:val="nil"/>
              <w:bottom w:val="nil"/>
              <w:right w:val="nil"/>
            </w:tcBorders>
            <w:shd w:val="clear" w:color="auto" w:fill="auto"/>
            <w:noWrap/>
            <w:vAlign w:val="bottom"/>
            <w:hideMark/>
          </w:tcPr>
          <w:p w14:paraId="7756C0F2" w14:textId="435132D8" w:rsidR="00F26E30" w:rsidRDefault="00F26E30" w:rsidP="00F26E30">
            <w:pPr>
              <w:jc w:val="right"/>
              <w:rPr>
                <w:rFonts w:ascii="Cambria" w:hAnsi="Cambria" w:cs="Arial"/>
                <w:color w:val="000000"/>
                <w:sz w:val="18"/>
                <w:szCs w:val="18"/>
              </w:rPr>
            </w:pPr>
            <w:r>
              <w:rPr>
                <w:rFonts w:ascii="Cambria" w:hAnsi="Cambria"/>
                <w:color w:val="000000"/>
                <w:sz w:val="18"/>
              </w:rPr>
              <w:t>651 470</w:t>
            </w:r>
          </w:p>
        </w:tc>
        <w:tc>
          <w:tcPr>
            <w:tcW w:w="1460" w:type="dxa"/>
            <w:tcBorders>
              <w:top w:val="nil"/>
              <w:left w:val="nil"/>
              <w:bottom w:val="nil"/>
              <w:right w:val="nil"/>
            </w:tcBorders>
            <w:shd w:val="clear" w:color="auto" w:fill="auto"/>
            <w:noWrap/>
            <w:vAlign w:val="bottom"/>
            <w:hideMark/>
          </w:tcPr>
          <w:p w14:paraId="5635052A" w14:textId="4A834DC0" w:rsidR="00F26E30" w:rsidRDefault="00F26E30" w:rsidP="00F26E30">
            <w:pPr>
              <w:jc w:val="right"/>
              <w:rPr>
                <w:rFonts w:ascii="Cambria" w:hAnsi="Cambria" w:cs="Arial"/>
                <w:color w:val="000000"/>
                <w:sz w:val="18"/>
                <w:szCs w:val="18"/>
              </w:rPr>
            </w:pPr>
            <w:r>
              <w:rPr>
                <w:rFonts w:ascii="Cambria" w:hAnsi="Cambria"/>
                <w:color w:val="000000"/>
                <w:sz w:val="18"/>
              </w:rPr>
              <w:t>268 687</w:t>
            </w:r>
          </w:p>
        </w:tc>
        <w:tc>
          <w:tcPr>
            <w:tcW w:w="280" w:type="dxa"/>
            <w:tcBorders>
              <w:top w:val="nil"/>
              <w:left w:val="nil"/>
              <w:bottom w:val="nil"/>
              <w:right w:val="nil"/>
            </w:tcBorders>
            <w:shd w:val="clear" w:color="auto" w:fill="auto"/>
            <w:noWrap/>
            <w:vAlign w:val="bottom"/>
            <w:hideMark/>
          </w:tcPr>
          <w:p w14:paraId="4B1402D6" w14:textId="77777777" w:rsidR="00F26E30" w:rsidRDefault="00F26E30" w:rsidP="00F26E30">
            <w:pPr>
              <w:jc w:val="right"/>
              <w:rPr>
                <w:rFonts w:ascii="Cambria" w:hAnsi="Cambria" w:cs="Arial"/>
                <w:color w:val="000000"/>
                <w:sz w:val="18"/>
                <w:szCs w:val="18"/>
              </w:rPr>
            </w:pPr>
          </w:p>
        </w:tc>
        <w:tc>
          <w:tcPr>
            <w:tcW w:w="1460" w:type="dxa"/>
            <w:tcBorders>
              <w:top w:val="nil"/>
              <w:left w:val="nil"/>
              <w:bottom w:val="nil"/>
              <w:right w:val="nil"/>
            </w:tcBorders>
            <w:shd w:val="clear" w:color="auto" w:fill="auto"/>
            <w:noWrap/>
            <w:vAlign w:val="bottom"/>
            <w:hideMark/>
          </w:tcPr>
          <w:p w14:paraId="59BD98C4" w14:textId="7C25C31C" w:rsidR="00F26E30" w:rsidRDefault="00F26E30" w:rsidP="00F26E30">
            <w:pPr>
              <w:jc w:val="right"/>
              <w:rPr>
                <w:rFonts w:ascii="Cambria" w:hAnsi="Cambria" w:cs="Arial"/>
                <w:color w:val="000000"/>
                <w:sz w:val="18"/>
                <w:szCs w:val="18"/>
              </w:rPr>
            </w:pPr>
            <w:r>
              <w:rPr>
                <w:rFonts w:ascii="Cambria" w:hAnsi="Cambria"/>
                <w:color w:val="000000"/>
                <w:sz w:val="18"/>
              </w:rPr>
              <w:t>651 470</w:t>
            </w:r>
          </w:p>
        </w:tc>
        <w:tc>
          <w:tcPr>
            <w:tcW w:w="1460" w:type="dxa"/>
            <w:tcBorders>
              <w:top w:val="nil"/>
              <w:left w:val="nil"/>
              <w:bottom w:val="nil"/>
              <w:right w:val="nil"/>
            </w:tcBorders>
            <w:shd w:val="clear" w:color="auto" w:fill="auto"/>
            <w:noWrap/>
            <w:vAlign w:val="bottom"/>
            <w:hideMark/>
          </w:tcPr>
          <w:p w14:paraId="599A8CEA" w14:textId="5629D09F" w:rsidR="00F26E30" w:rsidRDefault="00F26E30" w:rsidP="00F26E30">
            <w:pPr>
              <w:jc w:val="right"/>
              <w:rPr>
                <w:rFonts w:ascii="Cambria" w:hAnsi="Cambria" w:cs="Arial"/>
                <w:color w:val="000000"/>
                <w:sz w:val="18"/>
                <w:szCs w:val="18"/>
              </w:rPr>
            </w:pPr>
            <w:r>
              <w:rPr>
                <w:rFonts w:ascii="Cambria" w:hAnsi="Cambria"/>
                <w:color w:val="000000"/>
                <w:sz w:val="18"/>
              </w:rPr>
              <w:t>268 687</w:t>
            </w:r>
          </w:p>
        </w:tc>
      </w:tr>
      <w:tr w:rsidR="00F26E30" w14:paraId="14E23F63" w14:textId="77777777" w:rsidTr="009E50B5">
        <w:trPr>
          <w:trHeight w:val="240"/>
        </w:trPr>
        <w:tc>
          <w:tcPr>
            <w:tcW w:w="3480" w:type="dxa"/>
            <w:tcBorders>
              <w:top w:val="nil"/>
              <w:left w:val="nil"/>
              <w:bottom w:val="nil"/>
              <w:right w:val="nil"/>
            </w:tcBorders>
            <w:shd w:val="clear" w:color="auto" w:fill="auto"/>
            <w:noWrap/>
            <w:vAlign w:val="bottom"/>
            <w:hideMark/>
          </w:tcPr>
          <w:p w14:paraId="02134CD7" w14:textId="77777777" w:rsidR="00F26E30" w:rsidRDefault="00F26E30" w:rsidP="00F26E30">
            <w:pPr>
              <w:rPr>
                <w:rFonts w:ascii="Cambria" w:hAnsi="Cambria" w:cs="Arial"/>
                <w:b/>
                <w:bCs/>
                <w:color w:val="000000"/>
                <w:sz w:val="18"/>
                <w:szCs w:val="18"/>
              </w:rPr>
            </w:pPr>
            <w:r>
              <w:rPr>
                <w:rFonts w:ascii="Cambria" w:hAnsi="Cambria"/>
                <w:b/>
                <w:color w:val="000000"/>
                <w:sz w:val="18"/>
              </w:rPr>
              <w:t>Total Passifs financiers</w:t>
            </w:r>
          </w:p>
        </w:tc>
        <w:tc>
          <w:tcPr>
            <w:tcW w:w="1460" w:type="dxa"/>
            <w:tcBorders>
              <w:top w:val="single" w:sz="4" w:space="0" w:color="auto"/>
              <w:left w:val="nil"/>
              <w:bottom w:val="nil"/>
              <w:right w:val="nil"/>
            </w:tcBorders>
            <w:shd w:val="clear" w:color="auto" w:fill="auto"/>
            <w:noWrap/>
            <w:vAlign w:val="bottom"/>
            <w:hideMark/>
          </w:tcPr>
          <w:p w14:paraId="3977943F" w14:textId="0D564D4E" w:rsidR="00F26E30" w:rsidRDefault="00F26E30" w:rsidP="00F26E30">
            <w:pPr>
              <w:jc w:val="right"/>
              <w:rPr>
                <w:rFonts w:ascii="Cambria" w:hAnsi="Cambria" w:cs="Arial"/>
                <w:b/>
                <w:bCs/>
                <w:color w:val="000000"/>
                <w:sz w:val="18"/>
                <w:szCs w:val="18"/>
              </w:rPr>
            </w:pPr>
            <w:r>
              <w:rPr>
                <w:rFonts w:ascii="Cambria" w:hAnsi="Cambria"/>
                <w:b/>
                <w:color w:val="000000"/>
                <w:sz w:val="18"/>
              </w:rPr>
              <w:t>6 658 741</w:t>
            </w:r>
          </w:p>
        </w:tc>
        <w:tc>
          <w:tcPr>
            <w:tcW w:w="1460" w:type="dxa"/>
            <w:tcBorders>
              <w:top w:val="single" w:sz="4" w:space="0" w:color="auto"/>
              <w:left w:val="nil"/>
              <w:bottom w:val="nil"/>
              <w:right w:val="nil"/>
            </w:tcBorders>
            <w:shd w:val="clear" w:color="auto" w:fill="auto"/>
            <w:noWrap/>
            <w:vAlign w:val="bottom"/>
            <w:hideMark/>
          </w:tcPr>
          <w:p w14:paraId="3B7EFAF3" w14:textId="32ABFC60" w:rsidR="00F26E30" w:rsidRDefault="00F26E30" w:rsidP="00F26E30">
            <w:pPr>
              <w:jc w:val="right"/>
              <w:rPr>
                <w:rFonts w:ascii="Cambria" w:hAnsi="Cambria" w:cs="Arial"/>
                <w:b/>
                <w:bCs/>
                <w:color w:val="000000"/>
                <w:sz w:val="18"/>
                <w:szCs w:val="18"/>
              </w:rPr>
            </w:pPr>
            <w:r>
              <w:rPr>
                <w:rFonts w:ascii="Cambria" w:hAnsi="Cambria"/>
                <w:b/>
                <w:color w:val="000000"/>
                <w:sz w:val="18"/>
              </w:rPr>
              <w:t>5 592 919</w:t>
            </w:r>
          </w:p>
        </w:tc>
        <w:tc>
          <w:tcPr>
            <w:tcW w:w="280" w:type="dxa"/>
            <w:tcBorders>
              <w:top w:val="nil"/>
              <w:left w:val="nil"/>
              <w:bottom w:val="nil"/>
              <w:right w:val="nil"/>
            </w:tcBorders>
            <w:shd w:val="clear" w:color="auto" w:fill="auto"/>
            <w:noWrap/>
            <w:vAlign w:val="bottom"/>
            <w:hideMark/>
          </w:tcPr>
          <w:p w14:paraId="116E0064" w14:textId="77777777" w:rsidR="00F26E30" w:rsidRDefault="00F26E30" w:rsidP="00F26E30">
            <w:pPr>
              <w:jc w:val="right"/>
              <w:rPr>
                <w:rFonts w:ascii="Cambria" w:hAnsi="Cambria" w:cs="Arial"/>
                <w:b/>
                <w:bCs/>
                <w:color w:val="000000"/>
                <w:sz w:val="18"/>
                <w:szCs w:val="18"/>
              </w:rPr>
            </w:pPr>
          </w:p>
        </w:tc>
        <w:tc>
          <w:tcPr>
            <w:tcW w:w="1460" w:type="dxa"/>
            <w:tcBorders>
              <w:top w:val="single" w:sz="4" w:space="0" w:color="auto"/>
              <w:left w:val="nil"/>
              <w:bottom w:val="nil"/>
              <w:right w:val="nil"/>
            </w:tcBorders>
            <w:shd w:val="clear" w:color="auto" w:fill="auto"/>
            <w:noWrap/>
            <w:vAlign w:val="bottom"/>
            <w:hideMark/>
          </w:tcPr>
          <w:p w14:paraId="4411B413" w14:textId="21D90878" w:rsidR="00F26E30" w:rsidRDefault="00F26E30" w:rsidP="00F26E30">
            <w:pPr>
              <w:jc w:val="right"/>
              <w:rPr>
                <w:rFonts w:ascii="Cambria" w:hAnsi="Cambria" w:cs="Arial"/>
                <w:b/>
                <w:bCs/>
                <w:color w:val="000000"/>
                <w:sz w:val="18"/>
                <w:szCs w:val="18"/>
              </w:rPr>
            </w:pPr>
            <w:r>
              <w:rPr>
                <w:rFonts w:ascii="Cambria" w:hAnsi="Cambria"/>
                <w:b/>
                <w:color w:val="000000"/>
                <w:sz w:val="18"/>
              </w:rPr>
              <w:t>6 658 741</w:t>
            </w:r>
          </w:p>
        </w:tc>
        <w:tc>
          <w:tcPr>
            <w:tcW w:w="1460" w:type="dxa"/>
            <w:tcBorders>
              <w:top w:val="single" w:sz="4" w:space="0" w:color="auto"/>
              <w:left w:val="nil"/>
              <w:bottom w:val="nil"/>
              <w:right w:val="nil"/>
            </w:tcBorders>
            <w:shd w:val="clear" w:color="auto" w:fill="auto"/>
            <w:noWrap/>
            <w:vAlign w:val="bottom"/>
            <w:hideMark/>
          </w:tcPr>
          <w:p w14:paraId="76361C22" w14:textId="4B362B6C" w:rsidR="00F26E30" w:rsidRDefault="00F26E30" w:rsidP="00F26E30">
            <w:pPr>
              <w:jc w:val="right"/>
              <w:rPr>
                <w:rFonts w:ascii="Cambria" w:hAnsi="Cambria" w:cs="Arial"/>
                <w:b/>
                <w:bCs/>
                <w:color w:val="000000"/>
                <w:sz w:val="18"/>
                <w:szCs w:val="18"/>
              </w:rPr>
            </w:pPr>
            <w:r>
              <w:rPr>
                <w:rFonts w:ascii="Cambria" w:hAnsi="Cambria"/>
                <w:b/>
                <w:color w:val="000000"/>
                <w:sz w:val="18"/>
              </w:rPr>
              <w:t>5 592 919</w:t>
            </w:r>
          </w:p>
        </w:tc>
      </w:tr>
      <w:tr w:rsidR="00F26E30" w14:paraId="26E3D3E0" w14:textId="77777777" w:rsidTr="009E50B5">
        <w:trPr>
          <w:trHeight w:val="240"/>
        </w:trPr>
        <w:tc>
          <w:tcPr>
            <w:tcW w:w="3480" w:type="dxa"/>
            <w:tcBorders>
              <w:top w:val="nil"/>
              <w:left w:val="nil"/>
              <w:bottom w:val="nil"/>
              <w:right w:val="nil"/>
            </w:tcBorders>
            <w:shd w:val="clear" w:color="auto" w:fill="auto"/>
            <w:noWrap/>
            <w:vAlign w:val="bottom"/>
            <w:hideMark/>
          </w:tcPr>
          <w:p w14:paraId="46A67655" w14:textId="77777777" w:rsidR="00F26E30" w:rsidRDefault="00F26E30" w:rsidP="00F26E30">
            <w:pPr>
              <w:jc w:val="right"/>
              <w:rPr>
                <w:rFonts w:ascii="Cambria" w:hAnsi="Cambria" w:cs="Arial"/>
                <w:b/>
                <w:bCs/>
                <w:color w:val="000000"/>
                <w:sz w:val="18"/>
                <w:szCs w:val="18"/>
              </w:rPr>
            </w:pPr>
          </w:p>
        </w:tc>
        <w:tc>
          <w:tcPr>
            <w:tcW w:w="1460" w:type="dxa"/>
            <w:tcBorders>
              <w:top w:val="nil"/>
              <w:left w:val="nil"/>
              <w:bottom w:val="nil"/>
              <w:right w:val="nil"/>
            </w:tcBorders>
            <w:shd w:val="clear" w:color="auto" w:fill="auto"/>
            <w:noWrap/>
            <w:vAlign w:val="bottom"/>
            <w:hideMark/>
          </w:tcPr>
          <w:p w14:paraId="7B166BA6" w14:textId="77777777" w:rsidR="00F26E30" w:rsidRDefault="00F26E30" w:rsidP="00F26E30">
            <w:pPr>
              <w:rPr>
                <w:sz w:val="20"/>
                <w:szCs w:val="20"/>
              </w:rPr>
            </w:pPr>
          </w:p>
        </w:tc>
        <w:tc>
          <w:tcPr>
            <w:tcW w:w="1460" w:type="dxa"/>
            <w:tcBorders>
              <w:top w:val="nil"/>
              <w:left w:val="nil"/>
              <w:bottom w:val="nil"/>
              <w:right w:val="nil"/>
            </w:tcBorders>
            <w:shd w:val="clear" w:color="auto" w:fill="auto"/>
            <w:noWrap/>
            <w:vAlign w:val="bottom"/>
            <w:hideMark/>
          </w:tcPr>
          <w:p w14:paraId="262CB82A" w14:textId="77777777" w:rsidR="00F26E30" w:rsidRDefault="00F26E30" w:rsidP="00F26E30">
            <w:pPr>
              <w:rPr>
                <w:sz w:val="20"/>
                <w:szCs w:val="20"/>
              </w:rPr>
            </w:pPr>
          </w:p>
        </w:tc>
        <w:tc>
          <w:tcPr>
            <w:tcW w:w="280" w:type="dxa"/>
            <w:tcBorders>
              <w:top w:val="nil"/>
              <w:left w:val="nil"/>
              <w:bottom w:val="nil"/>
              <w:right w:val="nil"/>
            </w:tcBorders>
            <w:shd w:val="clear" w:color="auto" w:fill="auto"/>
            <w:noWrap/>
            <w:vAlign w:val="bottom"/>
            <w:hideMark/>
          </w:tcPr>
          <w:p w14:paraId="1CA1FCA6" w14:textId="77777777" w:rsidR="00F26E30" w:rsidRDefault="00F26E30" w:rsidP="00F26E30">
            <w:pPr>
              <w:rPr>
                <w:sz w:val="20"/>
                <w:szCs w:val="20"/>
              </w:rPr>
            </w:pPr>
          </w:p>
        </w:tc>
        <w:tc>
          <w:tcPr>
            <w:tcW w:w="1460" w:type="dxa"/>
            <w:tcBorders>
              <w:top w:val="nil"/>
              <w:left w:val="nil"/>
              <w:bottom w:val="nil"/>
              <w:right w:val="nil"/>
            </w:tcBorders>
            <w:shd w:val="clear" w:color="auto" w:fill="auto"/>
            <w:noWrap/>
            <w:vAlign w:val="bottom"/>
            <w:hideMark/>
          </w:tcPr>
          <w:p w14:paraId="0D663A89" w14:textId="77777777" w:rsidR="00F26E30" w:rsidRDefault="00F26E30" w:rsidP="00F26E30">
            <w:pPr>
              <w:rPr>
                <w:sz w:val="20"/>
                <w:szCs w:val="20"/>
              </w:rPr>
            </w:pPr>
          </w:p>
        </w:tc>
        <w:tc>
          <w:tcPr>
            <w:tcW w:w="1460" w:type="dxa"/>
            <w:tcBorders>
              <w:top w:val="nil"/>
              <w:left w:val="nil"/>
              <w:bottom w:val="nil"/>
              <w:right w:val="nil"/>
            </w:tcBorders>
            <w:shd w:val="clear" w:color="auto" w:fill="auto"/>
            <w:noWrap/>
            <w:vAlign w:val="bottom"/>
            <w:hideMark/>
          </w:tcPr>
          <w:p w14:paraId="25E03F29" w14:textId="77777777" w:rsidR="00F26E30" w:rsidRDefault="00F26E30" w:rsidP="00F26E30">
            <w:pPr>
              <w:rPr>
                <w:sz w:val="20"/>
                <w:szCs w:val="20"/>
              </w:rPr>
            </w:pPr>
          </w:p>
        </w:tc>
      </w:tr>
      <w:tr w:rsidR="00F26E30" w14:paraId="5767BB7C" w14:textId="77777777" w:rsidTr="009E50B5">
        <w:trPr>
          <w:trHeight w:val="255"/>
        </w:trPr>
        <w:tc>
          <w:tcPr>
            <w:tcW w:w="3480" w:type="dxa"/>
            <w:tcBorders>
              <w:top w:val="nil"/>
              <w:left w:val="nil"/>
              <w:bottom w:val="nil"/>
              <w:right w:val="nil"/>
            </w:tcBorders>
            <w:shd w:val="clear" w:color="auto" w:fill="auto"/>
            <w:noWrap/>
            <w:vAlign w:val="bottom"/>
            <w:hideMark/>
          </w:tcPr>
          <w:p w14:paraId="0D43F2E6" w14:textId="77777777" w:rsidR="00F26E30" w:rsidRDefault="00F26E30" w:rsidP="00F26E30">
            <w:pPr>
              <w:rPr>
                <w:rFonts w:ascii="Cambria" w:hAnsi="Cambria" w:cs="Arial"/>
                <w:b/>
                <w:bCs/>
                <w:color w:val="000000"/>
                <w:sz w:val="18"/>
                <w:szCs w:val="18"/>
              </w:rPr>
            </w:pPr>
            <w:r>
              <w:rPr>
                <w:rFonts w:ascii="Cambria" w:hAnsi="Cambria"/>
                <w:b/>
                <w:color w:val="000000"/>
                <w:sz w:val="18"/>
              </w:rPr>
              <w:t>Total Actifs financiers nets</w:t>
            </w:r>
          </w:p>
        </w:tc>
        <w:tc>
          <w:tcPr>
            <w:tcW w:w="1460" w:type="dxa"/>
            <w:tcBorders>
              <w:top w:val="single" w:sz="4" w:space="0" w:color="auto"/>
              <w:left w:val="nil"/>
              <w:bottom w:val="single" w:sz="8" w:space="0" w:color="auto"/>
              <w:right w:val="nil"/>
            </w:tcBorders>
            <w:shd w:val="clear" w:color="auto" w:fill="auto"/>
            <w:noWrap/>
            <w:vAlign w:val="bottom"/>
            <w:hideMark/>
          </w:tcPr>
          <w:p w14:paraId="02CA0FB7" w14:textId="44632DA7" w:rsidR="00F26E30" w:rsidRDefault="00F26E30" w:rsidP="00F26E30">
            <w:pPr>
              <w:jc w:val="right"/>
              <w:rPr>
                <w:rFonts w:ascii="Cambria" w:hAnsi="Cambria" w:cs="Arial"/>
                <w:b/>
                <w:bCs/>
                <w:color w:val="000000"/>
                <w:sz w:val="18"/>
                <w:szCs w:val="18"/>
              </w:rPr>
            </w:pPr>
            <w:r>
              <w:rPr>
                <w:rFonts w:ascii="Cambria" w:hAnsi="Cambria"/>
                <w:b/>
                <w:color w:val="000000"/>
                <w:sz w:val="18"/>
              </w:rPr>
              <w:t>(6 658 741)</w:t>
            </w:r>
          </w:p>
        </w:tc>
        <w:tc>
          <w:tcPr>
            <w:tcW w:w="1460" w:type="dxa"/>
            <w:tcBorders>
              <w:top w:val="single" w:sz="4" w:space="0" w:color="auto"/>
              <w:left w:val="nil"/>
              <w:bottom w:val="single" w:sz="8" w:space="0" w:color="auto"/>
              <w:right w:val="nil"/>
            </w:tcBorders>
            <w:shd w:val="clear" w:color="auto" w:fill="auto"/>
            <w:noWrap/>
            <w:vAlign w:val="bottom"/>
            <w:hideMark/>
          </w:tcPr>
          <w:p w14:paraId="1CC98EC3" w14:textId="157BF36B" w:rsidR="00F26E30" w:rsidRDefault="00F26E30" w:rsidP="00F26E30">
            <w:pPr>
              <w:jc w:val="right"/>
              <w:rPr>
                <w:rFonts w:ascii="Cambria" w:hAnsi="Cambria" w:cs="Arial"/>
                <w:b/>
                <w:bCs/>
                <w:color w:val="000000"/>
                <w:sz w:val="18"/>
                <w:szCs w:val="18"/>
              </w:rPr>
            </w:pPr>
            <w:r>
              <w:rPr>
                <w:rFonts w:ascii="Cambria" w:hAnsi="Cambria"/>
                <w:b/>
                <w:color w:val="000000"/>
                <w:sz w:val="18"/>
              </w:rPr>
              <w:t>(5 592 919)</w:t>
            </w:r>
          </w:p>
        </w:tc>
        <w:tc>
          <w:tcPr>
            <w:tcW w:w="280" w:type="dxa"/>
            <w:tcBorders>
              <w:top w:val="nil"/>
              <w:left w:val="nil"/>
              <w:bottom w:val="nil"/>
              <w:right w:val="nil"/>
            </w:tcBorders>
            <w:shd w:val="clear" w:color="auto" w:fill="auto"/>
            <w:noWrap/>
            <w:vAlign w:val="bottom"/>
            <w:hideMark/>
          </w:tcPr>
          <w:p w14:paraId="7B7699EB" w14:textId="77777777" w:rsidR="00F26E30" w:rsidRDefault="00F26E30" w:rsidP="00F26E30">
            <w:pPr>
              <w:jc w:val="right"/>
              <w:rPr>
                <w:rFonts w:ascii="Cambria" w:hAnsi="Cambria" w:cs="Arial"/>
                <w:b/>
                <w:bCs/>
                <w:color w:val="000000"/>
                <w:sz w:val="18"/>
                <w:szCs w:val="18"/>
              </w:rPr>
            </w:pPr>
          </w:p>
        </w:tc>
        <w:tc>
          <w:tcPr>
            <w:tcW w:w="1460" w:type="dxa"/>
            <w:tcBorders>
              <w:top w:val="single" w:sz="4" w:space="0" w:color="auto"/>
              <w:left w:val="nil"/>
              <w:bottom w:val="single" w:sz="8" w:space="0" w:color="auto"/>
              <w:right w:val="nil"/>
            </w:tcBorders>
            <w:shd w:val="clear" w:color="auto" w:fill="auto"/>
            <w:noWrap/>
            <w:vAlign w:val="bottom"/>
            <w:hideMark/>
          </w:tcPr>
          <w:p w14:paraId="0FFBBD5E" w14:textId="67662DF9" w:rsidR="00F26E30" w:rsidRDefault="00F26E30" w:rsidP="00F26E30">
            <w:pPr>
              <w:jc w:val="right"/>
              <w:rPr>
                <w:rFonts w:ascii="Cambria" w:hAnsi="Cambria" w:cs="Arial"/>
                <w:b/>
                <w:bCs/>
                <w:color w:val="000000"/>
                <w:sz w:val="18"/>
                <w:szCs w:val="18"/>
              </w:rPr>
            </w:pPr>
            <w:r>
              <w:rPr>
                <w:rFonts w:ascii="Cambria" w:hAnsi="Cambria"/>
                <w:b/>
                <w:color w:val="000000"/>
                <w:sz w:val="18"/>
              </w:rPr>
              <w:t>(6 658 741)</w:t>
            </w:r>
          </w:p>
        </w:tc>
        <w:tc>
          <w:tcPr>
            <w:tcW w:w="1460" w:type="dxa"/>
            <w:tcBorders>
              <w:top w:val="single" w:sz="4" w:space="0" w:color="auto"/>
              <w:left w:val="nil"/>
              <w:bottom w:val="single" w:sz="8" w:space="0" w:color="auto"/>
              <w:right w:val="nil"/>
            </w:tcBorders>
            <w:shd w:val="clear" w:color="auto" w:fill="auto"/>
            <w:noWrap/>
            <w:vAlign w:val="bottom"/>
            <w:hideMark/>
          </w:tcPr>
          <w:p w14:paraId="479C6F54" w14:textId="2363E53A" w:rsidR="00F26E30" w:rsidRDefault="00F26E30" w:rsidP="00F26E30">
            <w:pPr>
              <w:jc w:val="right"/>
              <w:rPr>
                <w:rFonts w:ascii="Cambria" w:hAnsi="Cambria" w:cs="Arial"/>
                <w:b/>
                <w:bCs/>
                <w:color w:val="000000"/>
                <w:sz w:val="18"/>
                <w:szCs w:val="18"/>
              </w:rPr>
            </w:pPr>
            <w:r>
              <w:rPr>
                <w:rFonts w:ascii="Cambria" w:hAnsi="Cambria"/>
                <w:b/>
                <w:color w:val="000000"/>
                <w:sz w:val="18"/>
              </w:rPr>
              <w:t>(5 592 919)</w:t>
            </w:r>
          </w:p>
        </w:tc>
      </w:tr>
    </w:tbl>
    <w:p w14:paraId="766D3A1A" w14:textId="71245CF2" w:rsidR="000A40AF" w:rsidRDefault="000A40AF" w:rsidP="00667B11">
      <w:pPr>
        <w:spacing w:after="200" w:line="276" w:lineRule="auto"/>
        <w:jc w:val="both"/>
        <w:rPr>
          <w:rFonts w:ascii="Cambria" w:hAnsi="Cambria"/>
          <w:sz w:val="22"/>
          <w:szCs w:val="22"/>
        </w:rPr>
      </w:pPr>
    </w:p>
    <w:p w14:paraId="26F0EB95" w14:textId="0189A95E" w:rsidR="00E5196E" w:rsidRPr="00C17031" w:rsidRDefault="00E5196E" w:rsidP="00E5196E">
      <w:pPr>
        <w:spacing w:after="200" w:line="276" w:lineRule="auto"/>
        <w:jc w:val="both"/>
        <w:rPr>
          <w:rFonts w:ascii="Cambria" w:hAnsi="Cambria"/>
          <w:sz w:val="22"/>
          <w:szCs w:val="22"/>
        </w:rPr>
      </w:pPr>
      <w:r>
        <w:rPr>
          <w:rFonts w:ascii="Cambria" w:hAnsi="Cambria"/>
          <w:sz w:val="22"/>
        </w:rPr>
        <w:t>La direction a vérifié que la juste valeur de la trésorerie et des équivalents de trésorerie et des dépôts à court terme, des actions facilement convertibles en espèces, des créances et dettes commerciales, des découverts bancaires et des autres passifs à court terme est proche de la valeur comptable en raison des échéances à court terme de ces instruments.</w:t>
      </w:r>
    </w:p>
    <w:p w14:paraId="038A7705" w14:textId="21559AA1" w:rsidR="004F3A2F" w:rsidRDefault="00A80D3E" w:rsidP="00667B11">
      <w:pPr>
        <w:spacing w:after="200" w:line="276" w:lineRule="auto"/>
        <w:jc w:val="both"/>
        <w:rPr>
          <w:rFonts w:ascii="Cambria" w:hAnsi="Cambria"/>
          <w:sz w:val="22"/>
          <w:szCs w:val="22"/>
        </w:rPr>
      </w:pPr>
      <w:r>
        <w:rPr>
          <w:rFonts w:ascii="Cambria" w:hAnsi="Cambria"/>
          <w:sz w:val="22"/>
        </w:rPr>
        <w:t>Le tableau suivant montre la classification des actifs et passifs financiers du Groupe dans le niveau 1, le niveau 2 ou le niveau 3 de la hiérarchie des justes valeurs :</w:t>
      </w:r>
    </w:p>
    <w:tbl>
      <w:tblPr>
        <w:tblW w:w="5000" w:type="pct"/>
        <w:tblCellMar>
          <w:left w:w="70" w:type="dxa"/>
          <w:right w:w="70" w:type="dxa"/>
        </w:tblCellMar>
        <w:tblLook w:val="04A0" w:firstRow="1" w:lastRow="0" w:firstColumn="1" w:lastColumn="0" w:noHBand="0" w:noVBand="1"/>
      </w:tblPr>
      <w:tblGrid>
        <w:gridCol w:w="4739"/>
        <w:gridCol w:w="1633"/>
        <w:gridCol w:w="1633"/>
        <w:gridCol w:w="1633"/>
      </w:tblGrid>
      <w:tr w:rsidR="00D372D1" w14:paraId="3CB24A19" w14:textId="77777777" w:rsidTr="00D372D1">
        <w:trPr>
          <w:trHeight w:val="240"/>
        </w:trPr>
        <w:tc>
          <w:tcPr>
            <w:tcW w:w="2459" w:type="pct"/>
            <w:tcBorders>
              <w:top w:val="nil"/>
              <w:left w:val="nil"/>
              <w:bottom w:val="nil"/>
              <w:right w:val="nil"/>
            </w:tcBorders>
            <w:shd w:val="clear" w:color="auto" w:fill="auto"/>
            <w:noWrap/>
            <w:vAlign w:val="bottom"/>
            <w:hideMark/>
          </w:tcPr>
          <w:p w14:paraId="307A067C" w14:textId="77777777" w:rsidR="00D372D1" w:rsidRDefault="00D372D1">
            <w:pPr>
              <w:rPr>
                <w:sz w:val="20"/>
                <w:szCs w:val="20"/>
              </w:rPr>
            </w:pPr>
          </w:p>
        </w:tc>
        <w:tc>
          <w:tcPr>
            <w:tcW w:w="2541" w:type="pct"/>
            <w:gridSpan w:val="3"/>
            <w:tcBorders>
              <w:top w:val="nil"/>
              <w:left w:val="nil"/>
              <w:bottom w:val="nil"/>
              <w:right w:val="nil"/>
            </w:tcBorders>
            <w:shd w:val="clear" w:color="auto" w:fill="auto"/>
            <w:noWrap/>
            <w:vAlign w:val="bottom"/>
            <w:hideMark/>
          </w:tcPr>
          <w:p w14:paraId="545785BB" w14:textId="6BB0F5C4" w:rsidR="00D372D1" w:rsidRDefault="00F7302C">
            <w:pPr>
              <w:jc w:val="center"/>
              <w:rPr>
                <w:rFonts w:ascii="Cambria" w:hAnsi="Cambria" w:cs="Arial"/>
                <w:b/>
                <w:bCs/>
                <w:color w:val="000000"/>
                <w:sz w:val="18"/>
                <w:szCs w:val="18"/>
              </w:rPr>
            </w:pPr>
            <w:r>
              <w:rPr>
                <w:rFonts w:ascii="Cambria" w:hAnsi="Cambria"/>
                <w:b/>
                <w:color w:val="000000"/>
                <w:sz w:val="18"/>
              </w:rPr>
              <w:t>30/06/2021</w:t>
            </w:r>
          </w:p>
        </w:tc>
      </w:tr>
      <w:tr w:rsidR="00D372D1" w14:paraId="6DBCDAAF" w14:textId="77777777" w:rsidTr="00D372D1">
        <w:trPr>
          <w:trHeight w:val="975"/>
        </w:trPr>
        <w:tc>
          <w:tcPr>
            <w:tcW w:w="2459" w:type="pct"/>
            <w:tcBorders>
              <w:top w:val="single" w:sz="4" w:space="0" w:color="0070C0"/>
              <w:left w:val="nil"/>
              <w:bottom w:val="single" w:sz="8" w:space="0" w:color="0070C0"/>
              <w:right w:val="nil"/>
            </w:tcBorders>
            <w:shd w:val="clear" w:color="auto" w:fill="auto"/>
            <w:noWrap/>
            <w:vAlign w:val="bottom"/>
            <w:hideMark/>
          </w:tcPr>
          <w:p w14:paraId="1ED181E4" w14:textId="77777777" w:rsidR="00D372D1" w:rsidRDefault="00D372D1">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847" w:type="pct"/>
            <w:tcBorders>
              <w:top w:val="single" w:sz="4" w:space="0" w:color="0070C0"/>
              <w:left w:val="nil"/>
              <w:bottom w:val="single" w:sz="8" w:space="0" w:color="0070C0"/>
              <w:right w:val="nil"/>
            </w:tcBorders>
            <w:shd w:val="clear" w:color="auto" w:fill="auto"/>
            <w:vAlign w:val="bottom"/>
            <w:hideMark/>
          </w:tcPr>
          <w:p w14:paraId="6670D560" w14:textId="77777777" w:rsidR="00D372D1" w:rsidRDefault="00D372D1">
            <w:pPr>
              <w:jc w:val="center"/>
              <w:rPr>
                <w:rFonts w:ascii="Cambria" w:hAnsi="Cambria" w:cs="Arial"/>
                <w:b/>
                <w:bCs/>
                <w:color w:val="000000"/>
                <w:sz w:val="18"/>
                <w:szCs w:val="18"/>
              </w:rPr>
            </w:pPr>
            <w:r>
              <w:rPr>
                <w:rFonts w:ascii="Cambria" w:hAnsi="Cambria"/>
                <w:b/>
                <w:color w:val="000000"/>
                <w:sz w:val="18"/>
              </w:rPr>
              <w:t>Prix cotés sur des marchés actifs (niveau 1)</w:t>
            </w:r>
          </w:p>
        </w:tc>
        <w:tc>
          <w:tcPr>
            <w:tcW w:w="847" w:type="pct"/>
            <w:tcBorders>
              <w:top w:val="single" w:sz="4" w:space="0" w:color="0070C0"/>
              <w:left w:val="nil"/>
              <w:bottom w:val="single" w:sz="8" w:space="0" w:color="0070C0"/>
              <w:right w:val="nil"/>
            </w:tcBorders>
            <w:shd w:val="clear" w:color="auto" w:fill="auto"/>
            <w:vAlign w:val="bottom"/>
            <w:hideMark/>
          </w:tcPr>
          <w:p w14:paraId="11B6C401" w14:textId="77777777" w:rsidR="00D372D1" w:rsidRDefault="00D372D1">
            <w:pPr>
              <w:jc w:val="center"/>
              <w:rPr>
                <w:rFonts w:ascii="Cambria" w:hAnsi="Cambria" w:cs="Arial"/>
                <w:b/>
                <w:bCs/>
                <w:color w:val="000000"/>
                <w:sz w:val="18"/>
                <w:szCs w:val="18"/>
              </w:rPr>
            </w:pPr>
            <w:r>
              <w:rPr>
                <w:rFonts w:ascii="Cambria" w:hAnsi="Cambria"/>
                <w:b/>
                <w:color w:val="000000"/>
                <w:sz w:val="18"/>
              </w:rPr>
              <w:t>Données significatives observables (niveau 2)</w:t>
            </w:r>
          </w:p>
        </w:tc>
        <w:tc>
          <w:tcPr>
            <w:tcW w:w="847" w:type="pct"/>
            <w:tcBorders>
              <w:top w:val="single" w:sz="4" w:space="0" w:color="0070C0"/>
              <w:left w:val="nil"/>
              <w:bottom w:val="single" w:sz="8" w:space="0" w:color="0070C0"/>
              <w:right w:val="nil"/>
            </w:tcBorders>
            <w:shd w:val="clear" w:color="auto" w:fill="auto"/>
            <w:vAlign w:val="bottom"/>
            <w:hideMark/>
          </w:tcPr>
          <w:p w14:paraId="2B8A2512" w14:textId="77777777" w:rsidR="00D372D1" w:rsidRDefault="00D372D1">
            <w:pPr>
              <w:jc w:val="center"/>
              <w:rPr>
                <w:rFonts w:ascii="Cambria" w:hAnsi="Cambria" w:cs="Arial"/>
                <w:b/>
                <w:bCs/>
                <w:color w:val="000000"/>
                <w:sz w:val="18"/>
                <w:szCs w:val="18"/>
              </w:rPr>
            </w:pPr>
            <w:r>
              <w:rPr>
                <w:rFonts w:ascii="Cambria" w:hAnsi="Cambria"/>
                <w:b/>
                <w:color w:val="000000"/>
                <w:sz w:val="18"/>
              </w:rPr>
              <w:t>Données non observables significatives (niveau 3)</w:t>
            </w:r>
          </w:p>
        </w:tc>
      </w:tr>
      <w:tr w:rsidR="00D372D1" w14:paraId="2C66207D" w14:textId="77777777" w:rsidTr="00D372D1">
        <w:trPr>
          <w:trHeight w:val="240"/>
        </w:trPr>
        <w:tc>
          <w:tcPr>
            <w:tcW w:w="2459" w:type="pct"/>
            <w:tcBorders>
              <w:top w:val="nil"/>
              <w:left w:val="nil"/>
              <w:bottom w:val="nil"/>
              <w:right w:val="nil"/>
            </w:tcBorders>
            <w:shd w:val="clear" w:color="auto" w:fill="auto"/>
            <w:noWrap/>
            <w:vAlign w:val="bottom"/>
            <w:hideMark/>
          </w:tcPr>
          <w:p w14:paraId="011E5FCB" w14:textId="77777777" w:rsidR="00D372D1" w:rsidRDefault="00D372D1">
            <w:pPr>
              <w:jc w:val="center"/>
              <w:rPr>
                <w:rFonts w:ascii="Cambria" w:hAnsi="Cambria" w:cs="Arial"/>
                <w:b/>
                <w:bCs/>
                <w:color w:val="000000"/>
                <w:sz w:val="18"/>
                <w:szCs w:val="18"/>
              </w:rPr>
            </w:pPr>
          </w:p>
        </w:tc>
        <w:tc>
          <w:tcPr>
            <w:tcW w:w="847" w:type="pct"/>
            <w:tcBorders>
              <w:top w:val="nil"/>
              <w:left w:val="nil"/>
              <w:bottom w:val="nil"/>
              <w:right w:val="nil"/>
            </w:tcBorders>
            <w:shd w:val="clear" w:color="auto" w:fill="auto"/>
            <w:noWrap/>
            <w:vAlign w:val="bottom"/>
            <w:hideMark/>
          </w:tcPr>
          <w:p w14:paraId="054D97BC" w14:textId="77777777" w:rsidR="00D372D1" w:rsidRDefault="00D372D1">
            <w:pPr>
              <w:rPr>
                <w:sz w:val="20"/>
                <w:szCs w:val="20"/>
              </w:rPr>
            </w:pPr>
          </w:p>
        </w:tc>
        <w:tc>
          <w:tcPr>
            <w:tcW w:w="847" w:type="pct"/>
            <w:tcBorders>
              <w:top w:val="nil"/>
              <w:left w:val="nil"/>
              <w:bottom w:val="nil"/>
              <w:right w:val="nil"/>
            </w:tcBorders>
            <w:shd w:val="clear" w:color="auto" w:fill="auto"/>
            <w:noWrap/>
            <w:vAlign w:val="bottom"/>
            <w:hideMark/>
          </w:tcPr>
          <w:p w14:paraId="0CC2C87D" w14:textId="77777777" w:rsidR="00D372D1" w:rsidRDefault="00D372D1">
            <w:pPr>
              <w:rPr>
                <w:sz w:val="20"/>
                <w:szCs w:val="20"/>
              </w:rPr>
            </w:pPr>
          </w:p>
        </w:tc>
        <w:tc>
          <w:tcPr>
            <w:tcW w:w="847" w:type="pct"/>
            <w:tcBorders>
              <w:top w:val="nil"/>
              <w:left w:val="nil"/>
              <w:bottom w:val="nil"/>
              <w:right w:val="nil"/>
            </w:tcBorders>
            <w:shd w:val="clear" w:color="auto" w:fill="auto"/>
            <w:noWrap/>
            <w:vAlign w:val="bottom"/>
            <w:hideMark/>
          </w:tcPr>
          <w:p w14:paraId="2792236F" w14:textId="77777777" w:rsidR="00D372D1" w:rsidRDefault="00D372D1">
            <w:pPr>
              <w:rPr>
                <w:sz w:val="20"/>
                <w:szCs w:val="20"/>
              </w:rPr>
            </w:pPr>
          </w:p>
        </w:tc>
      </w:tr>
      <w:tr w:rsidR="00D372D1" w14:paraId="55535D50" w14:textId="77777777" w:rsidTr="00D372D1">
        <w:trPr>
          <w:trHeight w:val="240"/>
        </w:trPr>
        <w:tc>
          <w:tcPr>
            <w:tcW w:w="3306" w:type="pct"/>
            <w:gridSpan w:val="2"/>
            <w:tcBorders>
              <w:top w:val="nil"/>
              <w:left w:val="nil"/>
              <w:bottom w:val="nil"/>
              <w:right w:val="nil"/>
            </w:tcBorders>
            <w:shd w:val="clear" w:color="auto" w:fill="auto"/>
            <w:noWrap/>
            <w:vAlign w:val="bottom"/>
            <w:hideMark/>
          </w:tcPr>
          <w:p w14:paraId="64F92C2E" w14:textId="77777777" w:rsidR="00D372D1" w:rsidRDefault="00D372D1">
            <w:pPr>
              <w:rPr>
                <w:rFonts w:ascii="Cambria" w:hAnsi="Cambria" w:cs="Arial"/>
                <w:b/>
                <w:bCs/>
                <w:color w:val="000000"/>
                <w:sz w:val="18"/>
                <w:szCs w:val="18"/>
              </w:rPr>
            </w:pPr>
            <w:r>
              <w:rPr>
                <w:rFonts w:ascii="Cambria" w:hAnsi="Cambria"/>
                <w:b/>
                <w:color w:val="000000"/>
                <w:sz w:val="18"/>
              </w:rPr>
              <w:t>Passifs financiers pour lesquels la juste valeur est indiquée</w:t>
            </w:r>
          </w:p>
        </w:tc>
        <w:tc>
          <w:tcPr>
            <w:tcW w:w="847" w:type="pct"/>
            <w:tcBorders>
              <w:top w:val="nil"/>
              <w:left w:val="nil"/>
              <w:bottom w:val="nil"/>
              <w:right w:val="nil"/>
            </w:tcBorders>
            <w:shd w:val="clear" w:color="auto" w:fill="auto"/>
            <w:noWrap/>
            <w:vAlign w:val="bottom"/>
            <w:hideMark/>
          </w:tcPr>
          <w:p w14:paraId="4620D992" w14:textId="77777777" w:rsidR="00D372D1" w:rsidRDefault="00D372D1">
            <w:pPr>
              <w:rPr>
                <w:rFonts w:ascii="Cambria" w:hAnsi="Cambria" w:cs="Arial"/>
                <w:b/>
                <w:bCs/>
                <w:color w:val="000000"/>
                <w:sz w:val="18"/>
                <w:szCs w:val="18"/>
              </w:rPr>
            </w:pPr>
          </w:p>
        </w:tc>
        <w:tc>
          <w:tcPr>
            <w:tcW w:w="847" w:type="pct"/>
            <w:tcBorders>
              <w:top w:val="nil"/>
              <w:left w:val="nil"/>
              <w:bottom w:val="nil"/>
              <w:right w:val="nil"/>
            </w:tcBorders>
            <w:shd w:val="clear" w:color="auto" w:fill="auto"/>
            <w:noWrap/>
            <w:vAlign w:val="bottom"/>
            <w:hideMark/>
          </w:tcPr>
          <w:p w14:paraId="75478F5A" w14:textId="77777777" w:rsidR="00D372D1" w:rsidRDefault="00D372D1">
            <w:pPr>
              <w:rPr>
                <w:sz w:val="20"/>
                <w:szCs w:val="20"/>
              </w:rPr>
            </w:pPr>
          </w:p>
        </w:tc>
      </w:tr>
      <w:tr w:rsidR="00D372D1" w14:paraId="56384F70" w14:textId="77777777" w:rsidTr="00D372D1">
        <w:trPr>
          <w:trHeight w:val="240"/>
        </w:trPr>
        <w:tc>
          <w:tcPr>
            <w:tcW w:w="2459" w:type="pct"/>
            <w:tcBorders>
              <w:top w:val="nil"/>
              <w:left w:val="nil"/>
              <w:bottom w:val="nil"/>
              <w:right w:val="nil"/>
            </w:tcBorders>
            <w:shd w:val="clear" w:color="auto" w:fill="auto"/>
            <w:noWrap/>
            <w:vAlign w:val="bottom"/>
            <w:hideMark/>
          </w:tcPr>
          <w:p w14:paraId="7A2FBC5F" w14:textId="77777777" w:rsidR="00D372D1" w:rsidRDefault="00D372D1">
            <w:pPr>
              <w:rPr>
                <w:rFonts w:ascii="Cambria" w:hAnsi="Cambria" w:cs="Arial"/>
                <w:color w:val="000000"/>
                <w:sz w:val="18"/>
                <w:szCs w:val="18"/>
              </w:rPr>
            </w:pPr>
            <w:r>
              <w:rPr>
                <w:rFonts w:ascii="Cambria" w:hAnsi="Cambria"/>
                <w:color w:val="000000"/>
                <w:sz w:val="18"/>
              </w:rPr>
              <w:t>Prêt de la BCC</w:t>
            </w:r>
          </w:p>
        </w:tc>
        <w:tc>
          <w:tcPr>
            <w:tcW w:w="847" w:type="pct"/>
            <w:tcBorders>
              <w:top w:val="nil"/>
              <w:left w:val="nil"/>
              <w:bottom w:val="nil"/>
              <w:right w:val="nil"/>
            </w:tcBorders>
            <w:shd w:val="clear" w:color="auto" w:fill="auto"/>
            <w:noWrap/>
            <w:vAlign w:val="bottom"/>
            <w:hideMark/>
          </w:tcPr>
          <w:p w14:paraId="145A8173" w14:textId="77777777" w:rsidR="00D372D1" w:rsidRDefault="00D372D1">
            <w:pPr>
              <w:rPr>
                <w:rFonts w:ascii="Cambria" w:hAnsi="Cambria" w:cs="Arial"/>
                <w:color w:val="000000"/>
                <w:sz w:val="18"/>
                <w:szCs w:val="18"/>
              </w:rPr>
            </w:pPr>
            <w:r>
              <w:rPr>
                <w:rFonts w:ascii="Cambria" w:hAnsi="Cambria"/>
                <w:color w:val="000000"/>
                <w:sz w:val="18"/>
              </w:rPr>
              <w:t xml:space="preserve">                          -    </w:t>
            </w:r>
          </w:p>
        </w:tc>
        <w:tc>
          <w:tcPr>
            <w:tcW w:w="847" w:type="pct"/>
            <w:tcBorders>
              <w:top w:val="nil"/>
              <w:left w:val="nil"/>
              <w:bottom w:val="nil"/>
              <w:right w:val="nil"/>
            </w:tcBorders>
            <w:shd w:val="clear" w:color="auto" w:fill="auto"/>
            <w:noWrap/>
            <w:vAlign w:val="bottom"/>
            <w:hideMark/>
          </w:tcPr>
          <w:p w14:paraId="6F24D2D8" w14:textId="77777777" w:rsidR="00D372D1" w:rsidRDefault="00D372D1">
            <w:pPr>
              <w:jc w:val="right"/>
              <w:rPr>
                <w:rFonts w:ascii="Cambria" w:hAnsi="Cambria" w:cs="Arial"/>
                <w:color w:val="000000"/>
                <w:sz w:val="18"/>
                <w:szCs w:val="18"/>
              </w:rPr>
            </w:pPr>
            <w:r>
              <w:rPr>
                <w:rFonts w:ascii="Cambria" w:hAnsi="Cambria"/>
                <w:color w:val="000000"/>
                <w:sz w:val="18"/>
              </w:rPr>
              <w:t>123 453</w:t>
            </w:r>
          </w:p>
        </w:tc>
        <w:tc>
          <w:tcPr>
            <w:tcW w:w="847" w:type="pct"/>
            <w:tcBorders>
              <w:top w:val="nil"/>
              <w:left w:val="nil"/>
              <w:bottom w:val="nil"/>
              <w:right w:val="nil"/>
            </w:tcBorders>
            <w:shd w:val="clear" w:color="auto" w:fill="auto"/>
            <w:noWrap/>
            <w:vAlign w:val="bottom"/>
            <w:hideMark/>
          </w:tcPr>
          <w:p w14:paraId="72B99FE7" w14:textId="77777777" w:rsidR="00D372D1" w:rsidRDefault="00D372D1">
            <w:pPr>
              <w:rPr>
                <w:rFonts w:ascii="Cambria" w:hAnsi="Cambria" w:cs="Arial"/>
                <w:color w:val="000000"/>
                <w:sz w:val="18"/>
                <w:szCs w:val="18"/>
              </w:rPr>
            </w:pPr>
            <w:r>
              <w:rPr>
                <w:rFonts w:ascii="Cambria" w:hAnsi="Cambria"/>
                <w:color w:val="000000"/>
                <w:sz w:val="18"/>
              </w:rPr>
              <w:t xml:space="preserve">                          -    </w:t>
            </w:r>
          </w:p>
        </w:tc>
      </w:tr>
      <w:tr w:rsidR="00D372D1" w14:paraId="414DCC27" w14:textId="77777777" w:rsidTr="00D372D1">
        <w:trPr>
          <w:trHeight w:val="240"/>
        </w:trPr>
        <w:tc>
          <w:tcPr>
            <w:tcW w:w="2459" w:type="pct"/>
            <w:tcBorders>
              <w:top w:val="nil"/>
              <w:left w:val="nil"/>
              <w:bottom w:val="nil"/>
              <w:right w:val="nil"/>
            </w:tcBorders>
            <w:shd w:val="clear" w:color="auto" w:fill="auto"/>
            <w:noWrap/>
            <w:vAlign w:val="bottom"/>
            <w:hideMark/>
          </w:tcPr>
          <w:p w14:paraId="494C5287" w14:textId="77777777" w:rsidR="00D372D1" w:rsidRDefault="00D372D1">
            <w:pPr>
              <w:rPr>
                <w:rFonts w:ascii="Cambria" w:hAnsi="Cambria" w:cs="Arial"/>
                <w:color w:val="000000"/>
                <w:sz w:val="18"/>
                <w:szCs w:val="18"/>
              </w:rPr>
            </w:pPr>
            <w:r>
              <w:rPr>
                <w:rFonts w:ascii="Cambria" w:hAnsi="Cambria"/>
                <w:color w:val="000000"/>
                <w:sz w:val="18"/>
              </w:rPr>
              <w:t>Prêt de la BPB</w:t>
            </w:r>
          </w:p>
        </w:tc>
        <w:tc>
          <w:tcPr>
            <w:tcW w:w="847" w:type="pct"/>
            <w:tcBorders>
              <w:top w:val="nil"/>
              <w:left w:val="nil"/>
              <w:bottom w:val="nil"/>
              <w:right w:val="nil"/>
            </w:tcBorders>
            <w:shd w:val="clear" w:color="auto" w:fill="auto"/>
            <w:noWrap/>
            <w:vAlign w:val="bottom"/>
            <w:hideMark/>
          </w:tcPr>
          <w:p w14:paraId="1006F2E4" w14:textId="77777777" w:rsidR="00D372D1" w:rsidRDefault="00D372D1">
            <w:pPr>
              <w:rPr>
                <w:rFonts w:ascii="Cambria" w:hAnsi="Cambria" w:cs="Arial"/>
                <w:color w:val="000000"/>
                <w:sz w:val="18"/>
                <w:szCs w:val="18"/>
              </w:rPr>
            </w:pPr>
            <w:r>
              <w:rPr>
                <w:rFonts w:ascii="Cambria" w:hAnsi="Cambria"/>
                <w:color w:val="000000"/>
                <w:sz w:val="18"/>
              </w:rPr>
              <w:t xml:space="preserve">                          -    </w:t>
            </w:r>
          </w:p>
        </w:tc>
        <w:tc>
          <w:tcPr>
            <w:tcW w:w="847" w:type="pct"/>
            <w:tcBorders>
              <w:top w:val="nil"/>
              <w:left w:val="nil"/>
              <w:bottom w:val="nil"/>
              <w:right w:val="nil"/>
            </w:tcBorders>
            <w:shd w:val="clear" w:color="auto" w:fill="auto"/>
            <w:noWrap/>
            <w:vAlign w:val="bottom"/>
            <w:hideMark/>
          </w:tcPr>
          <w:p w14:paraId="75A0D33E" w14:textId="77777777" w:rsidR="00D372D1" w:rsidRDefault="00D372D1">
            <w:pPr>
              <w:jc w:val="right"/>
              <w:rPr>
                <w:rFonts w:ascii="Cambria" w:hAnsi="Cambria" w:cs="Arial"/>
                <w:color w:val="000000"/>
                <w:sz w:val="18"/>
                <w:szCs w:val="18"/>
              </w:rPr>
            </w:pPr>
            <w:r>
              <w:rPr>
                <w:rFonts w:ascii="Cambria" w:hAnsi="Cambria"/>
                <w:color w:val="000000"/>
                <w:sz w:val="18"/>
              </w:rPr>
              <w:t>467 842</w:t>
            </w:r>
          </w:p>
        </w:tc>
        <w:tc>
          <w:tcPr>
            <w:tcW w:w="847" w:type="pct"/>
            <w:tcBorders>
              <w:top w:val="nil"/>
              <w:left w:val="nil"/>
              <w:bottom w:val="nil"/>
              <w:right w:val="nil"/>
            </w:tcBorders>
            <w:shd w:val="clear" w:color="auto" w:fill="auto"/>
            <w:noWrap/>
            <w:vAlign w:val="bottom"/>
            <w:hideMark/>
          </w:tcPr>
          <w:p w14:paraId="35D4D721" w14:textId="77777777" w:rsidR="00D372D1" w:rsidRDefault="00D372D1">
            <w:pPr>
              <w:rPr>
                <w:rFonts w:ascii="Cambria" w:hAnsi="Cambria" w:cs="Arial"/>
                <w:color w:val="000000"/>
                <w:sz w:val="18"/>
                <w:szCs w:val="18"/>
              </w:rPr>
            </w:pPr>
            <w:r>
              <w:rPr>
                <w:rFonts w:ascii="Cambria" w:hAnsi="Cambria"/>
                <w:color w:val="000000"/>
                <w:sz w:val="18"/>
              </w:rPr>
              <w:t xml:space="preserve">                          -    </w:t>
            </w:r>
          </w:p>
        </w:tc>
      </w:tr>
      <w:tr w:rsidR="00D372D1" w14:paraId="11E14C95" w14:textId="77777777" w:rsidTr="00D372D1">
        <w:trPr>
          <w:trHeight w:val="240"/>
        </w:trPr>
        <w:tc>
          <w:tcPr>
            <w:tcW w:w="2459" w:type="pct"/>
            <w:tcBorders>
              <w:top w:val="nil"/>
              <w:left w:val="nil"/>
              <w:bottom w:val="nil"/>
              <w:right w:val="nil"/>
            </w:tcBorders>
            <w:shd w:val="clear" w:color="auto" w:fill="auto"/>
            <w:noWrap/>
            <w:vAlign w:val="bottom"/>
            <w:hideMark/>
          </w:tcPr>
          <w:p w14:paraId="609DD2BA" w14:textId="77777777" w:rsidR="00D372D1" w:rsidRDefault="00D372D1">
            <w:pPr>
              <w:rPr>
                <w:rFonts w:ascii="Cambria" w:hAnsi="Cambria" w:cs="Arial"/>
                <w:color w:val="000000"/>
                <w:sz w:val="18"/>
                <w:szCs w:val="18"/>
              </w:rPr>
            </w:pPr>
            <w:r>
              <w:rPr>
                <w:rFonts w:ascii="Cambria" w:hAnsi="Cambria"/>
                <w:color w:val="000000"/>
                <w:sz w:val="18"/>
              </w:rPr>
              <w:t xml:space="preserve">Prêt de la </w:t>
            </w:r>
            <w:proofErr w:type="spellStart"/>
            <w:r>
              <w:rPr>
                <w:rFonts w:ascii="Cambria" w:hAnsi="Cambria"/>
                <w:color w:val="000000"/>
                <w:sz w:val="18"/>
              </w:rPr>
              <w:t>Sanpaolo</w:t>
            </w:r>
            <w:proofErr w:type="spellEnd"/>
          </w:p>
        </w:tc>
        <w:tc>
          <w:tcPr>
            <w:tcW w:w="847" w:type="pct"/>
            <w:tcBorders>
              <w:top w:val="nil"/>
              <w:left w:val="nil"/>
              <w:bottom w:val="nil"/>
              <w:right w:val="nil"/>
            </w:tcBorders>
            <w:shd w:val="clear" w:color="auto" w:fill="auto"/>
            <w:noWrap/>
            <w:vAlign w:val="bottom"/>
            <w:hideMark/>
          </w:tcPr>
          <w:p w14:paraId="21AA0C41" w14:textId="77777777" w:rsidR="00D372D1" w:rsidRDefault="00D372D1">
            <w:pPr>
              <w:rPr>
                <w:rFonts w:ascii="Cambria" w:hAnsi="Cambria" w:cs="Arial"/>
                <w:color w:val="000000"/>
                <w:sz w:val="18"/>
                <w:szCs w:val="18"/>
              </w:rPr>
            </w:pPr>
            <w:r>
              <w:rPr>
                <w:rFonts w:ascii="Cambria" w:hAnsi="Cambria"/>
                <w:color w:val="000000"/>
                <w:sz w:val="18"/>
              </w:rPr>
              <w:t xml:space="preserve">                          -    </w:t>
            </w:r>
          </w:p>
        </w:tc>
        <w:tc>
          <w:tcPr>
            <w:tcW w:w="847" w:type="pct"/>
            <w:tcBorders>
              <w:top w:val="nil"/>
              <w:left w:val="nil"/>
              <w:bottom w:val="nil"/>
              <w:right w:val="nil"/>
            </w:tcBorders>
            <w:shd w:val="clear" w:color="auto" w:fill="auto"/>
            <w:noWrap/>
            <w:vAlign w:val="bottom"/>
            <w:hideMark/>
          </w:tcPr>
          <w:p w14:paraId="13A4D58F" w14:textId="044ED3E1" w:rsidR="00D372D1" w:rsidRDefault="007A5C5B">
            <w:pPr>
              <w:jc w:val="right"/>
              <w:rPr>
                <w:rFonts w:ascii="Cambria" w:hAnsi="Cambria" w:cs="Arial"/>
                <w:color w:val="000000"/>
                <w:sz w:val="18"/>
                <w:szCs w:val="18"/>
              </w:rPr>
            </w:pPr>
            <w:r>
              <w:rPr>
                <w:rFonts w:ascii="Cambria" w:hAnsi="Cambria"/>
                <w:color w:val="000000"/>
                <w:sz w:val="18"/>
              </w:rPr>
              <w:t>-</w:t>
            </w:r>
          </w:p>
        </w:tc>
        <w:tc>
          <w:tcPr>
            <w:tcW w:w="847" w:type="pct"/>
            <w:tcBorders>
              <w:top w:val="nil"/>
              <w:left w:val="nil"/>
              <w:bottom w:val="nil"/>
              <w:right w:val="nil"/>
            </w:tcBorders>
            <w:shd w:val="clear" w:color="auto" w:fill="auto"/>
            <w:noWrap/>
            <w:vAlign w:val="bottom"/>
            <w:hideMark/>
          </w:tcPr>
          <w:p w14:paraId="35A18E6A" w14:textId="77777777" w:rsidR="00D372D1" w:rsidRDefault="00D372D1">
            <w:pPr>
              <w:rPr>
                <w:rFonts w:ascii="Cambria" w:hAnsi="Cambria" w:cs="Arial"/>
                <w:color w:val="000000"/>
                <w:sz w:val="18"/>
                <w:szCs w:val="18"/>
              </w:rPr>
            </w:pPr>
            <w:r>
              <w:rPr>
                <w:rFonts w:ascii="Cambria" w:hAnsi="Cambria"/>
                <w:color w:val="000000"/>
                <w:sz w:val="18"/>
              </w:rPr>
              <w:t xml:space="preserve">                          -    </w:t>
            </w:r>
          </w:p>
        </w:tc>
      </w:tr>
      <w:tr w:rsidR="00D372D1" w14:paraId="2E2A6D9B" w14:textId="77777777" w:rsidTr="00D372D1">
        <w:trPr>
          <w:trHeight w:val="240"/>
        </w:trPr>
        <w:tc>
          <w:tcPr>
            <w:tcW w:w="2459" w:type="pct"/>
            <w:tcBorders>
              <w:top w:val="nil"/>
              <w:left w:val="nil"/>
              <w:bottom w:val="nil"/>
              <w:right w:val="nil"/>
            </w:tcBorders>
            <w:shd w:val="clear" w:color="auto" w:fill="auto"/>
            <w:noWrap/>
            <w:vAlign w:val="bottom"/>
            <w:hideMark/>
          </w:tcPr>
          <w:p w14:paraId="0B439BF7" w14:textId="77777777" w:rsidR="00D372D1" w:rsidRDefault="00D372D1">
            <w:pPr>
              <w:rPr>
                <w:rFonts w:ascii="Cambria" w:hAnsi="Cambria" w:cs="Arial"/>
                <w:color w:val="000000"/>
                <w:sz w:val="18"/>
                <w:szCs w:val="18"/>
              </w:rPr>
            </w:pPr>
            <w:r>
              <w:rPr>
                <w:rFonts w:ascii="Cambria" w:hAnsi="Cambria"/>
                <w:color w:val="000000"/>
                <w:sz w:val="18"/>
              </w:rPr>
              <w:t xml:space="preserve">Prêt de la BCC 2 </w:t>
            </w:r>
          </w:p>
        </w:tc>
        <w:tc>
          <w:tcPr>
            <w:tcW w:w="847" w:type="pct"/>
            <w:tcBorders>
              <w:top w:val="nil"/>
              <w:left w:val="nil"/>
              <w:bottom w:val="nil"/>
              <w:right w:val="nil"/>
            </w:tcBorders>
            <w:shd w:val="clear" w:color="auto" w:fill="auto"/>
            <w:noWrap/>
            <w:vAlign w:val="bottom"/>
            <w:hideMark/>
          </w:tcPr>
          <w:p w14:paraId="3BC3102C" w14:textId="77777777" w:rsidR="00D372D1" w:rsidRDefault="00D372D1">
            <w:pPr>
              <w:rPr>
                <w:rFonts w:ascii="Cambria" w:hAnsi="Cambria" w:cs="Arial"/>
                <w:color w:val="000000"/>
                <w:sz w:val="18"/>
                <w:szCs w:val="18"/>
              </w:rPr>
            </w:pPr>
            <w:r>
              <w:rPr>
                <w:rFonts w:ascii="Cambria" w:hAnsi="Cambria"/>
                <w:color w:val="000000"/>
                <w:sz w:val="18"/>
              </w:rPr>
              <w:t xml:space="preserve">                          -    </w:t>
            </w:r>
          </w:p>
        </w:tc>
        <w:tc>
          <w:tcPr>
            <w:tcW w:w="847" w:type="pct"/>
            <w:tcBorders>
              <w:top w:val="nil"/>
              <w:left w:val="nil"/>
              <w:bottom w:val="nil"/>
              <w:right w:val="nil"/>
            </w:tcBorders>
            <w:shd w:val="clear" w:color="auto" w:fill="auto"/>
            <w:noWrap/>
            <w:vAlign w:val="bottom"/>
            <w:hideMark/>
          </w:tcPr>
          <w:p w14:paraId="45503FBA" w14:textId="77777777" w:rsidR="00D372D1" w:rsidRDefault="00D372D1">
            <w:pPr>
              <w:jc w:val="right"/>
              <w:rPr>
                <w:rFonts w:ascii="Cambria" w:hAnsi="Cambria" w:cs="Arial"/>
                <w:color w:val="000000"/>
                <w:sz w:val="18"/>
                <w:szCs w:val="18"/>
              </w:rPr>
            </w:pPr>
            <w:r>
              <w:rPr>
                <w:rFonts w:ascii="Cambria" w:hAnsi="Cambria"/>
                <w:color w:val="000000"/>
                <w:sz w:val="18"/>
              </w:rPr>
              <w:t>653 687</w:t>
            </w:r>
          </w:p>
        </w:tc>
        <w:tc>
          <w:tcPr>
            <w:tcW w:w="847" w:type="pct"/>
            <w:tcBorders>
              <w:top w:val="nil"/>
              <w:left w:val="nil"/>
              <w:bottom w:val="nil"/>
              <w:right w:val="nil"/>
            </w:tcBorders>
            <w:shd w:val="clear" w:color="auto" w:fill="auto"/>
            <w:noWrap/>
            <w:vAlign w:val="bottom"/>
            <w:hideMark/>
          </w:tcPr>
          <w:p w14:paraId="32A990F2" w14:textId="77777777" w:rsidR="00D372D1" w:rsidRDefault="00D372D1">
            <w:pPr>
              <w:rPr>
                <w:rFonts w:ascii="Cambria" w:hAnsi="Cambria" w:cs="Arial"/>
                <w:color w:val="000000"/>
                <w:sz w:val="18"/>
                <w:szCs w:val="18"/>
              </w:rPr>
            </w:pPr>
            <w:r>
              <w:rPr>
                <w:rFonts w:ascii="Cambria" w:hAnsi="Cambria"/>
                <w:color w:val="000000"/>
                <w:sz w:val="18"/>
              </w:rPr>
              <w:t xml:space="preserve">                          -    </w:t>
            </w:r>
          </w:p>
        </w:tc>
      </w:tr>
      <w:tr w:rsidR="00D372D1" w14:paraId="4C9EC6DE" w14:textId="77777777" w:rsidTr="00D372D1">
        <w:trPr>
          <w:trHeight w:val="240"/>
        </w:trPr>
        <w:tc>
          <w:tcPr>
            <w:tcW w:w="2459" w:type="pct"/>
            <w:tcBorders>
              <w:top w:val="nil"/>
              <w:left w:val="nil"/>
              <w:bottom w:val="nil"/>
              <w:right w:val="nil"/>
            </w:tcBorders>
            <w:shd w:val="clear" w:color="auto" w:fill="auto"/>
            <w:noWrap/>
            <w:vAlign w:val="bottom"/>
            <w:hideMark/>
          </w:tcPr>
          <w:p w14:paraId="2CBB970C" w14:textId="77777777" w:rsidR="00D372D1" w:rsidRDefault="00D372D1">
            <w:pPr>
              <w:rPr>
                <w:rFonts w:ascii="Cambria" w:hAnsi="Cambria" w:cs="Arial"/>
                <w:color w:val="000000"/>
                <w:sz w:val="18"/>
                <w:szCs w:val="18"/>
              </w:rPr>
            </w:pPr>
            <w:r>
              <w:rPr>
                <w:rFonts w:ascii="Cambria" w:hAnsi="Cambria"/>
                <w:color w:val="000000"/>
                <w:sz w:val="18"/>
              </w:rPr>
              <w:t xml:space="preserve">Prêt de la </w:t>
            </w:r>
            <w:proofErr w:type="spellStart"/>
            <w:r>
              <w:rPr>
                <w:rFonts w:ascii="Cambria" w:hAnsi="Cambria"/>
                <w:color w:val="000000"/>
                <w:sz w:val="18"/>
              </w:rPr>
              <w:t>Sanpaolo</w:t>
            </w:r>
            <w:proofErr w:type="spellEnd"/>
            <w:r>
              <w:rPr>
                <w:rFonts w:ascii="Cambria" w:hAnsi="Cambria"/>
                <w:color w:val="000000"/>
                <w:sz w:val="18"/>
              </w:rPr>
              <w:t xml:space="preserve"> 2 </w:t>
            </w:r>
          </w:p>
        </w:tc>
        <w:tc>
          <w:tcPr>
            <w:tcW w:w="847" w:type="pct"/>
            <w:tcBorders>
              <w:top w:val="nil"/>
              <w:left w:val="nil"/>
              <w:bottom w:val="nil"/>
              <w:right w:val="nil"/>
            </w:tcBorders>
            <w:shd w:val="clear" w:color="auto" w:fill="auto"/>
            <w:noWrap/>
            <w:vAlign w:val="bottom"/>
            <w:hideMark/>
          </w:tcPr>
          <w:p w14:paraId="339E62A1" w14:textId="77777777" w:rsidR="00D372D1" w:rsidRDefault="00D372D1">
            <w:pPr>
              <w:rPr>
                <w:rFonts w:ascii="Cambria" w:hAnsi="Cambria" w:cs="Arial"/>
                <w:color w:val="000000"/>
                <w:sz w:val="18"/>
                <w:szCs w:val="18"/>
              </w:rPr>
            </w:pPr>
            <w:r>
              <w:rPr>
                <w:rFonts w:ascii="Cambria" w:hAnsi="Cambria"/>
                <w:color w:val="000000"/>
                <w:sz w:val="18"/>
              </w:rPr>
              <w:t xml:space="preserve">                          -    </w:t>
            </w:r>
          </w:p>
        </w:tc>
        <w:tc>
          <w:tcPr>
            <w:tcW w:w="847" w:type="pct"/>
            <w:tcBorders>
              <w:top w:val="nil"/>
              <w:left w:val="nil"/>
              <w:bottom w:val="nil"/>
              <w:right w:val="nil"/>
            </w:tcBorders>
            <w:shd w:val="clear" w:color="auto" w:fill="auto"/>
            <w:noWrap/>
            <w:vAlign w:val="bottom"/>
            <w:hideMark/>
          </w:tcPr>
          <w:p w14:paraId="5E3A87F6" w14:textId="77777777" w:rsidR="00D372D1" w:rsidRDefault="00D372D1">
            <w:pPr>
              <w:jc w:val="right"/>
              <w:rPr>
                <w:rFonts w:ascii="Cambria" w:hAnsi="Cambria" w:cs="Arial"/>
                <w:color w:val="000000"/>
                <w:sz w:val="18"/>
                <w:szCs w:val="18"/>
              </w:rPr>
            </w:pPr>
            <w:r>
              <w:rPr>
                <w:rFonts w:ascii="Cambria" w:hAnsi="Cambria"/>
                <w:color w:val="000000"/>
                <w:sz w:val="18"/>
              </w:rPr>
              <w:t>958 666</w:t>
            </w:r>
          </w:p>
        </w:tc>
        <w:tc>
          <w:tcPr>
            <w:tcW w:w="847" w:type="pct"/>
            <w:tcBorders>
              <w:top w:val="nil"/>
              <w:left w:val="nil"/>
              <w:bottom w:val="nil"/>
              <w:right w:val="nil"/>
            </w:tcBorders>
            <w:shd w:val="clear" w:color="auto" w:fill="auto"/>
            <w:noWrap/>
            <w:vAlign w:val="bottom"/>
            <w:hideMark/>
          </w:tcPr>
          <w:p w14:paraId="067EE188" w14:textId="77777777" w:rsidR="00D372D1" w:rsidRDefault="00D372D1">
            <w:pPr>
              <w:rPr>
                <w:rFonts w:ascii="Cambria" w:hAnsi="Cambria" w:cs="Arial"/>
                <w:color w:val="000000"/>
                <w:sz w:val="18"/>
                <w:szCs w:val="18"/>
              </w:rPr>
            </w:pPr>
            <w:r>
              <w:rPr>
                <w:rFonts w:ascii="Cambria" w:hAnsi="Cambria"/>
                <w:color w:val="000000"/>
                <w:sz w:val="18"/>
              </w:rPr>
              <w:t xml:space="preserve">                          -    </w:t>
            </w:r>
          </w:p>
        </w:tc>
      </w:tr>
      <w:tr w:rsidR="00D372D1" w14:paraId="68DC4847" w14:textId="77777777" w:rsidTr="00D372D1">
        <w:trPr>
          <w:trHeight w:val="240"/>
        </w:trPr>
        <w:tc>
          <w:tcPr>
            <w:tcW w:w="2459" w:type="pct"/>
            <w:tcBorders>
              <w:top w:val="nil"/>
              <w:left w:val="nil"/>
              <w:bottom w:val="nil"/>
              <w:right w:val="nil"/>
            </w:tcBorders>
            <w:shd w:val="clear" w:color="auto" w:fill="auto"/>
            <w:noWrap/>
            <w:vAlign w:val="bottom"/>
            <w:hideMark/>
          </w:tcPr>
          <w:p w14:paraId="02400FCA" w14:textId="77777777" w:rsidR="00D372D1" w:rsidRDefault="00D372D1">
            <w:pPr>
              <w:rPr>
                <w:rFonts w:ascii="Cambria" w:hAnsi="Cambria" w:cs="Arial"/>
                <w:color w:val="000000"/>
                <w:sz w:val="18"/>
                <w:szCs w:val="18"/>
              </w:rPr>
            </w:pPr>
            <w:r>
              <w:rPr>
                <w:rFonts w:ascii="Cambria" w:hAnsi="Cambria"/>
                <w:color w:val="000000"/>
                <w:sz w:val="18"/>
              </w:rPr>
              <w:t>Prêt de la BPM</w:t>
            </w:r>
          </w:p>
        </w:tc>
        <w:tc>
          <w:tcPr>
            <w:tcW w:w="847" w:type="pct"/>
            <w:tcBorders>
              <w:top w:val="nil"/>
              <w:left w:val="nil"/>
              <w:bottom w:val="nil"/>
              <w:right w:val="nil"/>
            </w:tcBorders>
            <w:shd w:val="clear" w:color="auto" w:fill="auto"/>
            <w:noWrap/>
            <w:vAlign w:val="bottom"/>
            <w:hideMark/>
          </w:tcPr>
          <w:p w14:paraId="6EAA6364" w14:textId="77777777" w:rsidR="00D372D1" w:rsidRDefault="00D372D1">
            <w:pPr>
              <w:rPr>
                <w:rFonts w:ascii="Cambria" w:hAnsi="Cambria" w:cs="Arial"/>
                <w:color w:val="000000"/>
                <w:sz w:val="18"/>
                <w:szCs w:val="18"/>
              </w:rPr>
            </w:pPr>
            <w:r>
              <w:rPr>
                <w:rFonts w:ascii="Cambria" w:hAnsi="Cambria"/>
                <w:color w:val="000000"/>
                <w:sz w:val="18"/>
              </w:rPr>
              <w:t xml:space="preserve">                          -    </w:t>
            </w:r>
          </w:p>
        </w:tc>
        <w:tc>
          <w:tcPr>
            <w:tcW w:w="847" w:type="pct"/>
            <w:tcBorders>
              <w:top w:val="nil"/>
              <w:left w:val="nil"/>
              <w:bottom w:val="nil"/>
              <w:right w:val="nil"/>
            </w:tcBorders>
            <w:shd w:val="clear" w:color="auto" w:fill="auto"/>
            <w:noWrap/>
            <w:vAlign w:val="bottom"/>
            <w:hideMark/>
          </w:tcPr>
          <w:p w14:paraId="19B3D736" w14:textId="77777777" w:rsidR="00D372D1" w:rsidRDefault="00D372D1">
            <w:pPr>
              <w:jc w:val="right"/>
              <w:rPr>
                <w:rFonts w:ascii="Cambria" w:hAnsi="Cambria" w:cs="Arial"/>
                <w:color w:val="000000"/>
                <w:sz w:val="18"/>
                <w:szCs w:val="18"/>
              </w:rPr>
            </w:pPr>
            <w:r>
              <w:rPr>
                <w:rFonts w:ascii="Cambria" w:hAnsi="Cambria"/>
                <w:color w:val="000000"/>
                <w:sz w:val="18"/>
              </w:rPr>
              <w:t>850 000</w:t>
            </w:r>
          </w:p>
        </w:tc>
        <w:tc>
          <w:tcPr>
            <w:tcW w:w="847" w:type="pct"/>
            <w:tcBorders>
              <w:top w:val="nil"/>
              <w:left w:val="nil"/>
              <w:bottom w:val="nil"/>
              <w:right w:val="nil"/>
            </w:tcBorders>
            <w:shd w:val="clear" w:color="auto" w:fill="auto"/>
            <w:noWrap/>
            <w:vAlign w:val="bottom"/>
            <w:hideMark/>
          </w:tcPr>
          <w:p w14:paraId="235401F8" w14:textId="77777777" w:rsidR="00D372D1" w:rsidRDefault="00D372D1">
            <w:pPr>
              <w:rPr>
                <w:rFonts w:ascii="Cambria" w:hAnsi="Cambria" w:cs="Arial"/>
                <w:color w:val="000000"/>
                <w:sz w:val="18"/>
                <w:szCs w:val="18"/>
              </w:rPr>
            </w:pPr>
            <w:r>
              <w:rPr>
                <w:rFonts w:ascii="Cambria" w:hAnsi="Cambria"/>
                <w:color w:val="000000"/>
                <w:sz w:val="18"/>
              </w:rPr>
              <w:t xml:space="preserve">                          -    </w:t>
            </w:r>
          </w:p>
        </w:tc>
      </w:tr>
      <w:tr w:rsidR="00D372D1" w14:paraId="4E973A0C" w14:textId="77777777" w:rsidTr="00D372D1">
        <w:trPr>
          <w:trHeight w:val="240"/>
        </w:trPr>
        <w:tc>
          <w:tcPr>
            <w:tcW w:w="2459" w:type="pct"/>
            <w:tcBorders>
              <w:top w:val="nil"/>
              <w:left w:val="nil"/>
              <w:bottom w:val="nil"/>
              <w:right w:val="nil"/>
            </w:tcBorders>
            <w:shd w:val="clear" w:color="auto" w:fill="auto"/>
            <w:noWrap/>
            <w:vAlign w:val="bottom"/>
            <w:hideMark/>
          </w:tcPr>
          <w:p w14:paraId="65CDCD0B" w14:textId="77777777" w:rsidR="00D372D1" w:rsidRDefault="00D372D1" w:rsidP="00454EE7">
            <w:pPr>
              <w:spacing w:line="18" w:lineRule="atLeast"/>
              <w:rPr>
                <w:rFonts w:ascii="Cambria" w:hAnsi="Cambria" w:cs="Arial"/>
                <w:color w:val="000000"/>
                <w:sz w:val="18"/>
                <w:szCs w:val="18"/>
              </w:rPr>
            </w:pPr>
            <w:r>
              <w:rPr>
                <w:rFonts w:ascii="Cambria" w:hAnsi="Cambria"/>
                <w:color w:val="000000"/>
                <w:sz w:val="18"/>
              </w:rPr>
              <w:lastRenderedPageBreak/>
              <w:t>Prêt de la BPB 2</w:t>
            </w:r>
          </w:p>
        </w:tc>
        <w:tc>
          <w:tcPr>
            <w:tcW w:w="847" w:type="pct"/>
            <w:tcBorders>
              <w:top w:val="nil"/>
              <w:left w:val="nil"/>
              <w:bottom w:val="nil"/>
              <w:right w:val="nil"/>
            </w:tcBorders>
            <w:shd w:val="clear" w:color="auto" w:fill="auto"/>
            <w:noWrap/>
            <w:vAlign w:val="bottom"/>
            <w:hideMark/>
          </w:tcPr>
          <w:p w14:paraId="23400580" w14:textId="77777777" w:rsidR="00D372D1" w:rsidRDefault="00D372D1" w:rsidP="00454EE7">
            <w:pPr>
              <w:spacing w:line="18" w:lineRule="atLeast"/>
              <w:rPr>
                <w:rFonts w:ascii="Cambria" w:hAnsi="Cambria" w:cs="Arial"/>
                <w:color w:val="000000"/>
                <w:sz w:val="18"/>
                <w:szCs w:val="18"/>
              </w:rPr>
            </w:pPr>
            <w:r>
              <w:rPr>
                <w:rFonts w:ascii="Cambria" w:hAnsi="Cambria"/>
                <w:color w:val="000000"/>
                <w:sz w:val="18"/>
              </w:rPr>
              <w:t xml:space="preserve">                          -    </w:t>
            </w:r>
          </w:p>
        </w:tc>
        <w:tc>
          <w:tcPr>
            <w:tcW w:w="847" w:type="pct"/>
            <w:tcBorders>
              <w:top w:val="nil"/>
              <w:left w:val="nil"/>
              <w:bottom w:val="nil"/>
              <w:right w:val="nil"/>
            </w:tcBorders>
            <w:shd w:val="clear" w:color="auto" w:fill="auto"/>
            <w:noWrap/>
            <w:vAlign w:val="bottom"/>
            <w:hideMark/>
          </w:tcPr>
          <w:p w14:paraId="6A1FC58E" w14:textId="77777777" w:rsidR="00D372D1" w:rsidRDefault="00D372D1" w:rsidP="00454EE7">
            <w:pPr>
              <w:spacing w:line="18" w:lineRule="atLeast"/>
              <w:jc w:val="right"/>
              <w:rPr>
                <w:rFonts w:ascii="Cambria" w:hAnsi="Cambria" w:cs="Arial"/>
                <w:color w:val="000000"/>
                <w:sz w:val="18"/>
                <w:szCs w:val="18"/>
              </w:rPr>
            </w:pPr>
            <w:r>
              <w:rPr>
                <w:rFonts w:ascii="Cambria" w:hAnsi="Cambria"/>
                <w:color w:val="000000"/>
                <w:sz w:val="18"/>
              </w:rPr>
              <w:t>800 000</w:t>
            </w:r>
          </w:p>
        </w:tc>
        <w:tc>
          <w:tcPr>
            <w:tcW w:w="847" w:type="pct"/>
            <w:tcBorders>
              <w:top w:val="nil"/>
              <w:left w:val="nil"/>
              <w:bottom w:val="nil"/>
              <w:right w:val="nil"/>
            </w:tcBorders>
            <w:shd w:val="clear" w:color="auto" w:fill="auto"/>
            <w:noWrap/>
            <w:vAlign w:val="bottom"/>
            <w:hideMark/>
          </w:tcPr>
          <w:p w14:paraId="5FEAD26B" w14:textId="77777777" w:rsidR="00D372D1" w:rsidRDefault="00D372D1" w:rsidP="00454EE7">
            <w:pPr>
              <w:spacing w:line="18" w:lineRule="atLeast"/>
              <w:rPr>
                <w:rFonts w:ascii="Cambria" w:hAnsi="Cambria" w:cs="Arial"/>
                <w:color w:val="000000"/>
                <w:sz w:val="18"/>
                <w:szCs w:val="18"/>
              </w:rPr>
            </w:pPr>
            <w:r>
              <w:rPr>
                <w:rFonts w:ascii="Cambria" w:hAnsi="Cambria"/>
                <w:color w:val="000000"/>
                <w:sz w:val="18"/>
              </w:rPr>
              <w:t xml:space="preserve">                          -    </w:t>
            </w:r>
          </w:p>
        </w:tc>
      </w:tr>
      <w:tr w:rsidR="00D372D1" w14:paraId="14F486D9" w14:textId="77777777" w:rsidTr="00D372D1">
        <w:trPr>
          <w:trHeight w:val="240"/>
        </w:trPr>
        <w:tc>
          <w:tcPr>
            <w:tcW w:w="2459" w:type="pct"/>
            <w:tcBorders>
              <w:top w:val="nil"/>
              <w:left w:val="nil"/>
              <w:bottom w:val="nil"/>
              <w:right w:val="nil"/>
            </w:tcBorders>
            <w:shd w:val="clear" w:color="auto" w:fill="auto"/>
            <w:noWrap/>
            <w:vAlign w:val="bottom"/>
            <w:hideMark/>
          </w:tcPr>
          <w:p w14:paraId="1A9ABCC6" w14:textId="77777777" w:rsidR="00D372D1" w:rsidRDefault="00D372D1" w:rsidP="00454EE7">
            <w:pPr>
              <w:spacing w:line="18" w:lineRule="atLeast"/>
              <w:rPr>
                <w:rFonts w:ascii="Cambria" w:hAnsi="Cambria" w:cs="Arial"/>
                <w:color w:val="000000"/>
                <w:sz w:val="18"/>
                <w:szCs w:val="18"/>
              </w:rPr>
            </w:pPr>
            <w:r>
              <w:rPr>
                <w:rFonts w:ascii="Cambria" w:hAnsi="Cambria"/>
                <w:color w:val="000000"/>
                <w:sz w:val="18"/>
              </w:rPr>
              <w:t>Prêt de la BDF</w:t>
            </w:r>
          </w:p>
        </w:tc>
        <w:tc>
          <w:tcPr>
            <w:tcW w:w="847" w:type="pct"/>
            <w:tcBorders>
              <w:top w:val="nil"/>
              <w:left w:val="nil"/>
              <w:bottom w:val="nil"/>
              <w:right w:val="nil"/>
            </w:tcBorders>
            <w:shd w:val="clear" w:color="auto" w:fill="auto"/>
            <w:noWrap/>
            <w:vAlign w:val="bottom"/>
            <w:hideMark/>
          </w:tcPr>
          <w:p w14:paraId="3D48A650" w14:textId="77777777" w:rsidR="00D372D1" w:rsidRDefault="00D372D1" w:rsidP="00454EE7">
            <w:pPr>
              <w:spacing w:line="18" w:lineRule="atLeast"/>
              <w:rPr>
                <w:rFonts w:ascii="Cambria" w:hAnsi="Cambria" w:cs="Arial"/>
                <w:color w:val="000000"/>
                <w:sz w:val="18"/>
                <w:szCs w:val="18"/>
              </w:rPr>
            </w:pPr>
            <w:r>
              <w:rPr>
                <w:rFonts w:ascii="Cambria" w:hAnsi="Cambria"/>
                <w:color w:val="000000"/>
                <w:sz w:val="18"/>
              </w:rPr>
              <w:t xml:space="preserve">                          -    </w:t>
            </w:r>
          </w:p>
        </w:tc>
        <w:tc>
          <w:tcPr>
            <w:tcW w:w="847" w:type="pct"/>
            <w:tcBorders>
              <w:top w:val="nil"/>
              <w:left w:val="nil"/>
              <w:bottom w:val="nil"/>
              <w:right w:val="nil"/>
            </w:tcBorders>
            <w:shd w:val="clear" w:color="auto" w:fill="auto"/>
            <w:noWrap/>
            <w:vAlign w:val="bottom"/>
            <w:hideMark/>
          </w:tcPr>
          <w:p w14:paraId="27210F40" w14:textId="77777777" w:rsidR="00D372D1" w:rsidRDefault="00D372D1" w:rsidP="00454EE7">
            <w:pPr>
              <w:spacing w:line="18" w:lineRule="atLeast"/>
              <w:jc w:val="right"/>
              <w:rPr>
                <w:rFonts w:ascii="Cambria" w:hAnsi="Cambria" w:cs="Arial"/>
                <w:color w:val="000000"/>
                <w:sz w:val="18"/>
                <w:szCs w:val="18"/>
              </w:rPr>
            </w:pPr>
            <w:r>
              <w:rPr>
                <w:rFonts w:ascii="Cambria" w:hAnsi="Cambria"/>
                <w:color w:val="000000"/>
                <w:sz w:val="18"/>
              </w:rPr>
              <w:t>897 276</w:t>
            </w:r>
          </w:p>
        </w:tc>
        <w:tc>
          <w:tcPr>
            <w:tcW w:w="847" w:type="pct"/>
            <w:tcBorders>
              <w:top w:val="nil"/>
              <w:left w:val="nil"/>
              <w:bottom w:val="nil"/>
              <w:right w:val="nil"/>
            </w:tcBorders>
            <w:shd w:val="clear" w:color="auto" w:fill="auto"/>
            <w:noWrap/>
            <w:vAlign w:val="bottom"/>
            <w:hideMark/>
          </w:tcPr>
          <w:p w14:paraId="3A52C8F7" w14:textId="77777777" w:rsidR="00D372D1" w:rsidRDefault="00D372D1" w:rsidP="00454EE7">
            <w:pPr>
              <w:spacing w:line="18" w:lineRule="atLeast"/>
              <w:rPr>
                <w:rFonts w:ascii="Cambria" w:hAnsi="Cambria" w:cs="Arial"/>
                <w:color w:val="000000"/>
                <w:sz w:val="18"/>
                <w:szCs w:val="18"/>
              </w:rPr>
            </w:pPr>
            <w:r>
              <w:rPr>
                <w:rFonts w:ascii="Cambria" w:hAnsi="Cambria"/>
                <w:color w:val="000000"/>
                <w:sz w:val="18"/>
              </w:rPr>
              <w:t xml:space="preserve">                          -    </w:t>
            </w:r>
          </w:p>
        </w:tc>
      </w:tr>
      <w:tr w:rsidR="00D372D1" w14:paraId="7FD94693" w14:textId="77777777" w:rsidTr="00D372D1">
        <w:trPr>
          <w:trHeight w:val="240"/>
        </w:trPr>
        <w:tc>
          <w:tcPr>
            <w:tcW w:w="2459" w:type="pct"/>
            <w:tcBorders>
              <w:top w:val="nil"/>
              <w:left w:val="nil"/>
              <w:bottom w:val="nil"/>
              <w:right w:val="nil"/>
            </w:tcBorders>
            <w:shd w:val="clear" w:color="auto" w:fill="auto"/>
            <w:noWrap/>
            <w:vAlign w:val="bottom"/>
            <w:hideMark/>
          </w:tcPr>
          <w:p w14:paraId="03E5E184" w14:textId="77777777" w:rsidR="00D372D1" w:rsidRPr="00DC792B" w:rsidRDefault="00D372D1" w:rsidP="00454EE7">
            <w:pPr>
              <w:spacing w:line="18" w:lineRule="atLeast"/>
              <w:rPr>
                <w:rFonts w:ascii="Cambria" w:hAnsi="Cambria" w:cs="Arial"/>
                <w:color w:val="000000"/>
                <w:sz w:val="18"/>
                <w:szCs w:val="18"/>
                <w:lang w:val="it-IT"/>
              </w:rPr>
            </w:pPr>
            <w:r w:rsidRPr="00DC792B">
              <w:rPr>
                <w:rFonts w:ascii="Cambria" w:hAnsi="Cambria"/>
                <w:color w:val="000000"/>
                <w:sz w:val="18"/>
                <w:lang w:val="it-IT"/>
              </w:rPr>
              <w:t xml:space="preserve">Intesa Sanpaolo Spa import </w:t>
            </w:r>
            <w:proofErr w:type="spellStart"/>
            <w:r w:rsidRPr="00DC792B">
              <w:rPr>
                <w:rFonts w:ascii="Cambria" w:hAnsi="Cambria"/>
                <w:color w:val="000000"/>
                <w:sz w:val="18"/>
                <w:lang w:val="it-IT"/>
              </w:rPr>
              <w:t>finan</w:t>
            </w:r>
            <w:proofErr w:type="spellEnd"/>
            <w:r w:rsidRPr="00DC792B">
              <w:rPr>
                <w:rFonts w:ascii="Cambria" w:hAnsi="Cambria"/>
                <w:color w:val="000000"/>
                <w:sz w:val="18"/>
                <w:lang w:val="it-IT"/>
              </w:rPr>
              <w:t>.</w:t>
            </w:r>
          </w:p>
        </w:tc>
        <w:tc>
          <w:tcPr>
            <w:tcW w:w="847" w:type="pct"/>
            <w:tcBorders>
              <w:top w:val="nil"/>
              <w:left w:val="nil"/>
              <w:bottom w:val="nil"/>
              <w:right w:val="nil"/>
            </w:tcBorders>
            <w:shd w:val="clear" w:color="auto" w:fill="auto"/>
            <w:noWrap/>
            <w:vAlign w:val="bottom"/>
            <w:hideMark/>
          </w:tcPr>
          <w:p w14:paraId="25093EA6" w14:textId="77777777" w:rsidR="00D372D1" w:rsidRDefault="00D372D1" w:rsidP="00454EE7">
            <w:pPr>
              <w:spacing w:line="18" w:lineRule="atLeast"/>
              <w:rPr>
                <w:rFonts w:ascii="Cambria" w:hAnsi="Cambria" w:cs="Arial"/>
                <w:color w:val="000000"/>
                <w:sz w:val="18"/>
                <w:szCs w:val="18"/>
              </w:rPr>
            </w:pPr>
            <w:r w:rsidRPr="00DC792B">
              <w:rPr>
                <w:rFonts w:ascii="Cambria" w:hAnsi="Cambria"/>
                <w:color w:val="000000"/>
                <w:sz w:val="18"/>
                <w:lang w:val="it-IT"/>
              </w:rPr>
              <w:t xml:space="preserve">                          </w:t>
            </w:r>
            <w:r>
              <w:rPr>
                <w:rFonts w:ascii="Cambria" w:hAnsi="Cambria"/>
                <w:color w:val="000000"/>
                <w:sz w:val="18"/>
              </w:rPr>
              <w:t xml:space="preserve">-    </w:t>
            </w:r>
          </w:p>
        </w:tc>
        <w:tc>
          <w:tcPr>
            <w:tcW w:w="847" w:type="pct"/>
            <w:tcBorders>
              <w:top w:val="nil"/>
              <w:left w:val="nil"/>
              <w:bottom w:val="nil"/>
              <w:right w:val="nil"/>
            </w:tcBorders>
            <w:shd w:val="clear" w:color="auto" w:fill="auto"/>
            <w:noWrap/>
            <w:vAlign w:val="bottom"/>
            <w:hideMark/>
          </w:tcPr>
          <w:p w14:paraId="6EB53AE5" w14:textId="77777777" w:rsidR="00D372D1" w:rsidRDefault="00D372D1" w:rsidP="00454EE7">
            <w:pPr>
              <w:spacing w:line="18" w:lineRule="atLeast"/>
              <w:jc w:val="right"/>
              <w:rPr>
                <w:rFonts w:ascii="Cambria" w:hAnsi="Cambria" w:cs="Arial"/>
                <w:color w:val="000000"/>
                <w:sz w:val="18"/>
                <w:szCs w:val="18"/>
              </w:rPr>
            </w:pPr>
            <w:r>
              <w:rPr>
                <w:rFonts w:ascii="Cambria" w:hAnsi="Cambria"/>
                <w:color w:val="000000"/>
                <w:sz w:val="18"/>
              </w:rPr>
              <w:t>506 346</w:t>
            </w:r>
          </w:p>
        </w:tc>
        <w:tc>
          <w:tcPr>
            <w:tcW w:w="847" w:type="pct"/>
            <w:tcBorders>
              <w:top w:val="nil"/>
              <w:left w:val="nil"/>
              <w:bottom w:val="nil"/>
              <w:right w:val="nil"/>
            </w:tcBorders>
            <w:shd w:val="clear" w:color="auto" w:fill="auto"/>
            <w:noWrap/>
            <w:vAlign w:val="bottom"/>
            <w:hideMark/>
          </w:tcPr>
          <w:p w14:paraId="39A1662B" w14:textId="77777777" w:rsidR="00D372D1" w:rsidRDefault="00D372D1" w:rsidP="00454EE7">
            <w:pPr>
              <w:spacing w:line="18" w:lineRule="atLeast"/>
              <w:rPr>
                <w:rFonts w:ascii="Cambria" w:hAnsi="Cambria" w:cs="Arial"/>
                <w:color w:val="000000"/>
                <w:sz w:val="18"/>
                <w:szCs w:val="18"/>
              </w:rPr>
            </w:pPr>
            <w:r>
              <w:rPr>
                <w:rFonts w:ascii="Cambria" w:hAnsi="Cambria"/>
                <w:color w:val="000000"/>
                <w:sz w:val="18"/>
              </w:rPr>
              <w:t xml:space="preserve">                          -    </w:t>
            </w:r>
          </w:p>
        </w:tc>
      </w:tr>
      <w:tr w:rsidR="00D372D1" w14:paraId="5D69333A" w14:textId="77777777" w:rsidTr="00D372D1">
        <w:trPr>
          <w:trHeight w:val="240"/>
        </w:trPr>
        <w:tc>
          <w:tcPr>
            <w:tcW w:w="2459" w:type="pct"/>
            <w:tcBorders>
              <w:top w:val="nil"/>
              <w:left w:val="nil"/>
              <w:bottom w:val="nil"/>
              <w:right w:val="nil"/>
            </w:tcBorders>
            <w:shd w:val="clear" w:color="auto" w:fill="auto"/>
            <w:noWrap/>
            <w:vAlign w:val="bottom"/>
            <w:hideMark/>
          </w:tcPr>
          <w:p w14:paraId="4D757621" w14:textId="77777777" w:rsidR="00D372D1" w:rsidRDefault="00D372D1" w:rsidP="00454EE7">
            <w:pPr>
              <w:spacing w:line="18" w:lineRule="atLeast"/>
              <w:rPr>
                <w:rFonts w:ascii="Cambria" w:hAnsi="Cambria" w:cs="Arial"/>
                <w:color w:val="000000"/>
                <w:sz w:val="18"/>
                <w:szCs w:val="18"/>
              </w:rPr>
            </w:pPr>
            <w:proofErr w:type="spellStart"/>
            <w:r>
              <w:rPr>
                <w:rFonts w:ascii="Cambria" w:hAnsi="Cambria"/>
                <w:color w:val="000000"/>
                <w:sz w:val="18"/>
              </w:rPr>
              <w:t>Intesa</w:t>
            </w:r>
            <w:proofErr w:type="spellEnd"/>
            <w:r>
              <w:rPr>
                <w:rFonts w:ascii="Cambria" w:hAnsi="Cambria"/>
                <w:color w:val="000000"/>
                <w:sz w:val="18"/>
              </w:rPr>
              <w:t xml:space="preserve"> </w:t>
            </w:r>
            <w:proofErr w:type="spellStart"/>
            <w:r>
              <w:rPr>
                <w:rFonts w:ascii="Cambria" w:hAnsi="Cambria"/>
                <w:color w:val="000000"/>
                <w:sz w:val="18"/>
              </w:rPr>
              <w:t>Sanpaolo</w:t>
            </w:r>
            <w:proofErr w:type="spellEnd"/>
            <w:r>
              <w:rPr>
                <w:rFonts w:ascii="Cambria" w:hAnsi="Cambria"/>
                <w:color w:val="000000"/>
                <w:sz w:val="18"/>
              </w:rPr>
              <w:t xml:space="preserve"> spa </w:t>
            </w:r>
            <w:proofErr w:type="spellStart"/>
            <w:r>
              <w:rPr>
                <w:rFonts w:ascii="Cambria" w:hAnsi="Cambria"/>
                <w:color w:val="000000"/>
                <w:sz w:val="18"/>
              </w:rPr>
              <w:t>confirming</w:t>
            </w:r>
            <w:proofErr w:type="spellEnd"/>
          </w:p>
        </w:tc>
        <w:tc>
          <w:tcPr>
            <w:tcW w:w="847" w:type="pct"/>
            <w:tcBorders>
              <w:top w:val="nil"/>
              <w:left w:val="nil"/>
              <w:bottom w:val="nil"/>
              <w:right w:val="nil"/>
            </w:tcBorders>
            <w:shd w:val="clear" w:color="auto" w:fill="auto"/>
            <w:noWrap/>
            <w:vAlign w:val="bottom"/>
            <w:hideMark/>
          </w:tcPr>
          <w:p w14:paraId="2E41AC3A" w14:textId="77777777" w:rsidR="00D372D1" w:rsidRDefault="00D372D1" w:rsidP="00454EE7">
            <w:pPr>
              <w:spacing w:line="18" w:lineRule="atLeast"/>
              <w:rPr>
                <w:rFonts w:ascii="Cambria" w:hAnsi="Cambria" w:cs="Arial"/>
                <w:color w:val="000000"/>
                <w:sz w:val="18"/>
                <w:szCs w:val="18"/>
              </w:rPr>
            </w:pPr>
            <w:r>
              <w:rPr>
                <w:rFonts w:ascii="Cambria" w:hAnsi="Cambria"/>
                <w:color w:val="000000"/>
                <w:sz w:val="18"/>
              </w:rPr>
              <w:t xml:space="preserve">                          -    </w:t>
            </w:r>
          </w:p>
        </w:tc>
        <w:tc>
          <w:tcPr>
            <w:tcW w:w="847" w:type="pct"/>
            <w:tcBorders>
              <w:top w:val="nil"/>
              <w:left w:val="nil"/>
              <w:bottom w:val="nil"/>
              <w:right w:val="nil"/>
            </w:tcBorders>
            <w:shd w:val="clear" w:color="auto" w:fill="auto"/>
            <w:noWrap/>
            <w:vAlign w:val="bottom"/>
            <w:hideMark/>
          </w:tcPr>
          <w:p w14:paraId="2878F78D" w14:textId="77777777" w:rsidR="00D372D1" w:rsidRDefault="00D372D1" w:rsidP="00454EE7">
            <w:pPr>
              <w:spacing w:line="18" w:lineRule="atLeast"/>
              <w:jc w:val="right"/>
              <w:rPr>
                <w:rFonts w:ascii="Cambria" w:hAnsi="Cambria" w:cs="Arial"/>
                <w:color w:val="000000"/>
                <w:sz w:val="18"/>
                <w:szCs w:val="18"/>
              </w:rPr>
            </w:pPr>
            <w:r>
              <w:rPr>
                <w:rFonts w:ascii="Cambria" w:hAnsi="Cambria"/>
                <w:color w:val="000000"/>
                <w:sz w:val="18"/>
              </w:rPr>
              <w:t>651 470</w:t>
            </w:r>
          </w:p>
        </w:tc>
        <w:tc>
          <w:tcPr>
            <w:tcW w:w="847" w:type="pct"/>
            <w:tcBorders>
              <w:top w:val="nil"/>
              <w:left w:val="nil"/>
              <w:bottom w:val="nil"/>
              <w:right w:val="nil"/>
            </w:tcBorders>
            <w:shd w:val="clear" w:color="auto" w:fill="auto"/>
            <w:noWrap/>
            <w:vAlign w:val="bottom"/>
            <w:hideMark/>
          </w:tcPr>
          <w:p w14:paraId="43BDA4D4" w14:textId="77777777" w:rsidR="00D372D1" w:rsidRDefault="00D372D1" w:rsidP="00454EE7">
            <w:pPr>
              <w:spacing w:line="18" w:lineRule="atLeast"/>
              <w:rPr>
                <w:rFonts w:ascii="Cambria" w:hAnsi="Cambria" w:cs="Arial"/>
                <w:color w:val="000000"/>
                <w:sz w:val="18"/>
                <w:szCs w:val="18"/>
              </w:rPr>
            </w:pPr>
            <w:r>
              <w:rPr>
                <w:rFonts w:ascii="Cambria" w:hAnsi="Cambria"/>
                <w:color w:val="000000"/>
                <w:sz w:val="18"/>
              </w:rPr>
              <w:t xml:space="preserve">                          -    </w:t>
            </w:r>
          </w:p>
        </w:tc>
      </w:tr>
      <w:tr w:rsidR="00D372D1" w14:paraId="2EF22C49" w14:textId="77777777" w:rsidTr="00D372D1">
        <w:trPr>
          <w:trHeight w:val="240"/>
        </w:trPr>
        <w:tc>
          <w:tcPr>
            <w:tcW w:w="2459" w:type="pct"/>
            <w:tcBorders>
              <w:top w:val="nil"/>
              <w:left w:val="nil"/>
              <w:bottom w:val="nil"/>
              <w:right w:val="nil"/>
            </w:tcBorders>
            <w:shd w:val="clear" w:color="auto" w:fill="auto"/>
            <w:noWrap/>
            <w:vAlign w:val="bottom"/>
            <w:hideMark/>
          </w:tcPr>
          <w:p w14:paraId="27DF2C96" w14:textId="77777777" w:rsidR="00D372D1" w:rsidRDefault="00D372D1" w:rsidP="00454EE7">
            <w:pPr>
              <w:spacing w:line="18" w:lineRule="atLeast"/>
              <w:rPr>
                <w:rFonts w:ascii="Cambria" w:hAnsi="Cambria" w:cs="Arial"/>
                <w:color w:val="000000"/>
                <w:sz w:val="18"/>
                <w:szCs w:val="18"/>
              </w:rPr>
            </w:pPr>
            <w:r>
              <w:rPr>
                <w:rFonts w:ascii="Cambria" w:hAnsi="Cambria"/>
                <w:color w:val="000000"/>
                <w:sz w:val="18"/>
              </w:rPr>
              <w:t xml:space="preserve">Prêt de la </w:t>
            </w:r>
            <w:proofErr w:type="spellStart"/>
            <w:r>
              <w:rPr>
                <w:rFonts w:ascii="Cambria" w:hAnsi="Cambria"/>
                <w:color w:val="000000"/>
                <w:sz w:val="18"/>
              </w:rPr>
              <w:t>Sanpaolo</w:t>
            </w:r>
            <w:proofErr w:type="spellEnd"/>
            <w:r>
              <w:rPr>
                <w:rFonts w:ascii="Cambria" w:hAnsi="Cambria"/>
                <w:color w:val="000000"/>
                <w:sz w:val="18"/>
              </w:rPr>
              <w:t xml:space="preserve"> 3</w:t>
            </w:r>
          </w:p>
        </w:tc>
        <w:tc>
          <w:tcPr>
            <w:tcW w:w="847" w:type="pct"/>
            <w:tcBorders>
              <w:top w:val="nil"/>
              <w:left w:val="nil"/>
              <w:bottom w:val="nil"/>
              <w:right w:val="nil"/>
            </w:tcBorders>
            <w:shd w:val="clear" w:color="auto" w:fill="auto"/>
            <w:noWrap/>
            <w:vAlign w:val="bottom"/>
            <w:hideMark/>
          </w:tcPr>
          <w:p w14:paraId="37BE3B47" w14:textId="77777777" w:rsidR="00D372D1" w:rsidRDefault="00D372D1" w:rsidP="00454EE7">
            <w:pPr>
              <w:spacing w:line="18" w:lineRule="atLeast"/>
              <w:rPr>
                <w:rFonts w:ascii="Cambria" w:hAnsi="Cambria" w:cs="Arial"/>
                <w:color w:val="000000"/>
                <w:sz w:val="18"/>
                <w:szCs w:val="18"/>
              </w:rPr>
            </w:pPr>
            <w:r>
              <w:rPr>
                <w:rFonts w:ascii="Cambria" w:hAnsi="Cambria"/>
                <w:color w:val="000000"/>
                <w:sz w:val="18"/>
              </w:rPr>
              <w:t xml:space="preserve">                          -    </w:t>
            </w:r>
          </w:p>
        </w:tc>
        <w:tc>
          <w:tcPr>
            <w:tcW w:w="847" w:type="pct"/>
            <w:tcBorders>
              <w:top w:val="nil"/>
              <w:left w:val="nil"/>
              <w:bottom w:val="nil"/>
              <w:right w:val="nil"/>
            </w:tcBorders>
            <w:shd w:val="clear" w:color="auto" w:fill="auto"/>
            <w:noWrap/>
            <w:vAlign w:val="bottom"/>
            <w:hideMark/>
          </w:tcPr>
          <w:p w14:paraId="17F4E2E5" w14:textId="77777777" w:rsidR="00D372D1" w:rsidRDefault="00D372D1" w:rsidP="00454EE7">
            <w:pPr>
              <w:spacing w:line="18" w:lineRule="atLeast"/>
              <w:jc w:val="right"/>
              <w:rPr>
                <w:rFonts w:ascii="Cambria" w:hAnsi="Cambria" w:cs="Arial"/>
                <w:color w:val="000000"/>
                <w:sz w:val="18"/>
                <w:szCs w:val="18"/>
              </w:rPr>
            </w:pPr>
            <w:r>
              <w:rPr>
                <w:rFonts w:ascii="Cambria" w:hAnsi="Cambria"/>
                <w:color w:val="000000"/>
                <w:sz w:val="18"/>
              </w:rPr>
              <w:t>750 000</w:t>
            </w:r>
          </w:p>
        </w:tc>
        <w:tc>
          <w:tcPr>
            <w:tcW w:w="847" w:type="pct"/>
            <w:tcBorders>
              <w:top w:val="nil"/>
              <w:left w:val="nil"/>
              <w:bottom w:val="nil"/>
              <w:right w:val="nil"/>
            </w:tcBorders>
            <w:shd w:val="clear" w:color="auto" w:fill="auto"/>
            <w:noWrap/>
            <w:vAlign w:val="bottom"/>
            <w:hideMark/>
          </w:tcPr>
          <w:p w14:paraId="28B12556" w14:textId="77777777" w:rsidR="00D372D1" w:rsidRDefault="00D372D1" w:rsidP="00454EE7">
            <w:pPr>
              <w:spacing w:line="18" w:lineRule="atLeast"/>
              <w:rPr>
                <w:rFonts w:ascii="Cambria" w:hAnsi="Cambria" w:cs="Arial"/>
                <w:color w:val="000000"/>
                <w:sz w:val="18"/>
                <w:szCs w:val="18"/>
              </w:rPr>
            </w:pPr>
            <w:r>
              <w:rPr>
                <w:rFonts w:ascii="Cambria" w:hAnsi="Cambria"/>
                <w:color w:val="000000"/>
                <w:sz w:val="18"/>
              </w:rPr>
              <w:t xml:space="preserve">                          -    </w:t>
            </w:r>
          </w:p>
        </w:tc>
      </w:tr>
      <w:tr w:rsidR="00D372D1" w14:paraId="0B17C4B2" w14:textId="77777777" w:rsidTr="00D372D1">
        <w:trPr>
          <w:trHeight w:val="240"/>
        </w:trPr>
        <w:tc>
          <w:tcPr>
            <w:tcW w:w="2459" w:type="pct"/>
            <w:tcBorders>
              <w:top w:val="nil"/>
              <w:left w:val="nil"/>
              <w:bottom w:val="nil"/>
              <w:right w:val="nil"/>
            </w:tcBorders>
            <w:shd w:val="clear" w:color="auto" w:fill="auto"/>
            <w:noWrap/>
            <w:vAlign w:val="bottom"/>
            <w:hideMark/>
          </w:tcPr>
          <w:p w14:paraId="1B99B068" w14:textId="77777777" w:rsidR="00D372D1" w:rsidRDefault="00D372D1" w:rsidP="00454EE7">
            <w:pPr>
              <w:spacing w:line="18" w:lineRule="atLeast"/>
              <w:rPr>
                <w:rFonts w:ascii="Cambria" w:hAnsi="Cambria" w:cs="Arial"/>
                <w:b/>
                <w:bCs/>
                <w:color w:val="000000"/>
                <w:sz w:val="18"/>
                <w:szCs w:val="18"/>
              </w:rPr>
            </w:pPr>
            <w:r>
              <w:rPr>
                <w:rFonts w:ascii="Cambria" w:hAnsi="Cambria"/>
                <w:b/>
                <w:color w:val="000000"/>
                <w:sz w:val="18"/>
              </w:rPr>
              <w:t>Total Passifs financiers</w:t>
            </w:r>
          </w:p>
        </w:tc>
        <w:tc>
          <w:tcPr>
            <w:tcW w:w="847" w:type="pct"/>
            <w:tcBorders>
              <w:top w:val="single" w:sz="4" w:space="0" w:color="auto"/>
              <w:left w:val="nil"/>
              <w:bottom w:val="nil"/>
              <w:right w:val="nil"/>
            </w:tcBorders>
            <w:shd w:val="clear" w:color="auto" w:fill="auto"/>
            <w:noWrap/>
            <w:vAlign w:val="bottom"/>
            <w:hideMark/>
          </w:tcPr>
          <w:p w14:paraId="72114EFC" w14:textId="77777777" w:rsidR="00D372D1" w:rsidRDefault="00D372D1" w:rsidP="00454EE7">
            <w:pPr>
              <w:spacing w:line="18" w:lineRule="atLeast"/>
              <w:rPr>
                <w:rFonts w:ascii="Cambria" w:hAnsi="Cambria" w:cs="Arial"/>
                <w:b/>
                <w:bCs/>
                <w:color w:val="000000"/>
                <w:sz w:val="18"/>
                <w:szCs w:val="18"/>
              </w:rPr>
            </w:pPr>
            <w:r>
              <w:rPr>
                <w:rFonts w:ascii="Cambria" w:hAnsi="Cambria"/>
                <w:b/>
                <w:color w:val="000000"/>
                <w:sz w:val="18"/>
              </w:rPr>
              <w:t xml:space="preserve">                          -    </w:t>
            </w:r>
          </w:p>
        </w:tc>
        <w:tc>
          <w:tcPr>
            <w:tcW w:w="847" w:type="pct"/>
            <w:tcBorders>
              <w:top w:val="single" w:sz="4" w:space="0" w:color="auto"/>
              <w:left w:val="nil"/>
              <w:bottom w:val="nil"/>
              <w:right w:val="nil"/>
            </w:tcBorders>
            <w:shd w:val="clear" w:color="auto" w:fill="auto"/>
            <w:noWrap/>
            <w:vAlign w:val="bottom"/>
            <w:hideMark/>
          </w:tcPr>
          <w:p w14:paraId="1D100525" w14:textId="77777777" w:rsidR="00D372D1" w:rsidRDefault="00D372D1" w:rsidP="00454EE7">
            <w:pPr>
              <w:spacing w:line="18" w:lineRule="atLeast"/>
              <w:jc w:val="right"/>
              <w:rPr>
                <w:rFonts w:ascii="Cambria" w:hAnsi="Cambria" w:cs="Arial"/>
                <w:b/>
                <w:bCs/>
                <w:color w:val="000000"/>
                <w:sz w:val="18"/>
                <w:szCs w:val="18"/>
              </w:rPr>
            </w:pPr>
            <w:r>
              <w:rPr>
                <w:rFonts w:ascii="Cambria" w:hAnsi="Cambria"/>
                <w:b/>
                <w:color w:val="000000"/>
                <w:sz w:val="18"/>
              </w:rPr>
              <w:t>6 658 741</w:t>
            </w:r>
          </w:p>
        </w:tc>
        <w:tc>
          <w:tcPr>
            <w:tcW w:w="847" w:type="pct"/>
            <w:tcBorders>
              <w:top w:val="single" w:sz="4" w:space="0" w:color="auto"/>
              <w:left w:val="nil"/>
              <w:bottom w:val="nil"/>
              <w:right w:val="nil"/>
            </w:tcBorders>
            <w:shd w:val="clear" w:color="auto" w:fill="auto"/>
            <w:noWrap/>
            <w:vAlign w:val="bottom"/>
            <w:hideMark/>
          </w:tcPr>
          <w:p w14:paraId="0AA22FFD" w14:textId="77777777" w:rsidR="00D372D1" w:rsidRDefault="00D372D1" w:rsidP="00454EE7">
            <w:pPr>
              <w:spacing w:line="18" w:lineRule="atLeast"/>
              <w:rPr>
                <w:rFonts w:ascii="Cambria" w:hAnsi="Cambria" w:cs="Arial"/>
                <w:b/>
                <w:bCs/>
                <w:color w:val="000000"/>
                <w:sz w:val="18"/>
                <w:szCs w:val="18"/>
              </w:rPr>
            </w:pPr>
            <w:r>
              <w:rPr>
                <w:rFonts w:ascii="Cambria" w:hAnsi="Cambria"/>
                <w:b/>
                <w:color w:val="000000"/>
                <w:sz w:val="18"/>
              </w:rPr>
              <w:t xml:space="preserve">                          -    </w:t>
            </w:r>
          </w:p>
        </w:tc>
      </w:tr>
    </w:tbl>
    <w:p w14:paraId="2F5F895A" w14:textId="6736883E" w:rsidR="000A40AF" w:rsidRDefault="000A40AF" w:rsidP="00454EE7">
      <w:pPr>
        <w:spacing w:after="200" w:line="18" w:lineRule="atLeast"/>
        <w:jc w:val="both"/>
        <w:rPr>
          <w:rFonts w:ascii="Cambria" w:hAnsi="Cambria"/>
          <w:sz w:val="22"/>
          <w:szCs w:val="22"/>
        </w:rPr>
      </w:pPr>
    </w:p>
    <w:p w14:paraId="709C5FD5" w14:textId="587D10AB" w:rsidR="00A80D3E" w:rsidRPr="00C17031" w:rsidRDefault="00A80D3E" w:rsidP="00454EE7">
      <w:pPr>
        <w:spacing w:after="200" w:line="18" w:lineRule="atLeast"/>
        <w:jc w:val="both"/>
        <w:rPr>
          <w:rFonts w:ascii="Cambria" w:hAnsi="Cambria"/>
          <w:sz w:val="22"/>
          <w:szCs w:val="22"/>
        </w:rPr>
      </w:pPr>
      <w:r>
        <w:rPr>
          <w:rFonts w:ascii="Cambria" w:hAnsi="Cambria"/>
          <w:sz w:val="22"/>
        </w:rPr>
        <w:t>Les méthodes et hypothèses suivantes ont été utilisées pour estimer la juste valeur :</w:t>
      </w:r>
    </w:p>
    <w:p w14:paraId="3A155269" w14:textId="39DCB370" w:rsidR="00A80D3E" w:rsidRPr="00C17031" w:rsidRDefault="00A80D3E" w:rsidP="00454EE7">
      <w:pPr>
        <w:pStyle w:val="Paragrafoelenco"/>
        <w:numPr>
          <w:ilvl w:val="0"/>
          <w:numId w:val="2"/>
        </w:numPr>
        <w:spacing w:after="200" w:line="18" w:lineRule="atLeast"/>
        <w:jc w:val="both"/>
        <w:rPr>
          <w:rFonts w:ascii="Cambria" w:hAnsi="Cambria"/>
          <w:sz w:val="22"/>
          <w:szCs w:val="22"/>
        </w:rPr>
      </w:pPr>
      <w:proofErr w:type="gramStart"/>
      <w:r>
        <w:rPr>
          <w:rFonts w:ascii="Cambria" w:hAnsi="Cambria"/>
          <w:sz w:val="22"/>
        </w:rPr>
        <w:t>les</w:t>
      </w:r>
      <w:proofErr w:type="gramEnd"/>
      <w:r>
        <w:rPr>
          <w:rFonts w:ascii="Cambria" w:hAnsi="Cambria"/>
          <w:sz w:val="22"/>
        </w:rPr>
        <w:t xml:space="preserve"> créances financières sur les filiales sont évaluées par le Groupe sur la base de paramètres tels que le taux d'intérêt, la solvabilité individuelle de la filiale et le risque caractéristique du projet financier ;</w:t>
      </w:r>
    </w:p>
    <w:p w14:paraId="5F074C80" w14:textId="27945DFF" w:rsidR="00A80D3E" w:rsidRPr="00C17031" w:rsidRDefault="00A80D3E" w:rsidP="00454EE7">
      <w:pPr>
        <w:pStyle w:val="Paragrafoelenco"/>
        <w:numPr>
          <w:ilvl w:val="0"/>
          <w:numId w:val="2"/>
        </w:numPr>
        <w:spacing w:line="18" w:lineRule="atLeast"/>
        <w:ind w:left="714" w:hanging="357"/>
        <w:jc w:val="both"/>
        <w:rPr>
          <w:rFonts w:ascii="Cambria" w:hAnsi="Cambria"/>
          <w:sz w:val="22"/>
          <w:szCs w:val="22"/>
        </w:rPr>
      </w:pPr>
      <w:proofErr w:type="gramStart"/>
      <w:r>
        <w:rPr>
          <w:rFonts w:ascii="Cambria" w:hAnsi="Cambria"/>
          <w:sz w:val="22"/>
        </w:rPr>
        <w:t>la</w:t>
      </w:r>
      <w:proofErr w:type="gramEnd"/>
      <w:r>
        <w:rPr>
          <w:rFonts w:ascii="Cambria" w:hAnsi="Cambria"/>
          <w:sz w:val="22"/>
        </w:rPr>
        <w:t xml:space="preserve"> juste valeur des actions est déterminée en utilisant la valeur de marché à la date de référence ;</w:t>
      </w:r>
    </w:p>
    <w:p w14:paraId="360EB9D8" w14:textId="658A305D" w:rsidR="00A80D3E" w:rsidRPr="00C17031" w:rsidRDefault="00BE3DB0" w:rsidP="00454EE7">
      <w:pPr>
        <w:pStyle w:val="Paragrafoelenco"/>
        <w:numPr>
          <w:ilvl w:val="0"/>
          <w:numId w:val="2"/>
        </w:numPr>
        <w:spacing w:after="200" w:line="18" w:lineRule="atLeast"/>
        <w:jc w:val="both"/>
        <w:rPr>
          <w:rFonts w:ascii="Cambria" w:hAnsi="Cambria"/>
          <w:sz w:val="22"/>
          <w:szCs w:val="22"/>
        </w:rPr>
      </w:pPr>
      <w:proofErr w:type="gramStart"/>
      <w:r>
        <w:rPr>
          <w:rFonts w:ascii="Cambria" w:hAnsi="Cambria"/>
          <w:sz w:val="22"/>
        </w:rPr>
        <w:t>la</w:t>
      </w:r>
      <w:proofErr w:type="gramEnd"/>
      <w:r>
        <w:rPr>
          <w:rFonts w:ascii="Cambria" w:hAnsi="Cambria"/>
          <w:sz w:val="22"/>
        </w:rPr>
        <w:t xml:space="preserve"> juste valeur des prêts et des prêts portant intérêt du Groupe est déterminée selon la méthode de l'actualisation des flux de trésorerie, avec un taux d'actualisation qui reflète le taux du prêt utilisé par l'émetteur à la fin de la période. Son risque de défaut au 30 juin 2021 et au 31 décembre 2020 a été évalué comme étant immatériel.</w:t>
      </w:r>
    </w:p>
    <w:p w14:paraId="6DFC6A29" w14:textId="6926210B" w:rsidR="00A80D3E" w:rsidRPr="00C17031" w:rsidRDefault="00BE3DB0" w:rsidP="00454EE7">
      <w:pPr>
        <w:spacing w:after="200" w:line="18" w:lineRule="atLeast"/>
        <w:jc w:val="both"/>
        <w:rPr>
          <w:rFonts w:ascii="Cambria" w:hAnsi="Cambria"/>
          <w:sz w:val="22"/>
          <w:szCs w:val="22"/>
        </w:rPr>
      </w:pPr>
      <w:r>
        <w:rPr>
          <w:rFonts w:ascii="Cambria" w:hAnsi="Cambria"/>
          <w:sz w:val="22"/>
        </w:rPr>
        <w:t xml:space="preserve">Il n'y a pas eu de transfert entre le niveau 1 et le niveau 2, ni d'estimation de la juste valeur au niveau 3 au 30 juin 2021 et au 31 décembre 2020. </w:t>
      </w:r>
    </w:p>
    <w:p w14:paraId="078186CE" w14:textId="77777777" w:rsidR="00BE3DB0" w:rsidRPr="00C17031" w:rsidRDefault="00BE3DB0" w:rsidP="00454EE7">
      <w:pPr>
        <w:spacing w:after="200" w:line="18" w:lineRule="atLeast"/>
        <w:jc w:val="both"/>
        <w:rPr>
          <w:rFonts w:ascii="Cambria" w:hAnsi="Cambria"/>
          <w:b/>
          <w:bCs/>
          <w:sz w:val="22"/>
          <w:szCs w:val="22"/>
        </w:rPr>
      </w:pPr>
      <w:r>
        <w:rPr>
          <w:rFonts w:ascii="Cambria" w:hAnsi="Cambria"/>
          <w:b/>
          <w:sz w:val="22"/>
        </w:rPr>
        <w:t>C.</w:t>
      </w:r>
      <w:r>
        <w:rPr>
          <w:rFonts w:ascii="Cambria" w:hAnsi="Cambria"/>
          <w:b/>
          <w:bCs/>
          <w:sz w:val="22"/>
          <w:szCs w:val="22"/>
        </w:rPr>
        <w:tab/>
      </w:r>
      <w:r>
        <w:rPr>
          <w:rFonts w:ascii="Cambria" w:hAnsi="Cambria"/>
          <w:b/>
          <w:sz w:val="22"/>
        </w:rPr>
        <w:t>Risques financiers</w:t>
      </w:r>
    </w:p>
    <w:p w14:paraId="0F1D537F" w14:textId="597450BD" w:rsidR="00E16D12" w:rsidRPr="00C17031" w:rsidRDefault="00FF78B3" w:rsidP="00454EE7">
      <w:pPr>
        <w:spacing w:after="200" w:line="18" w:lineRule="atLeast"/>
        <w:jc w:val="both"/>
        <w:rPr>
          <w:rFonts w:ascii="Cambria" w:hAnsi="Cambria"/>
          <w:sz w:val="22"/>
          <w:szCs w:val="22"/>
        </w:rPr>
      </w:pPr>
      <w:r>
        <w:rPr>
          <w:rFonts w:ascii="Cambria" w:hAnsi="Cambria"/>
          <w:sz w:val="22"/>
        </w:rPr>
        <w:t>En particulier, la société Take Off est exposée à des degrés divers à des risques de nature financière liés à l'activité de l'entreprise. En particulier, la société Take Off est simultanément exposée au risque de marché (risque de taux d'intérêt et risque de prix), au risque de liquidité et au risque de crédit.</w:t>
      </w:r>
    </w:p>
    <w:p w14:paraId="7318EDA0" w14:textId="77777777" w:rsidR="00E16D12" w:rsidRPr="00C17031" w:rsidRDefault="00E16D12" w:rsidP="00454EE7">
      <w:pPr>
        <w:spacing w:after="200" w:line="18" w:lineRule="atLeast"/>
        <w:jc w:val="both"/>
        <w:rPr>
          <w:rFonts w:ascii="Cambria" w:hAnsi="Cambria"/>
          <w:sz w:val="22"/>
          <w:szCs w:val="22"/>
        </w:rPr>
      </w:pPr>
      <w:r>
        <w:rPr>
          <w:rFonts w:ascii="Cambria" w:hAnsi="Cambria"/>
          <w:sz w:val="22"/>
        </w:rPr>
        <w:t>La gestion des risques financiers est effectuée sur la base de directives définies par la direction. L'objectif est de garantir une structure de passif toujours équilibrée avec la composition de l'actif de l'état de la situation financière, afin de maintenir une solvabilité adéquate de l'actif.</w:t>
      </w:r>
    </w:p>
    <w:p w14:paraId="1E60FFB3" w14:textId="77777777" w:rsidR="00E16D12" w:rsidRPr="00C17031" w:rsidRDefault="00E16D12" w:rsidP="00454EE7">
      <w:pPr>
        <w:spacing w:after="200" w:line="18" w:lineRule="atLeast"/>
        <w:jc w:val="both"/>
        <w:rPr>
          <w:rFonts w:ascii="Cambria" w:hAnsi="Cambria"/>
          <w:sz w:val="22"/>
          <w:szCs w:val="22"/>
        </w:rPr>
      </w:pPr>
      <w:r>
        <w:rPr>
          <w:rFonts w:ascii="Cambria" w:hAnsi="Cambria"/>
          <w:sz w:val="22"/>
        </w:rPr>
        <w:t>Les sources de financement utilisées par la Société se répartissent en un mélange de capital-risque, apporté de manière permanente par les actionnaires, et de capital d'emprunt, comprenant :</w:t>
      </w:r>
    </w:p>
    <w:p w14:paraId="0A3E3126" w14:textId="77777777" w:rsidR="00E16D12" w:rsidRPr="00C17031" w:rsidRDefault="00E16D12" w:rsidP="00454EE7">
      <w:pPr>
        <w:pStyle w:val="Paragrafoelenco"/>
        <w:numPr>
          <w:ilvl w:val="0"/>
          <w:numId w:val="2"/>
        </w:numPr>
        <w:spacing w:after="200" w:line="18" w:lineRule="atLeast"/>
        <w:ind w:left="284" w:hanging="284"/>
        <w:jc w:val="both"/>
        <w:rPr>
          <w:rFonts w:ascii="Cambria" w:hAnsi="Cambria"/>
          <w:sz w:val="22"/>
          <w:szCs w:val="22"/>
        </w:rPr>
      </w:pPr>
      <w:proofErr w:type="gramStart"/>
      <w:r>
        <w:rPr>
          <w:rFonts w:ascii="Cambria" w:hAnsi="Cambria"/>
          <w:sz w:val="22"/>
        </w:rPr>
        <w:t>des</w:t>
      </w:r>
      <w:proofErr w:type="gramEnd"/>
      <w:r>
        <w:rPr>
          <w:rFonts w:ascii="Cambria" w:hAnsi="Cambria"/>
          <w:sz w:val="22"/>
        </w:rPr>
        <w:t xml:space="preserve"> prêts à moyen/long terme avec un plan d'amortissement pluriannuel, pour couvrir les investissements en actifs à long terme ;</w:t>
      </w:r>
    </w:p>
    <w:p w14:paraId="0EF03E59" w14:textId="77777777" w:rsidR="00E16D12" w:rsidRPr="00C17031" w:rsidRDefault="00E16D12" w:rsidP="00454EE7">
      <w:pPr>
        <w:pStyle w:val="Paragrafoelenco"/>
        <w:numPr>
          <w:ilvl w:val="0"/>
          <w:numId w:val="2"/>
        </w:numPr>
        <w:spacing w:after="200" w:line="18" w:lineRule="atLeast"/>
        <w:ind w:left="284" w:hanging="284"/>
        <w:jc w:val="both"/>
        <w:rPr>
          <w:rFonts w:ascii="Cambria" w:hAnsi="Cambria"/>
          <w:sz w:val="22"/>
          <w:szCs w:val="22"/>
        </w:rPr>
      </w:pPr>
      <w:proofErr w:type="gramStart"/>
      <w:r>
        <w:rPr>
          <w:rFonts w:ascii="Cambria" w:hAnsi="Cambria"/>
          <w:sz w:val="22"/>
        </w:rPr>
        <w:t>des</w:t>
      </w:r>
      <w:proofErr w:type="gramEnd"/>
      <w:r>
        <w:rPr>
          <w:rFonts w:ascii="Cambria" w:hAnsi="Cambria"/>
          <w:sz w:val="22"/>
        </w:rPr>
        <w:t xml:space="preserve"> contrats de crédit-bail immobilier.</w:t>
      </w:r>
    </w:p>
    <w:p w14:paraId="31949102" w14:textId="77777777" w:rsidR="00E16D12" w:rsidRPr="00C17031" w:rsidRDefault="00E16D12" w:rsidP="00454EE7">
      <w:pPr>
        <w:spacing w:after="200" w:line="18" w:lineRule="atLeast"/>
        <w:jc w:val="both"/>
        <w:rPr>
          <w:rFonts w:ascii="Cambria" w:hAnsi="Cambria"/>
          <w:b/>
          <w:sz w:val="22"/>
          <w:szCs w:val="22"/>
        </w:rPr>
      </w:pPr>
      <w:r>
        <w:rPr>
          <w:rFonts w:ascii="Cambria" w:hAnsi="Cambria"/>
          <w:b/>
          <w:sz w:val="22"/>
        </w:rPr>
        <w:t>Risque de marché</w:t>
      </w:r>
    </w:p>
    <w:p w14:paraId="2B8BC7CE" w14:textId="77777777" w:rsidR="00E16D12" w:rsidRPr="00C17031" w:rsidRDefault="00E16D12" w:rsidP="00454EE7">
      <w:pPr>
        <w:spacing w:after="200" w:line="18" w:lineRule="atLeast"/>
        <w:jc w:val="both"/>
        <w:rPr>
          <w:rFonts w:ascii="Cambria" w:hAnsi="Cambria"/>
          <w:sz w:val="22"/>
          <w:szCs w:val="22"/>
        </w:rPr>
      </w:pPr>
      <w:r>
        <w:rPr>
          <w:rFonts w:ascii="Cambria" w:hAnsi="Cambria"/>
          <w:sz w:val="22"/>
        </w:rPr>
        <w:t xml:space="preserve">Le risque de marché est le risque de fluctuation des flux futurs d'un instrument financier </w:t>
      </w:r>
      <w:proofErr w:type="gramStart"/>
      <w:r>
        <w:rPr>
          <w:rFonts w:ascii="Cambria" w:hAnsi="Cambria"/>
          <w:sz w:val="22"/>
        </w:rPr>
        <w:t>suite aux</w:t>
      </w:r>
      <w:proofErr w:type="gramEnd"/>
      <w:r>
        <w:rPr>
          <w:rFonts w:ascii="Cambria" w:hAnsi="Cambria"/>
          <w:sz w:val="22"/>
        </w:rPr>
        <w:t xml:space="preserve"> variations des prix du marché. Il se compose de deux types de risques :</w:t>
      </w:r>
    </w:p>
    <w:p w14:paraId="2C7CE7A7" w14:textId="77777777" w:rsidR="00E16D12" w:rsidRPr="00C17031" w:rsidRDefault="00E16D12" w:rsidP="00454EE7">
      <w:pPr>
        <w:pStyle w:val="Paragrafoelenco"/>
        <w:numPr>
          <w:ilvl w:val="0"/>
          <w:numId w:val="2"/>
        </w:numPr>
        <w:spacing w:after="200" w:line="18" w:lineRule="atLeast"/>
        <w:ind w:left="284" w:hanging="284"/>
        <w:jc w:val="both"/>
        <w:rPr>
          <w:rFonts w:ascii="Cambria" w:hAnsi="Cambria"/>
          <w:sz w:val="22"/>
          <w:szCs w:val="22"/>
        </w:rPr>
      </w:pPr>
      <w:proofErr w:type="gramStart"/>
      <w:r>
        <w:rPr>
          <w:rFonts w:ascii="Cambria" w:hAnsi="Cambria"/>
          <w:sz w:val="22"/>
        </w:rPr>
        <w:t>le</w:t>
      </w:r>
      <w:proofErr w:type="gramEnd"/>
      <w:r>
        <w:rPr>
          <w:rFonts w:ascii="Cambria" w:hAnsi="Cambria"/>
          <w:sz w:val="22"/>
        </w:rPr>
        <w:t xml:space="preserve"> risque de taux d'intérêt ;</w:t>
      </w:r>
    </w:p>
    <w:p w14:paraId="4ECFC5E3" w14:textId="77777777" w:rsidR="00E16D12" w:rsidRPr="00C17031" w:rsidRDefault="00E16D12" w:rsidP="00454EE7">
      <w:pPr>
        <w:pStyle w:val="Paragrafoelenco"/>
        <w:numPr>
          <w:ilvl w:val="0"/>
          <w:numId w:val="2"/>
        </w:numPr>
        <w:spacing w:after="200" w:line="18" w:lineRule="atLeast"/>
        <w:ind w:left="284" w:hanging="284"/>
        <w:jc w:val="both"/>
        <w:rPr>
          <w:rFonts w:ascii="Cambria" w:hAnsi="Cambria"/>
          <w:sz w:val="22"/>
          <w:szCs w:val="22"/>
        </w:rPr>
      </w:pPr>
      <w:proofErr w:type="gramStart"/>
      <w:r>
        <w:rPr>
          <w:rFonts w:ascii="Cambria" w:hAnsi="Cambria"/>
          <w:sz w:val="22"/>
        </w:rPr>
        <w:t>le</w:t>
      </w:r>
      <w:proofErr w:type="gramEnd"/>
      <w:r>
        <w:rPr>
          <w:rFonts w:ascii="Cambria" w:hAnsi="Cambria"/>
          <w:sz w:val="22"/>
        </w:rPr>
        <w:t xml:space="preserve"> risque lié au prix.</w:t>
      </w:r>
    </w:p>
    <w:p w14:paraId="13E7759A" w14:textId="77777777" w:rsidR="00E16D12" w:rsidRPr="00C17031" w:rsidRDefault="00E16D12" w:rsidP="00454EE7">
      <w:pPr>
        <w:spacing w:after="200" w:line="18" w:lineRule="atLeast"/>
        <w:jc w:val="both"/>
        <w:rPr>
          <w:rFonts w:ascii="Cambria" w:hAnsi="Cambria"/>
          <w:i/>
          <w:sz w:val="22"/>
          <w:szCs w:val="22"/>
        </w:rPr>
      </w:pPr>
      <w:r>
        <w:rPr>
          <w:rFonts w:ascii="Cambria" w:hAnsi="Cambria"/>
          <w:i/>
          <w:sz w:val="22"/>
        </w:rPr>
        <w:t>Le risque de taux d'intérêt</w:t>
      </w:r>
    </w:p>
    <w:p w14:paraId="31974A25" w14:textId="69B46CB7" w:rsidR="00E16D12" w:rsidRDefault="00E16D12" w:rsidP="00E16D12">
      <w:pPr>
        <w:spacing w:after="200" w:line="276" w:lineRule="auto"/>
        <w:jc w:val="both"/>
        <w:rPr>
          <w:rFonts w:ascii="Cambria" w:hAnsi="Cambria"/>
          <w:sz w:val="22"/>
        </w:rPr>
      </w:pPr>
      <w:r>
        <w:rPr>
          <w:rFonts w:ascii="Cambria" w:hAnsi="Cambria"/>
          <w:sz w:val="22"/>
        </w:rPr>
        <w:t xml:space="preserve">Le risque de taux d'intérêt est le risque de fluctuations des flux futurs d'un instrument financier </w:t>
      </w:r>
      <w:proofErr w:type="gramStart"/>
      <w:r>
        <w:rPr>
          <w:rFonts w:ascii="Cambria" w:hAnsi="Cambria"/>
          <w:sz w:val="22"/>
        </w:rPr>
        <w:t>suite à des</w:t>
      </w:r>
      <w:proofErr w:type="gramEnd"/>
      <w:r>
        <w:rPr>
          <w:rFonts w:ascii="Cambria" w:hAnsi="Cambria"/>
          <w:sz w:val="22"/>
        </w:rPr>
        <w:t xml:space="preserve"> variations des taux d'intérêt.</w:t>
      </w:r>
    </w:p>
    <w:p w14:paraId="49BBA6CF" w14:textId="77777777" w:rsidR="00454EE7" w:rsidRPr="00C17031" w:rsidRDefault="00454EE7" w:rsidP="00E16D12">
      <w:pPr>
        <w:spacing w:after="200" w:line="276" w:lineRule="auto"/>
        <w:jc w:val="both"/>
        <w:rPr>
          <w:rFonts w:ascii="Cambria" w:hAnsi="Cambria"/>
          <w:sz w:val="22"/>
          <w:szCs w:val="22"/>
        </w:rPr>
      </w:pPr>
    </w:p>
    <w:p w14:paraId="140445EF" w14:textId="0B8D2295" w:rsidR="00E16D12" w:rsidRPr="00C17031" w:rsidRDefault="00E16D12" w:rsidP="00E16D12">
      <w:pPr>
        <w:spacing w:after="200" w:line="276" w:lineRule="auto"/>
        <w:jc w:val="both"/>
        <w:rPr>
          <w:rFonts w:ascii="Cambria" w:hAnsi="Cambria"/>
          <w:sz w:val="22"/>
          <w:szCs w:val="22"/>
        </w:rPr>
      </w:pPr>
      <w:r>
        <w:rPr>
          <w:rFonts w:ascii="Cambria" w:hAnsi="Cambria"/>
          <w:sz w:val="22"/>
        </w:rPr>
        <w:lastRenderedPageBreak/>
        <w:t>La sensibilité du Groupe au risque de taux d'intérêt est gérée par une prise en compte appropriée de l'exposition globale : dans le cadre de la politique générale d'optimisation des ressources financières, le Groupe recherche un équilibre en recourant aux formes de financement les moins coûteuses.</w:t>
      </w:r>
    </w:p>
    <w:p w14:paraId="02FBA929" w14:textId="76B85938" w:rsidR="00380D3B" w:rsidRPr="00C17031" w:rsidRDefault="00E16D12" w:rsidP="00380D3B">
      <w:pPr>
        <w:spacing w:after="200" w:line="276" w:lineRule="auto"/>
        <w:jc w:val="both"/>
        <w:rPr>
          <w:rFonts w:ascii="Cambria" w:hAnsi="Cambria"/>
          <w:sz w:val="22"/>
          <w:szCs w:val="22"/>
        </w:rPr>
      </w:pPr>
      <w:r>
        <w:rPr>
          <w:rFonts w:ascii="Cambria" w:hAnsi="Cambria"/>
          <w:sz w:val="22"/>
        </w:rPr>
        <w:t xml:space="preserve">Les principales sources d'exposition du Groupe au risque de taux d'intérêt sont imputables aux emprunts bancaires, à taux variable et donc soumis à un risque de variation des flux de trésorerie. Ce risque affecte les dettes de leasing, évaluées au taux marginal d'emprunt. </w:t>
      </w:r>
    </w:p>
    <w:p w14:paraId="0B953A60" w14:textId="5D051C37" w:rsidR="00E16D12" w:rsidRDefault="00E16D12" w:rsidP="00E16D12">
      <w:pPr>
        <w:spacing w:after="200" w:line="276" w:lineRule="auto"/>
        <w:jc w:val="both"/>
        <w:rPr>
          <w:rFonts w:ascii="Cambria" w:hAnsi="Cambria"/>
          <w:sz w:val="22"/>
          <w:szCs w:val="22"/>
        </w:rPr>
      </w:pPr>
      <w:r>
        <w:rPr>
          <w:rFonts w:ascii="Cambria" w:hAnsi="Cambria"/>
          <w:sz w:val="22"/>
        </w:rPr>
        <w:t>Le tableau suivant présente la valeur comptable, par échéance, des instruments financiers du Groupe qui sont exposés au risque de taux d'intérêt :</w:t>
      </w:r>
    </w:p>
    <w:tbl>
      <w:tblPr>
        <w:tblW w:w="9983" w:type="dxa"/>
        <w:tblCellMar>
          <w:left w:w="70" w:type="dxa"/>
          <w:right w:w="70" w:type="dxa"/>
        </w:tblCellMar>
        <w:tblLook w:val="04A0" w:firstRow="1" w:lastRow="0" w:firstColumn="1" w:lastColumn="0" w:noHBand="0" w:noVBand="1"/>
      </w:tblPr>
      <w:tblGrid>
        <w:gridCol w:w="3544"/>
        <w:gridCol w:w="2126"/>
        <w:gridCol w:w="1016"/>
        <w:gridCol w:w="1660"/>
        <w:gridCol w:w="1660"/>
      </w:tblGrid>
      <w:tr w:rsidR="009E50B5" w14:paraId="78B6AFC4" w14:textId="77777777" w:rsidTr="0061181E">
        <w:trPr>
          <w:trHeight w:val="495"/>
        </w:trPr>
        <w:tc>
          <w:tcPr>
            <w:tcW w:w="3544" w:type="dxa"/>
            <w:tcBorders>
              <w:top w:val="single" w:sz="4" w:space="0" w:color="0070C0"/>
              <w:left w:val="nil"/>
              <w:bottom w:val="single" w:sz="8" w:space="0" w:color="0070C0"/>
              <w:right w:val="nil"/>
            </w:tcBorders>
            <w:shd w:val="clear" w:color="auto" w:fill="auto"/>
            <w:noWrap/>
            <w:vAlign w:val="bottom"/>
            <w:hideMark/>
          </w:tcPr>
          <w:p w14:paraId="39AB19FB" w14:textId="77777777" w:rsidR="009E50B5" w:rsidRDefault="009E50B5">
            <w:pPr>
              <w:rPr>
                <w:rFonts w:ascii="Cambria" w:hAnsi="Cambria" w:cs="Arial"/>
                <w:color w:val="000000"/>
                <w:sz w:val="18"/>
                <w:szCs w:val="18"/>
              </w:rPr>
            </w:pPr>
            <w:r>
              <w:rPr>
                <w:rFonts w:ascii="Cambria" w:hAnsi="Cambria"/>
                <w:color w:val="000000"/>
                <w:sz w:val="18"/>
              </w:rPr>
              <w:t>(</w:t>
            </w:r>
            <w:proofErr w:type="gramStart"/>
            <w:r>
              <w:rPr>
                <w:rFonts w:ascii="Cambria" w:hAnsi="Cambria"/>
                <w:color w:val="000000"/>
                <w:sz w:val="18"/>
              </w:rPr>
              <w:t>en</w:t>
            </w:r>
            <w:proofErr w:type="gramEnd"/>
            <w:r>
              <w:rPr>
                <w:rFonts w:ascii="Cambria" w:hAnsi="Cambria"/>
                <w:color w:val="000000"/>
                <w:sz w:val="18"/>
              </w:rPr>
              <w:t xml:space="preserve"> euros)</w:t>
            </w:r>
          </w:p>
        </w:tc>
        <w:tc>
          <w:tcPr>
            <w:tcW w:w="2126" w:type="dxa"/>
            <w:tcBorders>
              <w:top w:val="single" w:sz="4" w:space="0" w:color="0070C0"/>
              <w:left w:val="nil"/>
              <w:bottom w:val="single" w:sz="8" w:space="0" w:color="0070C0"/>
              <w:right w:val="nil"/>
            </w:tcBorders>
            <w:shd w:val="clear" w:color="auto" w:fill="auto"/>
            <w:vAlign w:val="bottom"/>
            <w:hideMark/>
          </w:tcPr>
          <w:p w14:paraId="74107AA3" w14:textId="77777777" w:rsidR="009E50B5" w:rsidRDefault="009E50B5">
            <w:pPr>
              <w:jc w:val="center"/>
              <w:rPr>
                <w:rFonts w:ascii="Cambria" w:hAnsi="Cambria" w:cs="Arial"/>
                <w:b/>
                <w:bCs/>
                <w:color w:val="000000"/>
                <w:sz w:val="18"/>
                <w:szCs w:val="18"/>
              </w:rPr>
            </w:pPr>
            <w:r>
              <w:rPr>
                <w:rFonts w:ascii="Cambria" w:hAnsi="Cambria"/>
                <w:b/>
                <w:color w:val="000000"/>
                <w:sz w:val="18"/>
              </w:rPr>
              <w:t>Taux d'intérêt</w:t>
            </w:r>
          </w:p>
        </w:tc>
        <w:tc>
          <w:tcPr>
            <w:tcW w:w="993" w:type="dxa"/>
            <w:tcBorders>
              <w:top w:val="single" w:sz="4" w:space="0" w:color="0070C0"/>
              <w:left w:val="nil"/>
              <w:bottom w:val="single" w:sz="8" w:space="0" w:color="0070C0"/>
              <w:right w:val="nil"/>
            </w:tcBorders>
            <w:shd w:val="clear" w:color="auto" w:fill="auto"/>
            <w:vAlign w:val="bottom"/>
            <w:hideMark/>
          </w:tcPr>
          <w:p w14:paraId="373DB1DB" w14:textId="77777777" w:rsidR="009E50B5" w:rsidRDefault="009E50B5">
            <w:pPr>
              <w:jc w:val="center"/>
              <w:rPr>
                <w:rFonts w:ascii="Cambria" w:hAnsi="Cambria" w:cs="Arial"/>
                <w:b/>
                <w:bCs/>
                <w:color w:val="000000"/>
                <w:sz w:val="18"/>
                <w:szCs w:val="18"/>
              </w:rPr>
            </w:pPr>
            <w:r>
              <w:rPr>
                <w:rFonts w:ascii="Cambria" w:hAnsi="Cambria"/>
                <w:b/>
                <w:color w:val="000000"/>
                <w:sz w:val="18"/>
              </w:rPr>
              <w:t>Expiration</w:t>
            </w:r>
          </w:p>
        </w:tc>
        <w:tc>
          <w:tcPr>
            <w:tcW w:w="1660" w:type="dxa"/>
            <w:tcBorders>
              <w:top w:val="single" w:sz="4" w:space="0" w:color="0070C0"/>
              <w:left w:val="nil"/>
              <w:bottom w:val="single" w:sz="8" w:space="0" w:color="0070C0"/>
              <w:right w:val="nil"/>
            </w:tcBorders>
            <w:shd w:val="clear" w:color="auto" w:fill="auto"/>
            <w:vAlign w:val="bottom"/>
            <w:hideMark/>
          </w:tcPr>
          <w:p w14:paraId="54DCF51A" w14:textId="77777777" w:rsidR="009E50B5" w:rsidRDefault="009E50B5">
            <w:pPr>
              <w:jc w:val="center"/>
              <w:rPr>
                <w:rFonts w:ascii="Cambria" w:hAnsi="Cambria" w:cs="Arial"/>
                <w:b/>
                <w:bCs/>
                <w:color w:val="000000"/>
                <w:sz w:val="18"/>
                <w:szCs w:val="18"/>
              </w:rPr>
            </w:pPr>
            <w:r>
              <w:rPr>
                <w:rFonts w:ascii="Cambria" w:hAnsi="Cambria"/>
                <w:b/>
                <w:color w:val="000000"/>
                <w:sz w:val="18"/>
              </w:rPr>
              <w:t>30 juin 2021</w:t>
            </w:r>
          </w:p>
        </w:tc>
        <w:tc>
          <w:tcPr>
            <w:tcW w:w="1660" w:type="dxa"/>
            <w:tcBorders>
              <w:top w:val="single" w:sz="4" w:space="0" w:color="0070C0"/>
              <w:left w:val="nil"/>
              <w:bottom w:val="single" w:sz="8" w:space="0" w:color="0070C0"/>
              <w:right w:val="nil"/>
            </w:tcBorders>
            <w:shd w:val="clear" w:color="auto" w:fill="auto"/>
            <w:vAlign w:val="bottom"/>
            <w:hideMark/>
          </w:tcPr>
          <w:p w14:paraId="3BB3B86B" w14:textId="77777777" w:rsidR="009E50B5" w:rsidRDefault="009E50B5">
            <w:pPr>
              <w:jc w:val="center"/>
              <w:rPr>
                <w:rFonts w:ascii="Cambria" w:hAnsi="Cambria" w:cs="Arial"/>
                <w:b/>
                <w:bCs/>
                <w:color w:val="000000"/>
                <w:sz w:val="18"/>
                <w:szCs w:val="18"/>
              </w:rPr>
            </w:pPr>
            <w:r>
              <w:rPr>
                <w:rFonts w:ascii="Cambria" w:hAnsi="Cambria"/>
                <w:b/>
                <w:color w:val="000000"/>
                <w:sz w:val="18"/>
              </w:rPr>
              <w:t>31 décembre 2020</w:t>
            </w:r>
          </w:p>
        </w:tc>
      </w:tr>
      <w:tr w:rsidR="009E50B5" w14:paraId="20A7411F" w14:textId="77777777" w:rsidTr="0061181E">
        <w:trPr>
          <w:trHeight w:val="240"/>
        </w:trPr>
        <w:tc>
          <w:tcPr>
            <w:tcW w:w="3544" w:type="dxa"/>
            <w:tcBorders>
              <w:top w:val="nil"/>
              <w:left w:val="nil"/>
              <w:bottom w:val="nil"/>
              <w:right w:val="nil"/>
            </w:tcBorders>
            <w:shd w:val="clear" w:color="auto" w:fill="auto"/>
            <w:noWrap/>
            <w:vAlign w:val="bottom"/>
            <w:hideMark/>
          </w:tcPr>
          <w:p w14:paraId="1381FCAC" w14:textId="77777777" w:rsidR="009E50B5" w:rsidRDefault="009E50B5">
            <w:pPr>
              <w:rPr>
                <w:rFonts w:ascii="Cambria" w:hAnsi="Cambria" w:cs="Arial"/>
                <w:b/>
                <w:bCs/>
                <w:color w:val="000000"/>
                <w:sz w:val="18"/>
                <w:szCs w:val="18"/>
              </w:rPr>
            </w:pPr>
            <w:r>
              <w:rPr>
                <w:rFonts w:ascii="Cambria" w:hAnsi="Cambria"/>
                <w:b/>
                <w:color w:val="000000"/>
                <w:sz w:val="18"/>
              </w:rPr>
              <w:t>Passifs financiers à long terme</w:t>
            </w:r>
          </w:p>
        </w:tc>
        <w:tc>
          <w:tcPr>
            <w:tcW w:w="2126" w:type="dxa"/>
            <w:tcBorders>
              <w:top w:val="nil"/>
              <w:left w:val="nil"/>
              <w:bottom w:val="nil"/>
              <w:right w:val="nil"/>
            </w:tcBorders>
            <w:shd w:val="clear" w:color="auto" w:fill="auto"/>
            <w:noWrap/>
            <w:vAlign w:val="bottom"/>
            <w:hideMark/>
          </w:tcPr>
          <w:p w14:paraId="7CC71FBB" w14:textId="77777777" w:rsidR="009E50B5" w:rsidRDefault="009E50B5">
            <w:pPr>
              <w:rPr>
                <w:rFonts w:ascii="Cambria" w:hAnsi="Cambria" w:cs="Arial"/>
                <w:b/>
                <w:bCs/>
                <w:color w:val="000000"/>
                <w:sz w:val="18"/>
                <w:szCs w:val="18"/>
              </w:rPr>
            </w:pPr>
          </w:p>
        </w:tc>
        <w:tc>
          <w:tcPr>
            <w:tcW w:w="993" w:type="dxa"/>
            <w:tcBorders>
              <w:top w:val="nil"/>
              <w:left w:val="nil"/>
              <w:bottom w:val="nil"/>
              <w:right w:val="nil"/>
            </w:tcBorders>
            <w:shd w:val="clear" w:color="auto" w:fill="auto"/>
            <w:noWrap/>
            <w:vAlign w:val="bottom"/>
            <w:hideMark/>
          </w:tcPr>
          <w:p w14:paraId="7E19538C" w14:textId="77777777" w:rsidR="009E50B5" w:rsidRDefault="009E50B5">
            <w:pPr>
              <w:rPr>
                <w:sz w:val="20"/>
                <w:szCs w:val="20"/>
              </w:rPr>
            </w:pPr>
          </w:p>
        </w:tc>
        <w:tc>
          <w:tcPr>
            <w:tcW w:w="1660" w:type="dxa"/>
            <w:tcBorders>
              <w:top w:val="nil"/>
              <w:left w:val="nil"/>
              <w:bottom w:val="nil"/>
              <w:right w:val="nil"/>
            </w:tcBorders>
            <w:shd w:val="clear" w:color="auto" w:fill="auto"/>
            <w:noWrap/>
            <w:vAlign w:val="bottom"/>
            <w:hideMark/>
          </w:tcPr>
          <w:p w14:paraId="2CA72390" w14:textId="77777777" w:rsidR="009E50B5" w:rsidRDefault="009E50B5">
            <w:pPr>
              <w:rPr>
                <w:sz w:val="20"/>
                <w:szCs w:val="20"/>
              </w:rPr>
            </w:pPr>
          </w:p>
        </w:tc>
        <w:tc>
          <w:tcPr>
            <w:tcW w:w="1660" w:type="dxa"/>
            <w:tcBorders>
              <w:top w:val="nil"/>
              <w:left w:val="nil"/>
              <w:bottom w:val="nil"/>
              <w:right w:val="nil"/>
            </w:tcBorders>
            <w:shd w:val="clear" w:color="auto" w:fill="auto"/>
            <w:noWrap/>
            <w:vAlign w:val="bottom"/>
            <w:hideMark/>
          </w:tcPr>
          <w:p w14:paraId="230C0EFA" w14:textId="77777777" w:rsidR="009E50B5" w:rsidRDefault="009E50B5">
            <w:pPr>
              <w:rPr>
                <w:sz w:val="20"/>
                <w:szCs w:val="20"/>
              </w:rPr>
            </w:pPr>
          </w:p>
        </w:tc>
      </w:tr>
      <w:tr w:rsidR="009E50B5" w14:paraId="01C6515F" w14:textId="77777777" w:rsidTr="0061181E">
        <w:trPr>
          <w:trHeight w:val="240"/>
        </w:trPr>
        <w:tc>
          <w:tcPr>
            <w:tcW w:w="3544" w:type="dxa"/>
            <w:tcBorders>
              <w:top w:val="nil"/>
              <w:left w:val="nil"/>
              <w:bottom w:val="nil"/>
              <w:right w:val="nil"/>
            </w:tcBorders>
            <w:shd w:val="clear" w:color="auto" w:fill="auto"/>
            <w:noWrap/>
            <w:vAlign w:val="bottom"/>
            <w:hideMark/>
          </w:tcPr>
          <w:p w14:paraId="4B7A13DC" w14:textId="77777777" w:rsidR="009E50B5" w:rsidRDefault="009E50B5">
            <w:pPr>
              <w:rPr>
                <w:rFonts w:ascii="Cambria" w:hAnsi="Cambria" w:cs="Arial"/>
                <w:color w:val="000000"/>
                <w:sz w:val="18"/>
                <w:szCs w:val="18"/>
              </w:rPr>
            </w:pPr>
            <w:r>
              <w:rPr>
                <w:rFonts w:ascii="Cambria" w:hAnsi="Cambria"/>
                <w:color w:val="000000"/>
                <w:sz w:val="18"/>
              </w:rPr>
              <w:t>Prêt de la BCC</w:t>
            </w:r>
          </w:p>
        </w:tc>
        <w:tc>
          <w:tcPr>
            <w:tcW w:w="2126" w:type="dxa"/>
            <w:tcBorders>
              <w:top w:val="nil"/>
              <w:left w:val="nil"/>
              <w:bottom w:val="nil"/>
              <w:right w:val="nil"/>
            </w:tcBorders>
            <w:shd w:val="clear" w:color="auto" w:fill="auto"/>
            <w:noWrap/>
            <w:vAlign w:val="bottom"/>
            <w:hideMark/>
          </w:tcPr>
          <w:p w14:paraId="2558B158" w14:textId="77777777" w:rsidR="009E50B5" w:rsidRDefault="009E50B5">
            <w:pPr>
              <w:jc w:val="center"/>
              <w:rPr>
                <w:rFonts w:ascii="Cambria" w:hAnsi="Cambria" w:cs="Arial"/>
                <w:color w:val="000000"/>
                <w:sz w:val="18"/>
                <w:szCs w:val="18"/>
              </w:rPr>
            </w:pPr>
            <w:r>
              <w:rPr>
                <w:rFonts w:ascii="Cambria" w:hAnsi="Cambria"/>
                <w:color w:val="000000"/>
                <w:sz w:val="18"/>
              </w:rPr>
              <w:t>Euribor 3 mois + spread</w:t>
            </w:r>
          </w:p>
        </w:tc>
        <w:tc>
          <w:tcPr>
            <w:tcW w:w="993" w:type="dxa"/>
            <w:tcBorders>
              <w:top w:val="nil"/>
              <w:left w:val="nil"/>
              <w:bottom w:val="nil"/>
              <w:right w:val="nil"/>
            </w:tcBorders>
            <w:shd w:val="clear" w:color="auto" w:fill="auto"/>
            <w:noWrap/>
            <w:vAlign w:val="bottom"/>
            <w:hideMark/>
          </w:tcPr>
          <w:p w14:paraId="56984F50" w14:textId="77777777" w:rsidR="009E50B5" w:rsidRDefault="009E50B5">
            <w:pPr>
              <w:jc w:val="center"/>
              <w:rPr>
                <w:rFonts w:ascii="Cambria" w:hAnsi="Cambria" w:cs="Arial"/>
                <w:color w:val="000000"/>
                <w:sz w:val="18"/>
                <w:szCs w:val="18"/>
              </w:rPr>
            </w:pPr>
            <w:r>
              <w:rPr>
                <w:rFonts w:ascii="Cambria" w:hAnsi="Cambria"/>
                <w:color w:val="000000"/>
                <w:sz w:val="18"/>
              </w:rPr>
              <w:t>2022</w:t>
            </w:r>
          </w:p>
        </w:tc>
        <w:tc>
          <w:tcPr>
            <w:tcW w:w="1660" w:type="dxa"/>
            <w:tcBorders>
              <w:top w:val="nil"/>
              <w:left w:val="nil"/>
              <w:bottom w:val="nil"/>
              <w:right w:val="nil"/>
            </w:tcBorders>
            <w:shd w:val="clear" w:color="auto" w:fill="auto"/>
            <w:noWrap/>
            <w:vAlign w:val="bottom"/>
            <w:hideMark/>
          </w:tcPr>
          <w:p w14:paraId="2C27A1CE" w14:textId="77777777" w:rsidR="009E50B5" w:rsidRDefault="009E50B5">
            <w:pPr>
              <w:jc w:val="right"/>
              <w:rPr>
                <w:rFonts w:ascii="Cambria" w:hAnsi="Cambria" w:cs="Arial"/>
                <w:color w:val="000000"/>
                <w:sz w:val="18"/>
                <w:szCs w:val="18"/>
              </w:rPr>
            </w:pPr>
            <w:r>
              <w:rPr>
                <w:rFonts w:ascii="Cambria" w:hAnsi="Cambria"/>
                <w:color w:val="000000"/>
                <w:sz w:val="18"/>
              </w:rPr>
              <w:t>26 819</w:t>
            </w:r>
          </w:p>
        </w:tc>
        <w:tc>
          <w:tcPr>
            <w:tcW w:w="1660" w:type="dxa"/>
            <w:tcBorders>
              <w:top w:val="nil"/>
              <w:left w:val="nil"/>
              <w:bottom w:val="nil"/>
              <w:right w:val="nil"/>
            </w:tcBorders>
            <w:shd w:val="clear" w:color="auto" w:fill="auto"/>
            <w:noWrap/>
            <w:vAlign w:val="bottom"/>
            <w:hideMark/>
          </w:tcPr>
          <w:p w14:paraId="07772B57" w14:textId="77777777" w:rsidR="009E50B5" w:rsidRDefault="009E50B5">
            <w:pPr>
              <w:jc w:val="right"/>
              <w:rPr>
                <w:rFonts w:ascii="Cambria" w:hAnsi="Cambria" w:cs="Arial"/>
                <w:color w:val="000000"/>
                <w:sz w:val="18"/>
                <w:szCs w:val="18"/>
              </w:rPr>
            </w:pPr>
            <w:r>
              <w:rPr>
                <w:rFonts w:ascii="Cambria" w:hAnsi="Cambria"/>
                <w:color w:val="000000"/>
                <w:sz w:val="18"/>
              </w:rPr>
              <w:t>71 849</w:t>
            </w:r>
          </w:p>
        </w:tc>
      </w:tr>
      <w:tr w:rsidR="009E50B5" w14:paraId="49D8EE75" w14:textId="77777777" w:rsidTr="0061181E">
        <w:trPr>
          <w:trHeight w:val="240"/>
        </w:trPr>
        <w:tc>
          <w:tcPr>
            <w:tcW w:w="3544" w:type="dxa"/>
            <w:tcBorders>
              <w:top w:val="nil"/>
              <w:left w:val="nil"/>
              <w:bottom w:val="nil"/>
              <w:right w:val="nil"/>
            </w:tcBorders>
            <w:shd w:val="clear" w:color="auto" w:fill="auto"/>
            <w:noWrap/>
            <w:vAlign w:val="bottom"/>
            <w:hideMark/>
          </w:tcPr>
          <w:p w14:paraId="302C55CC" w14:textId="77777777" w:rsidR="009E50B5" w:rsidRDefault="009E50B5">
            <w:pPr>
              <w:rPr>
                <w:rFonts w:ascii="Cambria" w:hAnsi="Cambria" w:cs="Arial"/>
                <w:color w:val="000000"/>
                <w:sz w:val="18"/>
                <w:szCs w:val="18"/>
              </w:rPr>
            </w:pPr>
            <w:r>
              <w:rPr>
                <w:rFonts w:ascii="Cambria" w:hAnsi="Cambria"/>
                <w:color w:val="000000"/>
                <w:sz w:val="18"/>
              </w:rPr>
              <w:t>Prêt de la BPB</w:t>
            </w:r>
          </w:p>
        </w:tc>
        <w:tc>
          <w:tcPr>
            <w:tcW w:w="2126" w:type="dxa"/>
            <w:tcBorders>
              <w:top w:val="nil"/>
              <w:left w:val="nil"/>
              <w:bottom w:val="nil"/>
              <w:right w:val="nil"/>
            </w:tcBorders>
            <w:shd w:val="clear" w:color="auto" w:fill="auto"/>
            <w:noWrap/>
            <w:vAlign w:val="bottom"/>
            <w:hideMark/>
          </w:tcPr>
          <w:p w14:paraId="2FE43400" w14:textId="77777777" w:rsidR="009E50B5" w:rsidRDefault="009E50B5">
            <w:pPr>
              <w:jc w:val="center"/>
              <w:rPr>
                <w:rFonts w:ascii="Cambria" w:hAnsi="Cambria" w:cs="Arial"/>
                <w:color w:val="000000"/>
                <w:sz w:val="18"/>
                <w:szCs w:val="18"/>
              </w:rPr>
            </w:pPr>
            <w:r>
              <w:rPr>
                <w:rFonts w:ascii="Cambria" w:hAnsi="Cambria"/>
                <w:color w:val="000000"/>
                <w:sz w:val="18"/>
              </w:rPr>
              <w:t>Euribor 6 mois + spread</w:t>
            </w:r>
          </w:p>
        </w:tc>
        <w:tc>
          <w:tcPr>
            <w:tcW w:w="993" w:type="dxa"/>
            <w:tcBorders>
              <w:top w:val="nil"/>
              <w:left w:val="nil"/>
              <w:bottom w:val="nil"/>
              <w:right w:val="nil"/>
            </w:tcBorders>
            <w:shd w:val="clear" w:color="auto" w:fill="auto"/>
            <w:noWrap/>
            <w:vAlign w:val="bottom"/>
            <w:hideMark/>
          </w:tcPr>
          <w:p w14:paraId="60ABBA04" w14:textId="77777777" w:rsidR="009E50B5" w:rsidRDefault="009E50B5">
            <w:pPr>
              <w:jc w:val="center"/>
              <w:rPr>
                <w:rFonts w:ascii="Cambria" w:hAnsi="Cambria" w:cs="Arial"/>
                <w:color w:val="000000"/>
                <w:sz w:val="18"/>
                <w:szCs w:val="18"/>
              </w:rPr>
            </w:pPr>
            <w:r>
              <w:rPr>
                <w:rFonts w:ascii="Cambria" w:hAnsi="Cambria"/>
                <w:color w:val="000000"/>
                <w:sz w:val="18"/>
              </w:rPr>
              <w:t>2023</w:t>
            </w:r>
          </w:p>
        </w:tc>
        <w:tc>
          <w:tcPr>
            <w:tcW w:w="1660" w:type="dxa"/>
            <w:tcBorders>
              <w:top w:val="nil"/>
              <w:left w:val="nil"/>
              <w:bottom w:val="nil"/>
              <w:right w:val="nil"/>
            </w:tcBorders>
            <w:shd w:val="clear" w:color="auto" w:fill="auto"/>
            <w:noWrap/>
            <w:vAlign w:val="bottom"/>
            <w:hideMark/>
          </w:tcPr>
          <w:p w14:paraId="370C1960" w14:textId="77777777" w:rsidR="009E50B5" w:rsidRDefault="009E50B5">
            <w:pPr>
              <w:jc w:val="right"/>
              <w:rPr>
                <w:rFonts w:ascii="Cambria" w:hAnsi="Cambria" w:cs="Arial"/>
                <w:color w:val="000000"/>
                <w:sz w:val="18"/>
                <w:szCs w:val="18"/>
              </w:rPr>
            </w:pPr>
            <w:r>
              <w:rPr>
                <w:rFonts w:ascii="Cambria" w:hAnsi="Cambria"/>
                <w:color w:val="000000"/>
                <w:sz w:val="18"/>
              </w:rPr>
              <w:t>224 568</w:t>
            </w:r>
          </w:p>
        </w:tc>
        <w:tc>
          <w:tcPr>
            <w:tcW w:w="1660" w:type="dxa"/>
            <w:tcBorders>
              <w:top w:val="nil"/>
              <w:left w:val="nil"/>
              <w:bottom w:val="nil"/>
              <w:right w:val="nil"/>
            </w:tcBorders>
            <w:shd w:val="clear" w:color="auto" w:fill="auto"/>
            <w:noWrap/>
            <w:vAlign w:val="bottom"/>
            <w:hideMark/>
          </w:tcPr>
          <w:p w14:paraId="66363D42" w14:textId="77777777" w:rsidR="009E50B5" w:rsidRDefault="009E50B5">
            <w:pPr>
              <w:jc w:val="right"/>
              <w:rPr>
                <w:rFonts w:ascii="Cambria" w:hAnsi="Cambria" w:cs="Arial"/>
                <w:color w:val="000000"/>
                <w:sz w:val="18"/>
                <w:szCs w:val="18"/>
              </w:rPr>
            </w:pPr>
            <w:r>
              <w:rPr>
                <w:rFonts w:ascii="Cambria" w:hAnsi="Cambria"/>
                <w:color w:val="000000"/>
                <w:sz w:val="18"/>
              </w:rPr>
              <w:t>335 631</w:t>
            </w:r>
          </w:p>
        </w:tc>
      </w:tr>
      <w:tr w:rsidR="009E50B5" w14:paraId="1E64F26A" w14:textId="77777777" w:rsidTr="0061181E">
        <w:trPr>
          <w:trHeight w:val="240"/>
        </w:trPr>
        <w:tc>
          <w:tcPr>
            <w:tcW w:w="3544" w:type="dxa"/>
            <w:tcBorders>
              <w:top w:val="nil"/>
              <w:left w:val="nil"/>
              <w:bottom w:val="nil"/>
              <w:right w:val="nil"/>
            </w:tcBorders>
            <w:shd w:val="clear" w:color="auto" w:fill="auto"/>
            <w:noWrap/>
            <w:vAlign w:val="bottom"/>
            <w:hideMark/>
          </w:tcPr>
          <w:p w14:paraId="2240E469" w14:textId="77777777" w:rsidR="009E50B5" w:rsidRDefault="009E50B5">
            <w:pPr>
              <w:rPr>
                <w:rFonts w:ascii="Cambria" w:hAnsi="Cambria" w:cs="Arial"/>
                <w:color w:val="000000"/>
                <w:sz w:val="18"/>
                <w:szCs w:val="18"/>
              </w:rPr>
            </w:pPr>
            <w:r>
              <w:rPr>
                <w:rFonts w:ascii="Cambria" w:hAnsi="Cambria"/>
                <w:color w:val="000000"/>
                <w:sz w:val="18"/>
              </w:rPr>
              <w:t xml:space="preserve">Prêt de la </w:t>
            </w:r>
            <w:proofErr w:type="spellStart"/>
            <w:r>
              <w:rPr>
                <w:rFonts w:ascii="Cambria" w:hAnsi="Cambria"/>
                <w:color w:val="000000"/>
                <w:sz w:val="18"/>
              </w:rPr>
              <w:t>Sanpaolo</w:t>
            </w:r>
            <w:proofErr w:type="spellEnd"/>
            <w:r>
              <w:rPr>
                <w:rFonts w:ascii="Cambria" w:hAnsi="Cambria"/>
                <w:color w:val="000000"/>
                <w:sz w:val="18"/>
              </w:rPr>
              <w:t xml:space="preserve"> 2 </w:t>
            </w:r>
          </w:p>
        </w:tc>
        <w:tc>
          <w:tcPr>
            <w:tcW w:w="2126" w:type="dxa"/>
            <w:tcBorders>
              <w:top w:val="nil"/>
              <w:left w:val="nil"/>
              <w:bottom w:val="nil"/>
              <w:right w:val="nil"/>
            </w:tcBorders>
            <w:shd w:val="clear" w:color="auto" w:fill="auto"/>
            <w:noWrap/>
            <w:vAlign w:val="bottom"/>
            <w:hideMark/>
          </w:tcPr>
          <w:p w14:paraId="2E8744D2" w14:textId="77777777" w:rsidR="009E50B5" w:rsidRDefault="009E50B5">
            <w:pPr>
              <w:jc w:val="center"/>
              <w:rPr>
                <w:rFonts w:ascii="Cambria" w:hAnsi="Cambria" w:cs="Arial"/>
                <w:color w:val="000000"/>
                <w:sz w:val="18"/>
                <w:szCs w:val="18"/>
              </w:rPr>
            </w:pPr>
            <w:proofErr w:type="gramStart"/>
            <w:r>
              <w:rPr>
                <w:rFonts w:ascii="Cambria" w:hAnsi="Cambria"/>
                <w:color w:val="000000"/>
                <w:sz w:val="18"/>
              </w:rPr>
              <w:t>fixe</w:t>
            </w:r>
            <w:proofErr w:type="gramEnd"/>
          </w:p>
        </w:tc>
        <w:tc>
          <w:tcPr>
            <w:tcW w:w="993" w:type="dxa"/>
            <w:tcBorders>
              <w:top w:val="nil"/>
              <w:left w:val="nil"/>
              <w:bottom w:val="nil"/>
              <w:right w:val="nil"/>
            </w:tcBorders>
            <w:shd w:val="clear" w:color="auto" w:fill="auto"/>
            <w:noWrap/>
            <w:vAlign w:val="bottom"/>
            <w:hideMark/>
          </w:tcPr>
          <w:p w14:paraId="1667FA5E" w14:textId="77777777" w:rsidR="009E50B5" w:rsidRDefault="009E50B5">
            <w:pPr>
              <w:jc w:val="center"/>
              <w:rPr>
                <w:rFonts w:ascii="Cambria" w:hAnsi="Cambria" w:cs="Arial"/>
                <w:color w:val="000000"/>
                <w:sz w:val="18"/>
                <w:szCs w:val="18"/>
              </w:rPr>
            </w:pPr>
            <w:r>
              <w:rPr>
                <w:rFonts w:ascii="Cambria" w:hAnsi="Cambria"/>
                <w:color w:val="000000"/>
                <w:sz w:val="18"/>
              </w:rPr>
              <w:t>2023</w:t>
            </w:r>
          </w:p>
        </w:tc>
        <w:tc>
          <w:tcPr>
            <w:tcW w:w="1660" w:type="dxa"/>
            <w:tcBorders>
              <w:top w:val="nil"/>
              <w:left w:val="nil"/>
              <w:bottom w:val="nil"/>
              <w:right w:val="nil"/>
            </w:tcBorders>
            <w:shd w:val="clear" w:color="auto" w:fill="auto"/>
            <w:noWrap/>
            <w:vAlign w:val="bottom"/>
            <w:hideMark/>
          </w:tcPr>
          <w:p w14:paraId="2DFCA5F7" w14:textId="77777777" w:rsidR="009E50B5" w:rsidRDefault="009E50B5">
            <w:pPr>
              <w:jc w:val="right"/>
              <w:rPr>
                <w:rFonts w:ascii="Cambria" w:hAnsi="Cambria" w:cs="Arial"/>
                <w:color w:val="000000"/>
                <w:sz w:val="18"/>
                <w:szCs w:val="18"/>
              </w:rPr>
            </w:pPr>
            <w:r>
              <w:rPr>
                <w:rFonts w:ascii="Cambria" w:hAnsi="Cambria"/>
                <w:color w:val="000000"/>
                <w:sz w:val="18"/>
              </w:rPr>
              <w:t>502 087</w:t>
            </w:r>
          </w:p>
        </w:tc>
        <w:tc>
          <w:tcPr>
            <w:tcW w:w="1660" w:type="dxa"/>
            <w:tcBorders>
              <w:top w:val="nil"/>
              <w:left w:val="nil"/>
              <w:bottom w:val="nil"/>
              <w:right w:val="nil"/>
            </w:tcBorders>
            <w:shd w:val="clear" w:color="auto" w:fill="auto"/>
            <w:noWrap/>
            <w:vAlign w:val="bottom"/>
            <w:hideMark/>
          </w:tcPr>
          <w:p w14:paraId="5077C8F3" w14:textId="77777777" w:rsidR="009E50B5" w:rsidRDefault="009E50B5">
            <w:pPr>
              <w:jc w:val="right"/>
              <w:rPr>
                <w:rFonts w:ascii="Cambria" w:hAnsi="Cambria" w:cs="Arial"/>
                <w:color w:val="000000"/>
                <w:sz w:val="18"/>
                <w:szCs w:val="18"/>
              </w:rPr>
            </w:pPr>
            <w:r>
              <w:rPr>
                <w:rFonts w:ascii="Cambria" w:hAnsi="Cambria"/>
                <w:color w:val="000000"/>
                <w:sz w:val="18"/>
              </w:rPr>
              <w:t>703 361</w:t>
            </w:r>
          </w:p>
        </w:tc>
      </w:tr>
      <w:tr w:rsidR="009E50B5" w14:paraId="19EB8427" w14:textId="77777777" w:rsidTr="0061181E">
        <w:trPr>
          <w:trHeight w:val="240"/>
        </w:trPr>
        <w:tc>
          <w:tcPr>
            <w:tcW w:w="3544" w:type="dxa"/>
            <w:tcBorders>
              <w:top w:val="nil"/>
              <w:left w:val="nil"/>
              <w:bottom w:val="nil"/>
              <w:right w:val="nil"/>
            </w:tcBorders>
            <w:shd w:val="clear" w:color="auto" w:fill="auto"/>
            <w:noWrap/>
            <w:vAlign w:val="bottom"/>
            <w:hideMark/>
          </w:tcPr>
          <w:p w14:paraId="21B481B6" w14:textId="77777777" w:rsidR="009E50B5" w:rsidRDefault="009E50B5">
            <w:pPr>
              <w:rPr>
                <w:rFonts w:ascii="Cambria" w:hAnsi="Cambria" w:cs="Arial"/>
                <w:color w:val="000000"/>
                <w:sz w:val="18"/>
                <w:szCs w:val="18"/>
              </w:rPr>
            </w:pPr>
            <w:r>
              <w:rPr>
                <w:rFonts w:ascii="Cambria" w:hAnsi="Cambria"/>
                <w:color w:val="000000"/>
                <w:sz w:val="18"/>
              </w:rPr>
              <w:t xml:space="preserve">Prêt de la BCC 2 </w:t>
            </w:r>
          </w:p>
        </w:tc>
        <w:tc>
          <w:tcPr>
            <w:tcW w:w="2126" w:type="dxa"/>
            <w:tcBorders>
              <w:top w:val="nil"/>
              <w:left w:val="nil"/>
              <w:bottom w:val="nil"/>
              <w:right w:val="nil"/>
            </w:tcBorders>
            <w:shd w:val="clear" w:color="auto" w:fill="auto"/>
            <w:noWrap/>
            <w:vAlign w:val="bottom"/>
            <w:hideMark/>
          </w:tcPr>
          <w:p w14:paraId="24E0D53F" w14:textId="77777777" w:rsidR="009E50B5" w:rsidRDefault="009E50B5">
            <w:pPr>
              <w:jc w:val="center"/>
              <w:rPr>
                <w:rFonts w:ascii="Cambria" w:hAnsi="Cambria" w:cs="Arial"/>
                <w:color w:val="000000"/>
                <w:sz w:val="18"/>
                <w:szCs w:val="18"/>
              </w:rPr>
            </w:pPr>
            <w:r>
              <w:rPr>
                <w:rFonts w:ascii="Cambria" w:hAnsi="Cambria"/>
                <w:color w:val="000000"/>
                <w:sz w:val="18"/>
              </w:rPr>
              <w:t>Euribor 3 mois + spread</w:t>
            </w:r>
          </w:p>
        </w:tc>
        <w:tc>
          <w:tcPr>
            <w:tcW w:w="993" w:type="dxa"/>
            <w:tcBorders>
              <w:top w:val="nil"/>
              <w:left w:val="nil"/>
              <w:bottom w:val="nil"/>
              <w:right w:val="nil"/>
            </w:tcBorders>
            <w:shd w:val="clear" w:color="auto" w:fill="auto"/>
            <w:noWrap/>
            <w:vAlign w:val="bottom"/>
            <w:hideMark/>
          </w:tcPr>
          <w:p w14:paraId="60619938" w14:textId="77777777" w:rsidR="009E50B5" w:rsidRDefault="009E50B5">
            <w:pPr>
              <w:jc w:val="center"/>
              <w:rPr>
                <w:rFonts w:ascii="Cambria" w:hAnsi="Cambria" w:cs="Arial"/>
                <w:color w:val="000000"/>
                <w:sz w:val="18"/>
                <w:szCs w:val="18"/>
              </w:rPr>
            </w:pPr>
            <w:r>
              <w:rPr>
                <w:rFonts w:ascii="Cambria" w:hAnsi="Cambria"/>
                <w:color w:val="000000"/>
                <w:sz w:val="18"/>
              </w:rPr>
              <w:t>2023</w:t>
            </w:r>
          </w:p>
        </w:tc>
        <w:tc>
          <w:tcPr>
            <w:tcW w:w="1660" w:type="dxa"/>
            <w:tcBorders>
              <w:top w:val="nil"/>
              <w:left w:val="nil"/>
              <w:bottom w:val="nil"/>
              <w:right w:val="nil"/>
            </w:tcBorders>
            <w:shd w:val="clear" w:color="auto" w:fill="auto"/>
            <w:noWrap/>
            <w:vAlign w:val="bottom"/>
            <w:hideMark/>
          </w:tcPr>
          <w:p w14:paraId="1B3FD030" w14:textId="77777777" w:rsidR="009E50B5" w:rsidRDefault="009E50B5">
            <w:pPr>
              <w:jc w:val="right"/>
              <w:rPr>
                <w:rFonts w:ascii="Cambria" w:hAnsi="Cambria" w:cs="Arial"/>
                <w:color w:val="000000"/>
                <w:sz w:val="18"/>
                <w:szCs w:val="18"/>
              </w:rPr>
            </w:pPr>
            <w:r>
              <w:rPr>
                <w:rFonts w:ascii="Cambria" w:hAnsi="Cambria"/>
                <w:color w:val="000000"/>
                <w:sz w:val="18"/>
              </w:rPr>
              <w:t>535 698</w:t>
            </w:r>
          </w:p>
        </w:tc>
        <w:tc>
          <w:tcPr>
            <w:tcW w:w="1660" w:type="dxa"/>
            <w:tcBorders>
              <w:top w:val="nil"/>
              <w:left w:val="nil"/>
              <w:bottom w:val="nil"/>
              <w:right w:val="nil"/>
            </w:tcBorders>
            <w:shd w:val="clear" w:color="auto" w:fill="auto"/>
            <w:noWrap/>
            <w:vAlign w:val="bottom"/>
            <w:hideMark/>
          </w:tcPr>
          <w:p w14:paraId="7A2288EA" w14:textId="77777777" w:rsidR="009E50B5" w:rsidRDefault="009E50B5">
            <w:pPr>
              <w:jc w:val="right"/>
              <w:rPr>
                <w:rFonts w:ascii="Cambria" w:hAnsi="Cambria" w:cs="Arial"/>
                <w:color w:val="000000"/>
                <w:sz w:val="18"/>
                <w:szCs w:val="18"/>
              </w:rPr>
            </w:pPr>
            <w:r>
              <w:rPr>
                <w:rFonts w:ascii="Cambria" w:hAnsi="Cambria"/>
                <w:color w:val="000000"/>
                <w:sz w:val="18"/>
              </w:rPr>
              <w:t>589 664</w:t>
            </w:r>
          </w:p>
        </w:tc>
      </w:tr>
      <w:tr w:rsidR="009E50B5" w14:paraId="019797FB" w14:textId="77777777" w:rsidTr="0061181E">
        <w:trPr>
          <w:trHeight w:val="240"/>
        </w:trPr>
        <w:tc>
          <w:tcPr>
            <w:tcW w:w="3544" w:type="dxa"/>
            <w:tcBorders>
              <w:top w:val="nil"/>
              <w:left w:val="nil"/>
              <w:bottom w:val="nil"/>
              <w:right w:val="nil"/>
            </w:tcBorders>
            <w:shd w:val="clear" w:color="auto" w:fill="auto"/>
            <w:noWrap/>
            <w:vAlign w:val="bottom"/>
            <w:hideMark/>
          </w:tcPr>
          <w:p w14:paraId="7B398B7B" w14:textId="77777777" w:rsidR="009E50B5" w:rsidRDefault="009E50B5">
            <w:pPr>
              <w:rPr>
                <w:rFonts w:ascii="Cambria" w:hAnsi="Cambria" w:cs="Arial"/>
                <w:color w:val="000000"/>
                <w:sz w:val="18"/>
                <w:szCs w:val="18"/>
              </w:rPr>
            </w:pPr>
            <w:r>
              <w:rPr>
                <w:rFonts w:ascii="Cambria" w:hAnsi="Cambria"/>
                <w:color w:val="000000"/>
                <w:sz w:val="18"/>
              </w:rPr>
              <w:t>Prêt de la BPM</w:t>
            </w:r>
          </w:p>
        </w:tc>
        <w:tc>
          <w:tcPr>
            <w:tcW w:w="2126" w:type="dxa"/>
            <w:tcBorders>
              <w:top w:val="nil"/>
              <w:left w:val="nil"/>
              <w:bottom w:val="nil"/>
              <w:right w:val="nil"/>
            </w:tcBorders>
            <w:shd w:val="clear" w:color="auto" w:fill="auto"/>
            <w:noWrap/>
            <w:vAlign w:val="bottom"/>
            <w:hideMark/>
          </w:tcPr>
          <w:p w14:paraId="69A8DA2D" w14:textId="77777777" w:rsidR="009E50B5" w:rsidRDefault="009E50B5">
            <w:pPr>
              <w:jc w:val="center"/>
              <w:rPr>
                <w:rFonts w:ascii="Cambria" w:hAnsi="Cambria" w:cs="Arial"/>
                <w:color w:val="000000"/>
                <w:sz w:val="18"/>
                <w:szCs w:val="18"/>
              </w:rPr>
            </w:pPr>
            <w:proofErr w:type="gramStart"/>
            <w:r>
              <w:rPr>
                <w:rFonts w:ascii="Cambria" w:hAnsi="Cambria"/>
                <w:color w:val="000000"/>
                <w:sz w:val="18"/>
              </w:rPr>
              <w:t>fixe</w:t>
            </w:r>
            <w:proofErr w:type="gramEnd"/>
          </w:p>
        </w:tc>
        <w:tc>
          <w:tcPr>
            <w:tcW w:w="993" w:type="dxa"/>
            <w:tcBorders>
              <w:top w:val="nil"/>
              <w:left w:val="nil"/>
              <w:bottom w:val="nil"/>
              <w:right w:val="nil"/>
            </w:tcBorders>
            <w:shd w:val="clear" w:color="auto" w:fill="auto"/>
            <w:noWrap/>
            <w:vAlign w:val="bottom"/>
            <w:hideMark/>
          </w:tcPr>
          <w:p w14:paraId="0DC6F127" w14:textId="77777777" w:rsidR="009E50B5" w:rsidRDefault="009E50B5">
            <w:pPr>
              <w:jc w:val="center"/>
              <w:rPr>
                <w:rFonts w:ascii="Cambria" w:hAnsi="Cambria" w:cs="Arial"/>
                <w:color w:val="000000"/>
                <w:sz w:val="18"/>
                <w:szCs w:val="18"/>
              </w:rPr>
            </w:pPr>
            <w:r>
              <w:rPr>
                <w:rFonts w:ascii="Cambria" w:hAnsi="Cambria"/>
                <w:color w:val="000000"/>
                <w:sz w:val="18"/>
              </w:rPr>
              <w:t>2023</w:t>
            </w:r>
          </w:p>
        </w:tc>
        <w:tc>
          <w:tcPr>
            <w:tcW w:w="1660" w:type="dxa"/>
            <w:tcBorders>
              <w:top w:val="nil"/>
              <w:left w:val="nil"/>
              <w:bottom w:val="nil"/>
              <w:right w:val="nil"/>
            </w:tcBorders>
            <w:shd w:val="clear" w:color="auto" w:fill="auto"/>
            <w:noWrap/>
            <w:vAlign w:val="bottom"/>
            <w:hideMark/>
          </w:tcPr>
          <w:p w14:paraId="241E21DD" w14:textId="77777777" w:rsidR="009E50B5" w:rsidRDefault="009E50B5">
            <w:pPr>
              <w:jc w:val="right"/>
              <w:rPr>
                <w:rFonts w:ascii="Cambria" w:hAnsi="Cambria" w:cs="Arial"/>
                <w:color w:val="000000"/>
                <w:sz w:val="18"/>
                <w:szCs w:val="18"/>
              </w:rPr>
            </w:pPr>
            <w:r>
              <w:rPr>
                <w:rFonts w:ascii="Cambria" w:hAnsi="Cambria"/>
                <w:color w:val="000000"/>
                <w:sz w:val="18"/>
              </w:rPr>
              <w:t>726 521</w:t>
            </w:r>
          </w:p>
        </w:tc>
        <w:tc>
          <w:tcPr>
            <w:tcW w:w="1660" w:type="dxa"/>
            <w:tcBorders>
              <w:top w:val="nil"/>
              <w:left w:val="nil"/>
              <w:bottom w:val="nil"/>
              <w:right w:val="nil"/>
            </w:tcBorders>
            <w:shd w:val="clear" w:color="auto" w:fill="auto"/>
            <w:noWrap/>
            <w:vAlign w:val="bottom"/>
            <w:hideMark/>
          </w:tcPr>
          <w:p w14:paraId="3305D3B5" w14:textId="77777777" w:rsidR="009E50B5" w:rsidRDefault="009E50B5">
            <w:pPr>
              <w:jc w:val="right"/>
              <w:rPr>
                <w:rFonts w:ascii="Cambria" w:hAnsi="Cambria" w:cs="Arial"/>
                <w:color w:val="000000"/>
                <w:sz w:val="18"/>
                <w:szCs w:val="18"/>
              </w:rPr>
            </w:pPr>
            <w:r>
              <w:rPr>
                <w:rFonts w:ascii="Cambria" w:hAnsi="Cambria"/>
                <w:color w:val="000000"/>
                <w:sz w:val="18"/>
              </w:rPr>
              <w:t>822 811</w:t>
            </w:r>
          </w:p>
        </w:tc>
      </w:tr>
      <w:tr w:rsidR="009E50B5" w14:paraId="3C283166" w14:textId="77777777" w:rsidTr="0061181E">
        <w:trPr>
          <w:trHeight w:val="240"/>
        </w:trPr>
        <w:tc>
          <w:tcPr>
            <w:tcW w:w="3544" w:type="dxa"/>
            <w:tcBorders>
              <w:top w:val="nil"/>
              <w:left w:val="nil"/>
              <w:bottom w:val="nil"/>
              <w:right w:val="nil"/>
            </w:tcBorders>
            <w:shd w:val="clear" w:color="auto" w:fill="auto"/>
            <w:noWrap/>
            <w:vAlign w:val="bottom"/>
            <w:hideMark/>
          </w:tcPr>
          <w:p w14:paraId="2FAE27C4" w14:textId="77777777" w:rsidR="009E50B5" w:rsidRDefault="009E50B5">
            <w:pPr>
              <w:rPr>
                <w:rFonts w:ascii="Cambria" w:hAnsi="Cambria" w:cs="Arial"/>
                <w:color w:val="000000"/>
                <w:sz w:val="18"/>
                <w:szCs w:val="18"/>
              </w:rPr>
            </w:pPr>
            <w:r>
              <w:rPr>
                <w:rFonts w:ascii="Cambria" w:hAnsi="Cambria"/>
                <w:color w:val="000000"/>
                <w:sz w:val="18"/>
              </w:rPr>
              <w:t>Prêt de la BPB 2</w:t>
            </w:r>
          </w:p>
        </w:tc>
        <w:tc>
          <w:tcPr>
            <w:tcW w:w="2126" w:type="dxa"/>
            <w:tcBorders>
              <w:top w:val="nil"/>
              <w:left w:val="nil"/>
              <w:bottom w:val="nil"/>
              <w:right w:val="nil"/>
            </w:tcBorders>
            <w:shd w:val="clear" w:color="auto" w:fill="auto"/>
            <w:noWrap/>
            <w:vAlign w:val="bottom"/>
            <w:hideMark/>
          </w:tcPr>
          <w:p w14:paraId="47384ACB" w14:textId="77777777" w:rsidR="009E50B5" w:rsidRDefault="009E50B5">
            <w:pPr>
              <w:jc w:val="center"/>
              <w:rPr>
                <w:rFonts w:ascii="Cambria" w:hAnsi="Cambria" w:cs="Arial"/>
                <w:color w:val="000000"/>
                <w:sz w:val="18"/>
                <w:szCs w:val="18"/>
              </w:rPr>
            </w:pPr>
            <w:proofErr w:type="gramStart"/>
            <w:r>
              <w:rPr>
                <w:rFonts w:ascii="Cambria" w:hAnsi="Cambria"/>
                <w:color w:val="000000"/>
                <w:sz w:val="18"/>
              </w:rPr>
              <w:t>fixe</w:t>
            </w:r>
            <w:proofErr w:type="gramEnd"/>
          </w:p>
        </w:tc>
        <w:tc>
          <w:tcPr>
            <w:tcW w:w="993" w:type="dxa"/>
            <w:tcBorders>
              <w:top w:val="nil"/>
              <w:left w:val="nil"/>
              <w:bottom w:val="nil"/>
              <w:right w:val="nil"/>
            </w:tcBorders>
            <w:shd w:val="clear" w:color="auto" w:fill="auto"/>
            <w:noWrap/>
            <w:vAlign w:val="bottom"/>
            <w:hideMark/>
          </w:tcPr>
          <w:p w14:paraId="559A22C0" w14:textId="77777777" w:rsidR="009E50B5" w:rsidRDefault="009E50B5">
            <w:pPr>
              <w:jc w:val="center"/>
              <w:rPr>
                <w:rFonts w:ascii="Cambria" w:hAnsi="Cambria" w:cs="Arial"/>
                <w:color w:val="000000"/>
                <w:sz w:val="18"/>
                <w:szCs w:val="18"/>
              </w:rPr>
            </w:pPr>
            <w:r>
              <w:rPr>
                <w:rFonts w:ascii="Cambria" w:hAnsi="Cambria"/>
                <w:color w:val="000000"/>
                <w:sz w:val="18"/>
              </w:rPr>
              <w:t>2026</w:t>
            </w:r>
          </w:p>
        </w:tc>
        <w:tc>
          <w:tcPr>
            <w:tcW w:w="1660" w:type="dxa"/>
            <w:tcBorders>
              <w:top w:val="nil"/>
              <w:left w:val="nil"/>
              <w:bottom w:val="nil"/>
              <w:right w:val="nil"/>
            </w:tcBorders>
            <w:shd w:val="clear" w:color="auto" w:fill="auto"/>
            <w:noWrap/>
            <w:vAlign w:val="bottom"/>
            <w:hideMark/>
          </w:tcPr>
          <w:p w14:paraId="15340F8C" w14:textId="77777777" w:rsidR="009E50B5" w:rsidRDefault="009E50B5">
            <w:pPr>
              <w:jc w:val="right"/>
              <w:rPr>
                <w:rFonts w:ascii="Cambria" w:hAnsi="Cambria" w:cs="Arial"/>
                <w:color w:val="000000"/>
                <w:sz w:val="18"/>
                <w:szCs w:val="18"/>
              </w:rPr>
            </w:pPr>
            <w:r>
              <w:rPr>
                <w:rFonts w:ascii="Cambria" w:hAnsi="Cambria"/>
                <w:color w:val="000000"/>
                <w:sz w:val="18"/>
              </w:rPr>
              <w:t>710 230</w:t>
            </w:r>
          </w:p>
        </w:tc>
        <w:tc>
          <w:tcPr>
            <w:tcW w:w="1660" w:type="dxa"/>
            <w:tcBorders>
              <w:top w:val="nil"/>
              <w:left w:val="nil"/>
              <w:bottom w:val="nil"/>
              <w:right w:val="nil"/>
            </w:tcBorders>
            <w:shd w:val="clear" w:color="auto" w:fill="auto"/>
            <w:noWrap/>
            <w:vAlign w:val="bottom"/>
            <w:hideMark/>
          </w:tcPr>
          <w:p w14:paraId="094521A3" w14:textId="77777777" w:rsidR="009E50B5" w:rsidRDefault="009E50B5">
            <w:pPr>
              <w:jc w:val="right"/>
              <w:rPr>
                <w:rFonts w:ascii="Cambria" w:hAnsi="Cambria" w:cs="Arial"/>
                <w:color w:val="000000"/>
                <w:sz w:val="18"/>
                <w:szCs w:val="18"/>
              </w:rPr>
            </w:pPr>
            <w:r>
              <w:rPr>
                <w:rFonts w:ascii="Cambria" w:hAnsi="Cambria"/>
                <w:color w:val="000000"/>
                <w:sz w:val="18"/>
              </w:rPr>
              <w:t>774 445</w:t>
            </w:r>
          </w:p>
        </w:tc>
      </w:tr>
      <w:tr w:rsidR="009E50B5" w14:paraId="0F243E29" w14:textId="77777777" w:rsidTr="0061181E">
        <w:trPr>
          <w:trHeight w:val="240"/>
        </w:trPr>
        <w:tc>
          <w:tcPr>
            <w:tcW w:w="3544" w:type="dxa"/>
            <w:tcBorders>
              <w:top w:val="nil"/>
              <w:left w:val="nil"/>
              <w:bottom w:val="nil"/>
              <w:right w:val="nil"/>
            </w:tcBorders>
            <w:shd w:val="clear" w:color="auto" w:fill="auto"/>
            <w:noWrap/>
            <w:vAlign w:val="bottom"/>
            <w:hideMark/>
          </w:tcPr>
          <w:p w14:paraId="6CFBDEF5" w14:textId="77777777" w:rsidR="009E50B5" w:rsidRDefault="009E50B5">
            <w:pPr>
              <w:rPr>
                <w:rFonts w:ascii="Cambria" w:hAnsi="Cambria" w:cs="Arial"/>
                <w:color w:val="000000"/>
                <w:sz w:val="18"/>
                <w:szCs w:val="18"/>
              </w:rPr>
            </w:pPr>
            <w:r>
              <w:rPr>
                <w:rFonts w:ascii="Cambria" w:hAnsi="Cambria"/>
                <w:color w:val="000000"/>
                <w:sz w:val="18"/>
              </w:rPr>
              <w:t>Prêt de la BDF</w:t>
            </w:r>
          </w:p>
        </w:tc>
        <w:tc>
          <w:tcPr>
            <w:tcW w:w="2126" w:type="dxa"/>
            <w:tcBorders>
              <w:top w:val="nil"/>
              <w:left w:val="nil"/>
              <w:bottom w:val="nil"/>
              <w:right w:val="nil"/>
            </w:tcBorders>
            <w:shd w:val="clear" w:color="auto" w:fill="auto"/>
            <w:noWrap/>
            <w:vAlign w:val="bottom"/>
            <w:hideMark/>
          </w:tcPr>
          <w:p w14:paraId="15A55318" w14:textId="77777777" w:rsidR="009E50B5" w:rsidRDefault="009E50B5">
            <w:pPr>
              <w:jc w:val="center"/>
              <w:rPr>
                <w:rFonts w:ascii="Cambria" w:hAnsi="Cambria" w:cs="Arial"/>
                <w:color w:val="000000"/>
                <w:sz w:val="18"/>
                <w:szCs w:val="18"/>
              </w:rPr>
            </w:pPr>
            <w:proofErr w:type="gramStart"/>
            <w:r>
              <w:rPr>
                <w:rFonts w:ascii="Cambria" w:hAnsi="Cambria"/>
                <w:color w:val="000000"/>
                <w:sz w:val="18"/>
              </w:rPr>
              <w:t>fixe</w:t>
            </w:r>
            <w:proofErr w:type="gramEnd"/>
          </w:p>
        </w:tc>
        <w:tc>
          <w:tcPr>
            <w:tcW w:w="993" w:type="dxa"/>
            <w:tcBorders>
              <w:top w:val="nil"/>
              <w:left w:val="nil"/>
              <w:bottom w:val="nil"/>
              <w:right w:val="nil"/>
            </w:tcBorders>
            <w:shd w:val="clear" w:color="auto" w:fill="auto"/>
            <w:noWrap/>
            <w:vAlign w:val="bottom"/>
            <w:hideMark/>
          </w:tcPr>
          <w:p w14:paraId="02717D64" w14:textId="77777777" w:rsidR="009E50B5" w:rsidRDefault="009E50B5">
            <w:pPr>
              <w:jc w:val="center"/>
              <w:rPr>
                <w:rFonts w:ascii="Cambria" w:hAnsi="Cambria" w:cs="Arial"/>
                <w:color w:val="000000"/>
                <w:sz w:val="18"/>
                <w:szCs w:val="18"/>
              </w:rPr>
            </w:pPr>
            <w:r>
              <w:rPr>
                <w:rFonts w:ascii="Cambria" w:hAnsi="Cambria"/>
                <w:color w:val="000000"/>
                <w:sz w:val="18"/>
              </w:rPr>
              <w:t>2026</w:t>
            </w:r>
          </w:p>
        </w:tc>
        <w:tc>
          <w:tcPr>
            <w:tcW w:w="1660" w:type="dxa"/>
            <w:tcBorders>
              <w:top w:val="nil"/>
              <w:left w:val="nil"/>
              <w:bottom w:val="nil"/>
              <w:right w:val="nil"/>
            </w:tcBorders>
            <w:shd w:val="clear" w:color="auto" w:fill="auto"/>
            <w:noWrap/>
            <w:vAlign w:val="bottom"/>
            <w:hideMark/>
          </w:tcPr>
          <w:p w14:paraId="56E4053F" w14:textId="77777777" w:rsidR="009E50B5" w:rsidRDefault="009E50B5">
            <w:pPr>
              <w:jc w:val="right"/>
              <w:rPr>
                <w:rFonts w:ascii="Cambria" w:hAnsi="Cambria" w:cs="Arial"/>
                <w:color w:val="000000"/>
                <w:sz w:val="18"/>
                <w:szCs w:val="18"/>
              </w:rPr>
            </w:pPr>
            <w:r>
              <w:rPr>
                <w:rFonts w:ascii="Cambria" w:hAnsi="Cambria"/>
                <w:color w:val="000000"/>
                <w:sz w:val="18"/>
              </w:rPr>
              <w:t>752 752</w:t>
            </w:r>
          </w:p>
        </w:tc>
        <w:tc>
          <w:tcPr>
            <w:tcW w:w="1660" w:type="dxa"/>
            <w:tcBorders>
              <w:top w:val="nil"/>
              <w:left w:val="nil"/>
              <w:bottom w:val="nil"/>
              <w:right w:val="nil"/>
            </w:tcBorders>
            <w:shd w:val="clear" w:color="auto" w:fill="auto"/>
            <w:noWrap/>
            <w:vAlign w:val="bottom"/>
            <w:hideMark/>
          </w:tcPr>
          <w:p w14:paraId="04AA2A45" w14:textId="77777777" w:rsidR="009E50B5" w:rsidRDefault="009E50B5">
            <w:pPr>
              <w:jc w:val="right"/>
              <w:rPr>
                <w:rFonts w:ascii="Cambria" w:hAnsi="Cambria" w:cs="Arial"/>
                <w:color w:val="000000"/>
                <w:sz w:val="18"/>
                <w:szCs w:val="18"/>
              </w:rPr>
            </w:pPr>
            <w:r>
              <w:rPr>
                <w:rFonts w:ascii="Cambria" w:hAnsi="Cambria"/>
                <w:color w:val="000000"/>
                <w:sz w:val="18"/>
              </w:rPr>
              <w:t>818 097</w:t>
            </w:r>
          </w:p>
        </w:tc>
      </w:tr>
      <w:tr w:rsidR="009E50B5" w14:paraId="6082A471" w14:textId="77777777" w:rsidTr="0061181E">
        <w:trPr>
          <w:trHeight w:val="240"/>
        </w:trPr>
        <w:tc>
          <w:tcPr>
            <w:tcW w:w="3544" w:type="dxa"/>
            <w:tcBorders>
              <w:top w:val="nil"/>
              <w:left w:val="nil"/>
              <w:bottom w:val="nil"/>
              <w:right w:val="nil"/>
            </w:tcBorders>
            <w:shd w:val="clear" w:color="auto" w:fill="auto"/>
            <w:noWrap/>
            <w:vAlign w:val="bottom"/>
            <w:hideMark/>
          </w:tcPr>
          <w:p w14:paraId="7C715AFF" w14:textId="77777777" w:rsidR="009E50B5" w:rsidRDefault="009E50B5">
            <w:pPr>
              <w:outlineLvl w:val="0"/>
              <w:rPr>
                <w:rFonts w:ascii="Cambria" w:hAnsi="Cambria" w:cs="Arial"/>
                <w:color w:val="000000"/>
                <w:sz w:val="18"/>
                <w:szCs w:val="18"/>
              </w:rPr>
            </w:pPr>
            <w:bookmarkStart w:id="198" w:name="_Toc101455586"/>
            <w:bookmarkStart w:id="199" w:name="_Toc112768714"/>
            <w:r>
              <w:rPr>
                <w:rFonts w:ascii="Cambria" w:hAnsi="Cambria"/>
                <w:color w:val="000000"/>
                <w:sz w:val="18"/>
              </w:rPr>
              <w:t xml:space="preserve">Prêt de la </w:t>
            </w:r>
            <w:proofErr w:type="spellStart"/>
            <w:r>
              <w:rPr>
                <w:rFonts w:ascii="Cambria" w:hAnsi="Cambria"/>
                <w:color w:val="000000"/>
                <w:sz w:val="18"/>
              </w:rPr>
              <w:t>Sanpaolo</w:t>
            </w:r>
            <w:proofErr w:type="spellEnd"/>
            <w:r>
              <w:rPr>
                <w:rFonts w:ascii="Cambria" w:hAnsi="Cambria"/>
                <w:color w:val="000000"/>
                <w:sz w:val="18"/>
              </w:rPr>
              <w:t xml:space="preserve"> 3</w:t>
            </w:r>
            <w:bookmarkEnd w:id="198"/>
            <w:bookmarkEnd w:id="199"/>
          </w:p>
        </w:tc>
        <w:tc>
          <w:tcPr>
            <w:tcW w:w="2126" w:type="dxa"/>
            <w:tcBorders>
              <w:top w:val="nil"/>
              <w:left w:val="nil"/>
              <w:bottom w:val="nil"/>
              <w:right w:val="nil"/>
            </w:tcBorders>
            <w:shd w:val="clear" w:color="auto" w:fill="auto"/>
            <w:noWrap/>
            <w:vAlign w:val="bottom"/>
            <w:hideMark/>
          </w:tcPr>
          <w:p w14:paraId="23BCDA01" w14:textId="77777777" w:rsidR="009E50B5" w:rsidRDefault="009E50B5">
            <w:pPr>
              <w:jc w:val="center"/>
              <w:outlineLvl w:val="0"/>
              <w:rPr>
                <w:rFonts w:ascii="Cambria" w:hAnsi="Cambria" w:cs="Arial"/>
                <w:color w:val="000000"/>
                <w:sz w:val="18"/>
                <w:szCs w:val="18"/>
              </w:rPr>
            </w:pPr>
            <w:bookmarkStart w:id="200" w:name="_Toc101455587"/>
            <w:bookmarkStart w:id="201" w:name="_Toc112768715"/>
            <w:proofErr w:type="gramStart"/>
            <w:r>
              <w:rPr>
                <w:rFonts w:ascii="Cambria" w:hAnsi="Cambria"/>
                <w:color w:val="000000"/>
                <w:sz w:val="18"/>
              </w:rPr>
              <w:t>fixe</w:t>
            </w:r>
            <w:bookmarkEnd w:id="200"/>
            <w:bookmarkEnd w:id="201"/>
            <w:proofErr w:type="gramEnd"/>
          </w:p>
        </w:tc>
        <w:tc>
          <w:tcPr>
            <w:tcW w:w="993" w:type="dxa"/>
            <w:tcBorders>
              <w:top w:val="nil"/>
              <w:left w:val="nil"/>
              <w:bottom w:val="nil"/>
              <w:right w:val="nil"/>
            </w:tcBorders>
            <w:shd w:val="clear" w:color="auto" w:fill="auto"/>
            <w:noWrap/>
            <w:vAlign w:val="bottom"/>
            <w:hideMark/>
          </w:tcPr>
          <w:p w14:paraId="1F042B76" w14:textId="77777777" w:rsidR="009E50B5" w:rsidRDefault="009E50B5">
            <w:pPr>
              <w:jc w:val="center"/>
              <w:outlineLvl w:val="0"/>
              <w:rPr>
                <w:rFonts w:ascii="Cambria" w:hAnsi="Cambria" w:cs="Arial"/>
                <w:color w:val="000000"/>
                <w:sz w:val="18"/>
                <w:szCs w:val="18"/>
              </w:rPr>
            </w:pPr>
            <w:bookmarkStart w:id="202" w:name="_Toc101455588"/>
            <w:bookmarkStart w:id="203" w:name="_Toc112768716"/>
            <w:r>
              <w:rPr>
                <w:rFonts w:ascii="Cambria" w:hAnsi="Cambria"/>
                <w:color w:val="000000"/>
                <w:sz w:val="18"/>
              </w:rPr>
              <w:t>2024</w:t>
            </w:r>
            <w:bookmarkEnd w:id="202"/>
            <w:bookmarkEnd w:id="203"/>
          </w:p>
        </w:tc>
        <w:tc>
          <w:tcPr>
            <w:tcW w:w="1660" w:type="dxa"/>
            <w:tcBorders>
              <w:top w:val="nil"/>
              <w:left w:val="nil"/>
              <w:bottom w:val="nil"/>
              <w:right w:val="nil"/>
            </w:tcBorders>
            <w:shd w:val="clear" w:color="auto" w:fill="auto"/>
            <w:noWrap/>
            <w:vAlign w:val="bottom"/>
            <w:hideMark/>
          </w:tcPr>
          <w:p w14:paraId="7E041233" w14:textId="77777777" w:rsidR="009E50B5" w:rsidRDefault="009E50B5">
            <w:pPr>
              <w:jc w:val="right"/>
              <w:outlineLvl w:val="0"/>
              <w:rPr>
                <w:rFonts w:ascii="Cambria" w:hAnsi="Cambria" w:cs="Arial"/>
                <w:color w:val="000000"/>
                <w:sz w:val="18"/>
                <w:szCs w:val="18"/>
              </w:rPr>
            </w:pPr>
            <w:bookmarkStart w:id="204" w:name="_Toc101455589"/>
            <w:bookmarkStart w:id="205" w:name="_Toc112768717"/>
            <w:r>
              <w:rPr>
                <w:rFonts w:ascii="Cambria" w:hAnsi="Cambria"/>
                <w:color w:val="000000"/>
                <w:sz w:val="18"/>
              </w:rPr>
              <w:t>719 037</w:t>
            </w:r>
            <w:bookmarkEnd w:id="204"/>
            <w:bookmarkEnd w:id="205"/>
          </w:p>
        </w:tc>
        <w:tc>
          <w:tcPr>
            <w:tcW w:w="1660" w:type="dxa"/>
            <w:tcBorders>
              <w:top w:val="nil"/>
              <w:left w:val="nil"/>
              <w:bottom w:val="nil"/>
              <w:right w:val="nil"/>
            </w:tcBorders>
            <w:shd w:val="clear" w:color="auto" w:fill="auto"/>
            <w:noWrap/>
            <w:vAlign w:val="bottom"/>
            <w:hideMark/>
          </w:tcPr>
          <w:p w14:paraId="7D3B218A" w14:textId="77777777" w:rsidR="009E50B5" w:rsidRDefault="009E50B5">
            <w:pPr>
              <w:jc w:val="right"/>
              <w:outlineLvl w:val="0"/>
              <w:rPr>
                <w:rFonts w:ascii="Cambria" w:hAnsi="Cambria" w:cs="Arial"/>
                <w:color w:val="000000"/>
                <w:sz w:val="18"/>
                <w:szCs w:val="18"/>
              </w:rPr>
            </w:pPr>
            <w:bookmarkStart w:id="206" w:name="_Toc101455590"/>
            <w:bookmarkStart w:id="207" w:name="_Toc112768718"/>
            <w:r>
              <w:rPr>
                <w:rFonts w:ascii="Cambria" w:hAnsi="Cambria"/>
                <w:color w:val="000000"/>
                <w:sz w:val="18"/>
              </w:rPr>
              <w:t>0</w:t>
            </w:r>
            <w:bookmarkEnd w:id="206"/>
            <w:bookmarkEnd w:id="207"/>
          </w:p>
        </w:tc>
      </w:tr>
      <w:tr w:rsidR="009E50B5" w14:paraId="4AB1423B" w14:textId="77777777" w:rsidTr="0061181E">
        <w:trPr>
          <w:trHeight w:val="240"/>
        </w:trPr>
        <w:tc>
          <w:tcPr>
            <w:tcW w:w="3544" w:type="dxa"/>
            <w:tcBorders>
              <w:top w:val="nil"/>
              <w:left w:val="nil"/>
              <w:bottom w:val="nil"/>
              <w:right w:val="nil"/>
            </w:tcBorders>
            <w:shd w:val="clear" w:color="auto" w:fill="auto"/>
            <w:noWrap/>
            <w:vAlign w:val="bottom"/>
            <w:hideMark/>
          </w:tcPr>
          <w:p w14:paraId="0EEB5FE4" w14:textId="77777777" w:rsidR="009E50B5" w:rsidRDefault="009E50B5">
            <w:pPr>
              <w:rPr>
                <w:rFonts w:ascii="Cambria" w:hAnsi="Cambria" w:cs="Arial"/>
                <w:color w:val="000000"/>
                <w:sz w:val="18"/>
                <w:szCs w:val="18"/>
              </w:rPr>
            </w:pPr>
            <w:r>
              <w:rPr>
                <w:rFonts w:ascii="Cambria" w:hAnsi="Cambria"/>
                <w:color w:val="000000"/>
                <w:sz w:val="18"/>
              </w:rPr>
              <w:t>Dettes pour contrats de location</w:t>
            </w:r>
          </w:p>
        </w:tc>
        <w:tc>
          <w:tcPr>
            <w:tcW w:w="2126" w:type="dxa"/>
            <w:tcBorders>
              <w:top w:val="nil"/>
              <w:left w:val="nil"/>
              <w:bottom w:val="nil"/>
              <w:right w:val="nil"/>
            </w:tcBorders>
            <w:shd w:val="clear" w:color="auto" w:fill="auto"/>
            <w:noWrap/>
            <w:vAlign w:val="bottom"/>
            <w:hideMark/>
          </w:tcPr>
          <w:p w14:paraId="76CA6353" w14:textId="77777777" w:rsidR="009E50B5" w:rsidRDefault="009E50B5">
            <w:pPr>
              <w:jc w:val="center"/>
              <w:rPr>
                <w:rFonts w:ascii="Cambria" w:hAnsi="Cambria" w:cs="Arial"/>
                <w:color w:val="000000"/>
                <w:sz w:val="18"/>
                <w:szCs w:val="18"/>
              </w:rPr>
            </w:pPr>
            <w:r>
              <w:rPr>
                <w:rFonts w:ascii="Cambria" w:hAnsi="Cambria"/>
                <w:color w:val="000000"/>
                <w:sz w:val="18"/>
              </w:rPr>
              <w:t>2,5%</w:t>
            </w:r>
          </w:p>
        </w:tc>
        <w:tc>
          <w:tcPr>
            <w:tcW w:w="993" w:type="dxa"/>
            <w:tcBorders>
              <w:top w:val="nil"/>
              <w:left w:val="nil"/>
              <w:bottom w:val="nil"/>
              <w:right w:val="nil"/>
            </w:tcBorders>
            <w:shd w:val="clear" w:color="auto" w:fill="auto"/>
            <w:noWrap/>
            <w:vAlign w:val="bottom"/>
            <w:hideMark/>
          </w:tcPr>
          <w:p w14:paraId="4D515B84" w14:textId="77777777" w:rsidR="009E50B5" w:rsidRDefault="009E50B5">
            <w:pPr>
              <w:jc w:val="center"/>
              <w:rPr>
                <w:rFonts w:ascii="Cambria" w:hAnsi="Cambria" w:cs="Arial"/>
                <w:color w:val="000000"/>
                <w:sz w:val="18"/>
                <w:szCs w:val="18"/>
              </w:rPr>
            </w:pPr>
            <w:r>
              <w:rPr>
                <w:rFonts w:ascii="Cambria" w:hAnsi="Cambria"/>
                <w:color w:val="000000"/>
                <w:sz w:val="18"/>
              </w:rPr>
              <w:t>2022-2031</w:t>
            </w:r>
          </w:p>
        </w:tc>
        <w:tc>
          <w:tcPr>
            <w:tcW w:w="1660" w:type="dxa"/>
            <w:tcBorders>
              <w:top w:val="nil"/>
              <w:left w:val="nil"/>
              <w:bottom w:val="nil"/>
              <w:right w:val="nil"/>
            </w:tcBorders>
            <w:shd w:val="clear" w:color="auto" w:fill="auto"/>
            <w:noWrap/>
            <w:vAlign w:val="bottom"/>
            <w:hideMark/>
          </w:tcPr>
          <w:p w14:paraId="4530B43D" w14:textId="77777777" w:rsidR="009E50B5" w:rsidRDefault="009E50B5">
            <w:pPr>
              <w:jc w:val="right"/>
              <w:rPr>
                <w:rFonts w:ascii="Cambria" w:hAnsi="Cambria" w:cs="Arial"/>
                <w:color w:val="000000"/>
                <w:sz w:val="18"/>
                <w:szCs w:val="18"/>
              </w:rPr>
            </w:pPr>
            <w:r>
              <w:rPr>
                <w:rFonts w:ascii="Cambria" w:hAnsi="Cambria"/>
                <w:color w:val="000000"/>
                <w:sz w:val="18"/>
              </w:rPr>
              <w:t>4 576 623</w:t>
            </w:r>
          </w:p>
        </w:tc>
        <w:tc>
          <w:tcPr>
            <w:tcW w:w="1660" w:type="dxa"/>
            <w:tcBorders>
              <w:top w:val="nil"/>
              <w:left w:val="nil"/>
              <w:bottom w:val="nil"/>
              <w:right w:val="nil"/>
            </w:tcBorders>
            <w:shd w:val="clear" w:color="auto" w:fill="auto"/>
            <w:noWrap/>
            <w:vAlign w:val="bottom"/>
            <w:hideMark/>
          </w:tcPr>
          <w:p w14:paraId="787F6777" w14:textId="77777777" w:rsidR="009E50B5" w:rsidRDefault="009E50B5">
            <w:pPr>
              <w:jc w:val="right"/>
              <w:rPr>
                <w:rFonts w:ascii="Cambria" w:hAnsi="Cambria" w:cs="Arial"/>
                <w:color w:val="000000"/>
                <w:sz w:val="18"/>
                <w:szCs w:val="18"/>
              </w:rPr>
            </w:pPr>
            <w:r>
              <w:rPr>
                <w:rFonts w:ascii="Cambria" w:hAnsi="Cambria"/>
                <w:color w:val="000000"/>
                <w:sz w:val="18"/>
              </w:rPr>
              <w:t>6 584 043</w:t>
            </w:r>
          </w:p>
        </w:tc>
      </w:tr>
      <w:tr w:rsidR="009E50B5" w14:paraId="29C63397" w14:textId="77777777" w:rsidTr="0061181E">
        <w:trPr>
          <w:trHeight w:val="255"/>
        </w:trPr>
        <w:tc>
          <w:tcPr>
            <w:tcW w:w="3544" w:type="dxa"/>
            <w:tcBorders>
              <w:top w:val="nil"/>
              <w:left w:val="nil"/>
              <w:bottom w:val="nil"/>
              <w:right w:val="nil"/>
            </w:tcBorders>
            <w:shd w:val="clear" w:color="auto" w:fill="auto"/>
            <w:noWrap/>
            <w:vAlign w:val="bottom"/>
            <w:hideMark/>
          </w:tcPr>
          <w:p w14:paraId="0D46B0F8" w14:textId="77777777" w:rsidR="009E50B5" w:rsidRDefault="009E50B5">
            <w:pPr>
              <w:rPr>
                <w:rFonts w:ascii="Cambria" w:hAnsi="Cambria" w:cs="Arial"/>
                <w:b/>
                <w:bCs/>
                <w:color w:val="000000"/>
                <w:sz w:val="18"/>
                <w:szCs w:val="18"/>
              </w:rPr>
            </w:pPr>
            <w:r>
              <w:rPr>
                <w:rFonts w:ascii="Cambria" w:hAnsi="Cambria"/>
                <w:b/>
                <w:color w:val="000000"/>
                <w:sz w:val="18"/>
              </w:rPr>
              <w:t>Total Passifs financiers à long terme</w:t>
            </w:r>
          </w:p>
        </w:tc>
        <w:tc>
          <w:tcPr>
            <w:tcW w:w="2126" w:type="dxa"/>
            <w:tcBorders>
              <w:top w:val="nil"/>
              <w:left w:val="nil"/>
              <w:bottom w:val="nil"/>
              <w:right w:val="nil"/>
            </w:tcBorders>
            <w:shd w:val="clear" w:color="auto" w:fill="auto"/>
            <w:noWrap/>
            <w:vAlign w:val="bottom"/>
            <w:hideMark/>
          </w:tcPr>
          <w:p w14:paraId="6BFFE445" w14:textId="77777777" w:rsidR="009E50B5" w:rsidRDefault="009E50B5">
            <w:pPr>
              <w:rPr>
                <w:rFonts w:ascii="Cambria" w:hAnsi="Cambria" w:cs="Arial"/>
                <w:b/>
                <w:bCs/>
                <w:color w:val="000000"/>
                <w:sz w:val="18"/>
                <w:szCs w:val="18"/>
              </w:rPr>
            </w:pPr>
          </w:p>
        </w:tc>
        <w:tc>
          <w:tcPr>
            <w:tcW w:w="993" w:type="dxa"/>
            <w:tcBorders>
              <w:top w:val="nil"/>
              <w:left w:val="nil"/>
              <w:bottom w:val="nil"/>
              <w:right w:val="nil"/>
            </w:tcBorders>
            <w:shd w:val="clear" w:color="auto" w:fill="auto"/>
            <w:noWrap/>
            <w:vAlign w:val="bottom"/>
            <w:hideMark/>
          </w:tcPr>
          <w:p w14:paraId="52E52486" w14:textId="77777777" w:rsidR="009E50B5" w:rsidRDefault="009E50B5">
            <w:pPr>
              <w:rPr>
                <w:sz w:val="20"/>
                <w:szCs w:val="20"/>
              </w:rPr>
            </w:pPr>
          </w:p>
        </w:tc>
        <w:tc>
          <w:tcPr>
            <w:tcW w:w="1660" w:type="dxa"/>
            <w:tcBorders>
              <w:top w:val="single" w:sz="4" w:space="0" w:color="auto"/>
              <w:left w:val="nil"/>
              <w:bottom w:val="single" w:sz="8" w:space="0" w:color="auto"/>
              <w:right w:val="nil"/>
            </w:tcBorders>
            <w:shd w:val="clear" w:color="auto" w:fill="auto"/>
            <w:noWrap/>
            <w:vAlign w:val="bottom"/>
            <w:hideMark/>
          </w:tcPr>
          <w:p w14:paraId="3BB71374" w14:textId="77777777" w:rsidR="009E50B5" w:rsidRDefault="009E50B5">
            <w:pPr>
              <w:jc w:val="right"/>
              <w:rPr>
                <w:rFonts w:ascii="Cambria" w:hAnsi="Cambria" w:cs="Arial"/>
                <w:b/>
                <w:bCs/>
                <w:color w:val="000000"/>
                <w:sz w:val="18"/>
                <w:szCs w:val="18"/>
              </w:rPr>
            </w:pPr>
            <w:r>
              <w:rPr>
                <w:rFonts w:ascii="Cambria" w:hAnsi="Cambria"/>
                <w:b/>
                <w:color w:val="000000"/>
                <w:sz w:val="18"/>
              </w:rPr>
              <w:t>8 774 333</w:t>
            </w:r>
          </w:p>
        </w:tc>
        <w:tc>
          <w:tcPr>
            <w:tcW w:w="1660" w:type="dxa"/>
            <w:tcBorders>
              <w:top w:val="single" w:sz="4" w:space="0" w:color="auto"/>
              <w:left w:val="nil"/>
              <w:bottom w:val="single" w:sz="8" w:space="0" w:color="auto"/>
              <w:right w:val="nil"/>
            </w:tcBorders>
            <w:shd w:val="clear" w:color="auto" w:fill="auto"/>
            <w:noWrap/>
            <w:vAlign w:val="bottom"/>
            <w:hideMark/>
          </w:tcPr>
          <w:p w14:paraId="79721CC2" w14:textId="77777777" w:rsidR="009E50B5" w:rsidRDefault="009E50B5">
            <w:pPr>
              <w:jc w:val="right"/>
              <w:rPr>
                <w:rFonts w:ascii="Cambria" w:hAnsi="Cambria" w:cs="Arial"/>
                <w:b/>
                <w:bCs/>
                <w:color w:val="000000"/>
                <w:sz w:val="18"/>
                <w:szCs w:val="18"/>
              </w:rPr>
            </w:pPr>
            <w:r>
              <w:rPr>
                <w:rFonts w:ascii="Cambria" w:hAnsi="Cambria"/>
                <w:b/>
                <w:color w:val="000000"/>
                <w:sz w:val="18"/>
              </w:rPr>
              <w:t>10 699 900</w:t>
            </w:r>
          </w:p>
        </w:tc>
      </w:tr>
      <w:tr w:rsidR="009E50B5" w14:paraId="2BE9B349" w14:textId="77777777" w:rsidTr="0061181E">
        <w:trPr>
          <w:trHeight w:val="240"/>
        </w:trPr>
        <w:tc>
          <w:tcPr>
            <w:tcW w:w="3544" w:type="dxa"/>
            <w:tcBorders>
              <w:top w:val="nil"/>
              <w:left w:val="nil"/>
              <w:bottom w:val="nil"/>
              <w:right w:val="nil"/>
            </w:tcBorders>
            <w:shd w:val="clear" w:color="auto" w:fill="auto"/>
            <w:noWrap/>
            <w:vAlign w:val="bottom"/>
            <w:hideMark/>
          </w:tcPr>
          <w:p w14:paraId="33B5FE19" w14:textId="77777777" w:rsidR="009E50B5" w:rsidRDefault="009E50B5">
            <w:pPr>
              <w:jc w:val="right"/>
              <w:rPr>
                <w:rFonts w:ascii="Cambria" w:hAnsi="Cambria" w:cs="Arial"/>
                <w:b/>
                <w:bCs/>
                <w:color w:val="000000"/>
                <w:sz w:val="18"/>
                <w:szCs w:val="18"/>
              </w:rPr>
            </w:pPr>
          </w:p>
        </w:tc>
        <w:tc>
          <w:tcPr>
            <w:tcW w:w="2126" w:type="dxa"/>
            <w:tcBorders>
              <w:top w:val="nil"/>
              <w:left w:val="nil"/>
              <w:bottom w:val="nil"/>
              <w:right w:val="nil"/>
            </w:tcBorders>
            <w:shd w:val="clear" w:color="auto" w:fill="auto"/>
            <w:noWrap/>
            <w:vAlign w:val="bottom"/>
            <w:hideMark/>
          </w:tcPr>
          <w:p w14:paraId="67E1E18B" w14:textId="77777777" w:rsidR="009E50B5" w:rsidRDefault="009E50B5">
            <w:pPr>
              <w:rPr>
                <w:sz w:val="20"/>
                <w:szCs w:val="20"/>
              </w:rPr>
            </w:pPr>
          </w:p>
        </w:tc>
        <w:tc>
          <w:tcPr>
            <w:tcW w:w="993" w:type="dxa"/>
            <w:tcBorders>
              <w:top w:val="nil"/>
              <w:left w:val="nil"/>
              <w:bottom w:val="nil"/>
              <w:right w:val="nil"/>
            </w:tcBorders>
            <w:shd w:val="clear" w:color="auto" w:fill="auto"/>
            <w:noWrap/>
            <w:vAlign w:val="bottom"/>
            <w:hideMark/>
          </w:tcPr>
          <w:p w14:paraId="5F9670E1" w14:textId="77777777" w:rsidR="009E50B5" w:rsidRDefault="009E50B5">
            <w:pPr>
              <w:rPr>
                <w:sz w:val="20"/>
                <w:szCs w:val="20"/>
              </w:rPr>
            </w:pPr>
          </w:p>
        </w:tc>
        <w:tc>
          <w:tcPr>
            <w:tcW w:w="1660" w:type="dxa"/>
            <w:tcBorders>
              <w:top w:val="nil"/>
              <w:left w:val="nil"/>
              <w:bottom w:val="nil"/>
              <w:right w:val="nil"/>
            </w:tcBorders>
            <w:shd w:val="clear" w:color="auto" w:fill="auto"/>
            <w:noWrap/>
            <w:vAlign w:val="bottom"/>
            <w:hideMark/>
          </w:tcPr>
          <w:p w14:paraId="29754A58" w14:textId="77777777" w:rsidR="009E50B5" w:rsidRDefault="009E50B5">
            <w:pPr>
              <w:rPr>
                <w:sz w:val="20"/>
                <w:szCs w:val="20"/>
              </w:rPr>
            </w:pPr>
          </w:p>
        </w:tc>
        <w:tc>
          <w:tcPr>
            <w:tcW w:w="1660" w:type="dxa"/>
            <w:tcBorders>
              <w:top w:val="nil"/>
              <w:left w:val="nil"/>
              <w:bottom w:val="nil"/>
              <w:right w:val="nil"/>
            </w:tcBorders>
            <w:shd w:val="clear" w:color="auto" w:fill="auto"/>
            <w:noWrap/>
            <w:vAlign w:val="bottom"/>
            <w:hideMark/>
          </w:tcPr>
          <w:p w14:paraId="13B1ED4F" w14:textId="77777777" w:rsidR="009E50B5" w:rsidRDefault="009E50B5">
            <w:pPr>
              <w:rPr>
                <w:sz w:val="20"/>
                <w:szCs w:val="20"/>
              </w:rPr>
            </w:pPr>
          </w:p>
        </w:tc>
      </w:tr>
      <w:tr w:rsidR="009E50B5" w14:paraId="4B06E8D9" w14:textId="77777777" w:rsidTr="0061181E">
        <w:trPr>
          <w:trHeight w:val="240"/>
        </w:trPr>
        <w:tc>
          <w:tcPr>
            <w:tcW w:w="3544" w:type="dxa"/>
            <w:tcBorders>
              <w:top w:val="nil"/>
              <w:left w:val="nil"/>
              <w:bottom w:val="nil"/>
              <w:right w:val="nil"/>
            </w:tcBorders>
            <w:shd w:val="clear" w:color="auto" w:fill="auto"/>
            <w:noWrap/>
            <w:vAlign w:val="bottom"/>
            <w:hideMark/>
          </w:tcPr>
          <w:p w14:paraId="3F8FCB37" w14:textId="77777777" w:rsidR="009E50B5" w:rsidRDefault="009E50B5">
            <w:pPr>
              <w:rPr>
                <w:rFonts w:ascii="Cambria" w:hAnsi="Cambria" w:cs="Arial"/>
                <w:b/>
                <w:bCs/>
                <w:color w:val="000000"/>
                <w:sz w:val="18"/>
                <w:szCs w:val="18"/>
              </w:rPr>
            </w:pPr>
            <w:r>
              <w:rPr>
                <w:rFonts w:ascii="Cambria" w:hAnsi="Cambria"/>
                <w:b/>
                <w:color w:val="000000"/>
                <w:sz w:val="18"/>
              </w:rPr>
              <w:t>Passifs financiers à court terme</w:t>
            </w:r>
          </w:p>
        </w:tc>
        <w:tc>
          <w:tcPr>
            <w:tcW w:w="2126" w:type="dxa"/>
            <w:tcBorders>
              <w:top w:val="nil"/>
              <w:left w:val="nil"/>
              <w:bottom w:val="nil"/>
              <w:right w:val="nil"/>
            </w:tcBorders>
            <w:shd w:val="clear" w:color="auto" w:fill="auto"/>
            <w:noWrap/>
            <w:vAlign w:val="bottom"/>
            <w:hideMark/>
          </w:tcPr>
          <w:p w14:paraId="0A73D2B4" w14:textId="77777777" w:rsidR="009E50B5" w:rsidRDefault="009E50B5">
            <w:pPr>
              <w:rPr>
                <w:rFonts w:ascii="Cambria" w:hAnsi="Cambria" w:cs="Arial"/>
                <w:b/>
                <w:bCs/>
                <w:color w:val="000000"/>
                <w:sz w:val="18"/>
                <w:szCs w:val="18"/>
              </w:rPr>
            </w:pPr>
          </w:p>
        </w:tc>
        <w:tc>
          <w:tcPr>
            <w:tcW w:w="993" w:type="dxa"/>
            <w:tcBorders>
              <w:top w:val="nil"/>
              <w:left w:val="nil"/>
              <w:bottom w:val="nil"/>
              <w:right w:val="nil"/>
            </w:tcBorders>
            <w:shd w:val="clear" w:color="auto" w:fill="auto"/>
            <w:noWrap/>
            <w:vAlign w:val="bottom"/>
            <w:hideMark/>
          </w:tcPr>
          <w:p w14:paraId="1866EF14" w14:textId="77777777" w:rsidR="009E50B5" w:rsidRDefault="009E50B5">
            <w:pPr>
              <w:rPr>
                <w:sz w:val="20"/>
                <w:szCs w:val="20"/>
              </w:rPr>
            </w:pPr>
          </w:p>
        </w:tc>
        <w:tc>
          <w:tcPr>
            <w:tcW w:w="1660" w:type="dxa"/>
            <w:tcBorders>
              <w:top w:val="nil"/>
              <w:left w:val="nil"/>
              <w:bottom w:val="nil"/>
              <w:right w:val="nil"/>
            </w:tcBorders>
            <w:shd w:val="clear" w:color="auto" w:fill="auto"/>
            <w:noWrap/>
            <w:vAlign w:val="bottom"/>
            <w:hideMark/>
          </w:tcPr>
          <w:p w14:paraId="3FEE81C5" w14:textId="77777777" w:rsidR="009E50B5" w:rsidRDefault="009E50B5">
            <w:pPr>
              <w:rPr>
                <w:sz w:val="20"/>
                <w:szCs w:val="20"/>
              </w:rPr>
            </w:pPr>
          </w:p>
        </w:tc>
        <w:tc>
          <w:tcPr>
            <w:tcW w:w="1660" w:type="dxa"/>
            <w:tcBorders>
              <w:top w:val="nil"/>
              <w:left w:val="nil"/>
              <w:bottom w:val="nil"/>
              <w:right w:val="nil"/>
            </w:tcBorders>
            <w:shd w:val="clear" w:color="auto" w:fill="auto"/>
            <w:noWrap/>
            <w:vAlign w:val="bottom"/>
            <w:hideMark/>
          </w:tcPr>
          <w:p w14:paraId="3BF5428D" w14:textId="77777777" w:rsidR="009E50B5" w:rsidRDefault="009E50B5">
            <w:pPr>
              <w:rPr>
                <w:sz w:val="20"/>
                <w:szCs w:val="20"/>
              </w:rPr>
            </w:pPr>
          </w:p>
        </w:tc>
      </w:tr>
      <w:tr w:rsidR="009E50B5" w14:paraId="59B79DA1" w14:textId="77777777" w:rsidTr="0061181E">
        <w:trPr>
          <w:trHeight w:val="240"/>
        </w:trPr>
        <w:tc>
          <w:tcPr>
            <w:tcW w:w="3544" w:type="dxa"/>
            <w:tcBorders>
              <w:top w:val="nil"/>
              <w:left w:val="nil"/>
              <w:bottom w:val="nil"/>
              <w:right w:val="nil"/>
            </w:tcBorders>
            <w:shd w:val="clear" w:color="auto" w:fill="auto"/>
            <w:noWrap/>
            <w:vAlign w:val="bottom"/>
            <w:hideMark/>
          </w:tcPr>
          <w:p w14:paraId="631FAD90" w14:textId="77777777" w:rsidR="009E50B5" w:rsidRDefault="009E50B5">
            <w:pPr>
              <w:rPr>
                <w:rFonts w:ascii="Cambria" w:hAnsi="Cambria" w:cs="Arial"/>
                <w:color w:val="000000"/>
                <w:sz w:val="18"/>
                <w:szCs w:val="18"/>
              </w:rPr>
            </w:pPr>
            <w:r>
              <w:rPr>
                <w:rFonts w:ascii="Cambria" w:hAnsi="Cambria"/>
                <w:color w:val="000000"/>
                <w:sz w:val="18"/>
              </w:rPr>
              <w:t>Prêt de la BCC</w:t>
            </w:r>
          </w:p>
        </w:tc>
        <w:tc>
          <w:tcPr>
            <w:tcW w:w="2126" w:type="dxa"/>
            <w:tcBorders>
              <w:top w:val="nil"/>
              <w:left w:val="nil"/>
              <w:bottom w:val="nil"/>
              <w:right w:val="nil"/>
            </w:tcBorders>
            <w:shd w:val="clear" w:color="auto" w:fill="auto"/>
            <w:noWrap/>
            <w:vAlign w:val="bottom"/>
            <w:hideMark/>
          </w:tcPr>
          <w:p w14:paraId="51525A42" w14:textId="77777777" w:rsidR="009E50B5" w:rsidRDefault="009E50B5">
            <w:pPr>
              <w:jc w:val="center"/>
              <w:rPr>
                <w:rFonts w:ascii="Cambria" w:hAnsi="Cambria" w:cs="Arial"/>
                <w:color w:val="000000"/>
                <w:sz w:val="18"/>
                <w:szCs w:val="18"/>
              </w:rPr>
            </w:pPr>
            <w:r>
              <w:rPr>
                <w:rFonts w:ascii="Cambria" w:hAnsi="Cambria"/>
                <w:color w:val="000000"/>
                <w:sz w:val="18"/>
              </w:rPr>
              <w:t>Euribor 3 mois + spread</w:t>
            </w:r>
          </w:p>
        </w:tc>
        <w:tc>
          <w:tcPr>
            <w:tcW w:w="993" w:type="dxa"/>
            <w:tcBorders>
              <w:top w:val="nil"/>
              <w:left w:val="nil"/>
              <w:bottom w:val="nil"/>
              <w:right w:val="nil"/>
            </w:tcBorders>
            <w:shd w:val="clear" w:color="auto" w:fill="auto"/>
            <w:noWrap/>
            <w:vAlign w:val="bottom"/>
            <w:hideMark/>
          </w:tcPr>
          <w:p w14:paraId="5F5D73DC" w14:textId="77777777" w:rsidR="009E50B5" w:rsidRDefault="009E50B5">
            <w:pPr>
              <w:jc w:val="center"/>
              <w:rPr>
                <w:rFonts w:ascii="Cambria" w:hAnsi="Cambria" w:cs="Arial"/>
                <w:color w:val="000000"/>
                <w:sz w:val="18"/>
                <w:szCs w:val="18"/>
              </w:rPr>
            </w:pPr>
            <w:r>
              <w:rPr>
                <w:rFonts w:ascii="Cambria" w:hAnsi="Cambria"/>
                <w:color w:val="000000"/>
                <w:sz w:val="18"/>
              </w:rPr>
              <w:t>2021</w:t>
            </w:r>
          </w:p>
        </w:tc>
        <w:tc>
          <w:tcPr>
            <w:tcW w:w="1660" w:type="dxa"/>
            <w:tcBorders>
              <w:top w:val="nil"/>
              <w:left w:val="nil"/>
              <w:bottom w:val="nil"/>
              <w:right w:val="nil"/>
            </w:tcBorders>
            <w:shd w:val="clear" w:color="auto" w:fill="auto"/>
            <w:noWrap/>
            <w:vAlign w:val="bottom"/>
            <w:hideMark/>
          </w:tcPr>
          <w:p w14:paraId="1F32AF9E" w14:textId="77777777" w:rsidR="009E50B5" w:rsidRDefault="009E50B5">
            <w:pPr>
              <w:jc w:val="right"/>
              <w:rPr>
                <w:rFonts w:ascii="Cambria" w:hAnsi="Cambria" w:cs="Arial"/>
                <w:color w:val="000000"/>
                <w:sz w:val="18"/>
                <w:szCs w:val="18"/>
              </w:rPr>
            </w:pPr>
            <w:r>
              <w:rPr>
                <w:rFonts w:ascii="Cambria" w:hAnsi="Cambria"/>
                <w:color w:val="000000"/>
                <w:sz w:val="18"/>
              </w:rPr>
              <w:t>96 635</w:t>
            </w:r>
          </w:p>
        </w:tc>
        <w:tc>
          <w:tcPr>
            <w:tcW w:w="1660" w:type="dxa"/>
            <w:tcBorders>
              <w:top w:val="nil"/>
              <w:left w:val="nil"/>
              <w:bottom w:val="nil"/>
              <w:right w:val="nil"/>
            </w:tcBorders>
            <w:shd w:val="clear" w:color="auto" w:fill="auto"/>
            <w:noWrap/>
            <w:vAlign w:val="bottom"/>
            <w:hideMark/>
          </w:tcPr>
          <w:p w14:paraId="7687FB10" w14:textId="77777777" w:rsidR="009E50B5" w:rsidRDefault="009E50B5">
            <w:pPr>
              <w:jc w:val="right"/>
              <w:rPr>
                <w:rFonts w:ascii="Cambria" w:hAnsi="Cambria" w:cs="Arial"/>
                <w:color w:val="000000"/>
                <w:sz w:val="18"/>
                <w:szCs w:val="18"/>
              </w:rPr>
            </w:pPr>
            <w:r>
              <w:rPr>
                <w:rFonts w:ascii="Cambria" w:hAnsi="Cambria"/>
                <w:color w:val="000000"/>
                <w:sz w:val="18"/>
              </w:rPr>
              <w:t>103 206</w:t>
            </w:r>
          </w:p>
        </w:tc>
      </w:tr>
      <w:tr w:rsidR="009E50B5" w14:paraId="149F4D9F" w14:textId="77777777" w:rsidTr="0061181E">
        <w:trPr>
          <w:trHeight w:val="240"/>
        </w:trPr>
        <w:tc>
          <w:tcPr>
            <w:tcW w:w="3544" w:type="dxa"/>
            <w:tcBorders>
              <w:top w:val="nil"/>
              <w:left w:val="nil"/>
              <w:bottom w:val="nil"/>
              <w:right w:val="nil"/>
            </w:tcBorders>
            <w:shd w:val="clear" w:color="auto" w:fill="auto"/>
            <w:noWrap/>
            <w:vAlign w:val="bottom"/>
            <w:hideMark/>
          </w:tcPr>
          <w:p w14:paraId="74271D66" w14:textId="77777777" w:rsidR="009E50B5" w:rsidRDefault="009E50B5">
            <w:pPr>
              <w:rPr>
                <w:rFonts w:ascii="Cambria" w:hAnsi="Cambria" w:cs="Arial"/>
                <w:color w:val="000000"/>
                <w:sz w:val="18"/>
                <w:szCs w:val="18"/>
              </w:rPr>
            </w:pPr>
            <w:r>
              <w:rPr>
                <w:rFonts w:ascii="Cambria" w:hAnsi="Cambria"/>
                <w:color w:val="000000"/>
                <w:sz w:val="18"/>
              </w:rPr>
              <w:t>Prêt de la BPB</w:t>
            </w:r>
          </w:p>
        </w:tc>
        <w:tc>
          <w:tcPr>
            <w:tcW w:w="2126" w:type="dxa"/>
            <w:tcBorders>
              <w:top w:val="nil"/>
              <w:left w:val="nil"/>
              <w:bottom w:val="nil"/>
              <w:right w:val="nil"/>
            </w:tcBorders>
            <w:shd w:val="clear" w:color="auto" w:fill="auto"/>
            <w:noWrap/>
            <w:vAlign w:val="bottom"/>
            <w:hideMark/>
          </w:tcPr>
          <w:p w14:paraId="1B9FD22F" w14:textId="77777777" w:rsidR="009E50B5" w:rsidRDefault="009E50B5">
            <w:pPr>
              <w:jc w:val="center"/>
              <w:rPr>
                <w:rFonts w:ascii="Cambria" w:hAnsi="Cambria" w:cs="Arial"/>
                <w:color w:val="000000"/>
                <w:sz w:val="18"/>
                <w:szCs w:val="18"/>
              </w:rPr>
            </w:pPr>
            <w:r>
              <w:rPr>
                <w:rFonts w:ascii="Cambria" w:hAnsi="Cambria"/>
                <w:color w:val="000000"/>
                <w:sz w:val="18"/>
              </w:rPr>
              <w:t>Euribor 6 mois + spread</w:t>
            </w:r>
          </w:p>
        </w:tc>
        <w:tc>
          <w:tcPr>
            <w:tcW w:w="993" w:type="dxa"/>
            <w:tcBorders>
              <w:top w:val="nil"/>
              <w:left w:val="nil"/>
              <w:bottom w:val="nil"/>
              <w:right w:val="nil"/>
            </w:tcBorders>
            <w:shd w:val="clear" w:color="auto" w:fill="auto"/>
            <w:noWrap/>
            <w:vAlign w:val="bottom"/>
            <w:hideMark/>
          </w:tcPr>
          <w:p w14:paraId="5D4F1FED" w14:textId="77777777" w:rsidR="009E50B5" w:rsidRDefault="009E50B5">
            <w:pPr>
              <w:jc w:val="center"/>
              <w:rPr>
                <w:rFonts w:ascii="Cambria" w:hAnsi="Cambria" w:cs="Arial"/>
                <w:color w:val="000000"/>
                <w:sz w:val="18"/>
                <w:szCs w:val="18"/>
              </w:rPr>
            </w:pPr>
            <w:r>
              <w:rPr>
                <w:rFonts w:ascii="Cambria" w:hAnsi="Cambria"/>
                <w:color w:val="000000"/>
                <w:sz w:val="18"/>
              </w:rPr>
              <w:t>2021</w:t>
            </w:r>
          </w:p>
        </w:tc>
        <w:tc>
          <w:tcPr>
            <w:tcW w:w="1660" w:type="dxa"/>
            <w:tcBorders>
              <w:top w:val="nil"/>
              <w:left w:val="nil"/>
              <w:bottom w:val="nil"/>
              <w:right w:val="nil"/>
            </w:tcBorders>
            <w:shd w:val="clear" w:color="auto" w:fill="auto"/>
            <w:noWrap/>
            <w:vAlign w:val="bottom"/>
            <w:hideMark/>
          </w:tcPr>
          <w:p w14:paraId="3F88B28C" w14:textId="77777777" w:rsidR="009E50B5" w:rsidRDefault="009E50B5">
            <w:pPr>
              <w:jc w:val="right"/>
              <w:rPr>
                <w:rFonts w:ascii="Cambria" w:hAnsi="Cambria" w:cs="Arial"/>
                <w:color w:val="000000"/>
                <w:sz w:val="18"/>
                <w:szCs w:val="18"/>
              </w:rPr>
            </w:pPr>
            <w:r>
              <w:rPr>
                <w:rFonts w:ascii="Cambria" w:hAnsi="Cambria"/>
                <w:color w:val="000000"/>
                <w:sz w:val="18"/>
              </w:rPr>
              <w:t>243 274</w:t>
            </w:r>
          </w:p>
        </w:tc>
        <w:tc>
          <w:tcPr>
            <w:tcW w:w="1660" w:type="dxa"/>
            <w:tcBorders>
              <w:top w:val="nil"/>
              <w:left w:val="nil"/>
              <w:bottom w:val="nil"/>
              <w:right w:val="nil"/>
            </w:tcBorders>
            <w:shd w:val="clear" w:color="auto" w:fill="auto"/>
            <w:noWrap/>
            <w:vAlign w:val="bottom"/>
            <w:hideMark/>
          </w:tcPr>
          <w:p w14:paraId="7A366A77" w14:textId="77777777" w:rsidR="009E50B5" w:rsidRDefault="009E50B5">
            <w:pPr>
              <w:jc w:val="right"/>
              <w:rPr>
                <w:rFonts w:ascii="Cambria" w:hAnsi="Cambria" w:cs="Arial"/>
                <w:color w:val="000000"/>
                <w:sz w:val="18"/>
                <w:szCs w:val="18"/>
              </w:rPr>
            </w:pPr>
            <w:r>
              <w:rPr>
                <w:rFonts w:ascii="Cambria" w:hAnsi="Cambria"/>
                <w:color w:val="000000"/>
                <w:sz w:val="18"/>
              </w:rPr>
              <w:t>263 271</w:t>
            </w:r>
          </w:p>
        </w:tc>
      </w:tr>
      <w:tr w:rsidR="009E50B5" w14:paraId="0B796DDB" w14:textId="77777777" w:rsidTr="0061181E">
        <w:trPr>
          <w:trHeight w:val="240"/>
        </w:trPr>
        <w:tc>
          <w:tcPr>
            <w:tcW w:w="3544" w:type="dxa"/>
            <w:tcBorders>
              <w:top w:val="nil"/>
              <w:left w:val="nil"/>
              <w:bottom w:val="nil"/>
              <w:right w:val="nil"/>
            </w:tcBorders>
            <w:shd w:val="clear" w:color="auto" w:fill="auto"/>
            <w:noWrap/>
            <w:vAlign w:val="bottom"/>
            <w:hideMark/>
          </w:tcPr>
          <w:p w14:paraId="3E717FF0" w14:textId="77777777" w:rsidR="009E50B5" w:rsidRDefault="009E50B5">
            <w:pPr>
              <w:rPr>
                <w:rFonts w:ascii="Cambria" w:hAnsi="Cambria" w:cs="Arial"/>
                <w:color w:val="000000"/>
                <w:sz w:val="18"/>
                <w:szCs w:val="18"/>
              </w:rPr>
            </w:pPr>
            <w:r>
              <w:rPr>
                <w:rFonts w:ascii="Cambria" w:hAnsi="Cambria"/>
                <w:color w:val="000000"/>
                <w:sz w:val="18"/>
              </w:rPr>
              <w:t xml:space="preserve">Prêt de la </w:t>
            </w:r>
            <w:proofErr w:type="spellStart"/>
            <w:r>
              <w:rPr>
                <w:rFonts w:ascii="Cambria" w:hAnsi="Cambria"/>
                <w:color w:val="000000"/>
                <w:sz w:val="18"/>
              </w:rPr>
              <w:t>Sanpaolo</w:t>
            </w:r>
            <w:proofErr w:type="spellEnd"/>
          </w:p>
        </w:tc>
        <w:tc>
          <w:tcPr>
            <w:tcW w:w="2126" w:type="dxa"/>
            <w:tcBorders>
              <w:top w:val="nil"/>
              <w:left w:val="nil"/>
              <w:bottom w:val="nil"/>
              <w:right w:val="nil"/>
            </w:tcBorders>
            <w:shd w:val="clear" w:color="auto" w:fill="auto"/>
            <w:noWrap/>
            <w:vAlign w:val="bottom"/>
            <w:hideMark/>
          </w:tcPr>
          <w:p w14:paraId="2345F65A" w14:textId="77777777" w:rsidR="009E50B5" w:rsidRDefault="009E50B5">
            <w:pPr>
              <w:jc w:val="center"/>
              <w:rPr>
                <w:rFonts w:ascii="Cambria" w:hAnsi="Cambria" w:cs="Arial"/>
                <w:color w:val="000000"/>
                <w:sz w:val="18"/>
                <w:szCs w:val="18"/>
              </w:rPr>
            </w:pPr>
            <w:proofErr w:type="gramStart"/>
            <w:r>
              <w:rPr>
                <w:rFonts w:ascii="Cambria" w:hAnsi="Cambria"/>
                <w:color w:val="000000"/>
                <w:sz w:val="18"/>
              </w:rPr>
              <w:t>fixe</w:t>
            </w:r>
            <w:proofErr w:type="gramEnd"/>
          </w:p>
        </w:tc>
        <w:tc>
          <w:tcPr>
            <w:tcW w:w="993" w:type="dxa"/>
            <w:tcBorders>
              <w:top w:val="nil"/>
              <w:left w:val="nil"/>
              <w:bottom w:val="nil"/>
              <w:right w:val="nil"/>
            </w:tcBorders>
            <w:shd w:val="clear" w:color="auto" w:fill="auto"/>
            <w:noWrap/>
            <w:vAlign w:val="bottom"/>
            <w:hideMark/>
          </w:tcPr>
          <w:p w14:paraId="4E089E35" w14:textId="77777777" w:rsidR="009E50B5" w:rsidRDefault="009E50B5">
            <w:pPr>
              <w:jc w:val="center"/>
              <w:rPr>
                <w:rFonts w:ascii="Cambria" w:hAnsi="Cambria" w:cs="Arial"/>
                <w:color w:val="000000"/>
                <w:sz w:val="18"/>
                <w:szCs w:val="18"/>
              </w:rPr>
            </w:pPr>
            <w:r>
              <w:rPr>
                <w:rFonts w:ascii="Cambria" w:hAnsi="Cambria"/>
                <w:color w:val="000000"/>
                <w:sz w:val="18"/>
              </w:rPr>
              <w:t>2021</w:t>
            </w:r>
          </w:p>
        </w:tc>
        <w:tc>
          <w:tcPr>
            <w:tcW w:w="1660" w:type="dxa"/>
            <w:tcBorders>
              <w:top w:val="nil"/>
              <w:left w:val="nil"/>
              <w:bottom w:val="nil"/>
              <w:right w:val="nil"/>
            </w:tcBorders>
            <w:shd w:val="clear" w:color="auto" w:fill="auto"/>
            <w:noWrap/>
            <w:vAlign w:val="bottom"/>
            <w:hideMark/>
          </w:tcPr>
          <w:p w14:paraId="3BAA23FB" w14:textId="77777777" w:rsidR="009E50B5" w:rsidRDefault="009E50B5">
            <w:pPr>
              <w:jc w:val="right"/>
              <w:rPr>
                <w:rFonts w:ascii="Cambria" w:hAnsi="Cambria" w:cs="Arial"/>
                <w:color w:val="000000"/>
                <w:sz w:val="18"/>
                <w:szCs w:val="18"/>
              </w:rPr>
            </w:pPr>
            <w:r>
              <w:rPr>
                <w:rFonts w:ascii="Cambria" w:hAnsi="Cambria"/>
                <w:color w:val="000000"/>
                <w:sz w:val="18"/>
              </w:rPr>
              <w:t>0</w:t>
            </w:r>
          </w:p>
        </w:tc>
        <w:tc>
          <w:tcPr>
            <w:tcW w:w="1660" w:type="dxa"/>
            <w:tcBorders>
              <w:top w:val="nil"/>
              <w:left w:val="nil"/>
              <w:bottom w:val="nil"/>
              <w:right w:val="nil"/>
            </w:tcBorders>
            <w:shd w:val="clear" w:color="auto" w:fill="auto"/>
            <w:noWrap/>
            <w:vAlign w:val="bottom"/>
            <w:hideMark/>
          </w:tcPr>
          <w:p w14:paraId="09332E07" w14:textId="77777777" w:rsidR="009E50B5" w:rsidRDefault="009E50B5">
            <w:pPr>
              <w:jc w:val="right"/>
              <w:rPr>
                <w:rFonts w:ascii="Cambria" w:hAnsi="Cambria" w:cs="Arial"/>
                <w:color w:val="000000"/>
                <w:sz w:val="18"/>
                <w:szCs w:val="18"/>
              </w:rPr>
            </w:pPr>
            <w:r>
              <w:rPr>
                <w:rFonts w:ascii="Cambria" w:hAnsi="Cambria"/>
                <w:color w:val="000000"/>
                <w:sz w:val="18"/>
              </w:rPr>
              <w:t>125 371</w:t>
            </w:r>
          </w:p>
        </w:tc>
      </w:tr>
      <w:tr w:rsidR="009E50B5" w14:paraId="5F56CDE5" w14:textId="77777777" w:rsidTr="0061181E">
        <w:trPr>
          <w:trHeight w:val="240"/>
        </w:trPr>
        <w:tc>
          <w:tcPr>
            <w:tcW w:w="3544" w:type="dxa"/>
            <w:tcBorders>
              <w:top w:val="nil"/>
              <w:left w:val="nil"/>
              <w:bottom w:val="nil"/>
              <w:right w:val="nil"/>
            </w:tcBorders>
            <w:shd w:val="clear" w:color="auto" w:fill="auto"/>
            <w:noWrap/>
            <w:vAlign w:val="bottom"/>
            <w:hideMark/>
          </w:tcPr>
          <w:p w14:paraId="4C781D96" w14:textId="77777777" w:rsidR="009E50B5" w:rsidRDefault="009E50B5">
            <w:pPr>
              <w:rPr>
                <w:rFonts w:ascii="Cambria" w:hAnsi="Cambria" w:cs="Arial"/>
                <w:color w:val="000000"/>
                <w:sz w:val="18"/>
                <w:szCs w:val="18"/>
              </w:rPr>
            </w:pPr>
            <w:r>
              <w:rPr>
                <w:rFonts w:ascii="Cambria" w:hAnsi="Cambria"/>
                <w:color w:val="000000"/>
                <w:sz w:val="18"/>
              </w:rPr>
              <w:t xml:space="preserve">Prêt de la BCC 2 </w:t>
            </w:r>
          </w:p>
        </w:tc>
        <w:tc>
          <w:tcPr>
            <w:tcW w:w="2126" w:type="dxa"/>
            <w:tcBorders>
              <w:top w:val="nil"/>
              <w:left w:val="nil"/>
              <w:bottom w:val="nil"/>
              <w:right w:val="nil"/>
            </w:tcBorders>
            <w:shd w:val="clear" w:color="auto" w:fill="auto"/>
            <w:noWrap/>
            <w:vAlign w:val="bottom"/>
            <w:hideMark/>
          </w:tcPr>
          <w:p w14:paraId="3713D1B8" w14:textId="77777777" w:rsidR="009E50B5" w:rsidRDefault="009E50B5">
            <w:pPr>
              <w:jc w:val="center"/>
              <w:rPr>
                <w:rFonts w:ascii="Cambria" w:hAnsi="Cambria" w:cs="Arial"/>
                <w:color w:val="000000"/>
                <w:sz w:val="18"/>
                <w:szCs w:val="18"/>
              </w:rPr>
            </w:pPr>
            <w:r>
              <w:rPr>
                <w:rFonts w:ascii="Cambria" w:hAnsi="Cambria"/>
                <w:color w:val="000000"/>
                <w:sz w:val="18"/>
              </w:rPr>
              <w:t>Euribor 3 mois + spread</w:t>
            </w:r>
          </w:p>
        </w:tc>
        <w:tc>
          <w:tcPr>
            <w:tcW w:w="993" w:type="dxa"/>
            <w:tcBorders>
              <w:top w:val="nil"/>
              <w:left w:val="nil"/>
              <w:bottom w:val="nil"/>
              <w:right w:val="nil"/>
            </w:tcBorders>
            <w:shd w:val="clear" w:color="auto" w:fill="auto"/>
            <w:noWrap/>
            <w:vAlign w:val="bottom"/>
            <w:hideMark/>
          </w:tcPr>
          <w:p w14:paraId="0E614B99" w14:textId="77777777" w:rsidR="009E50B5" w:rsidRDefault="009E50B5">
            <w:pPr>
              <w:jc w:val="center"/>
              <w:rPr>
                <w:rFonts w:ascii="Cambria" w:hAnsi="Cambria" w:cs="Arial"/>
                <w:color w:val="000000"/>
                <w:sz w:val="18"/>
                <w:szCs w:val="18"/>
              </w:rPr>
            </w:pPr>
            <w:r>
              <w:rPr>
                <w:rFonts w:ascii="Cambria" w:hAnsi="Cambria"/>
                <w:color w:val="000000"/>
                <w:sz w:val="18"/>
              </w:rPr>
              <w:t>2021</w:t>
            </w:r>
          </w:p>
        </w:tc>
        <w:tc>
          <w:tcPr>
            <w:tcW w:w="1660" w:type="dxa"/>
            <w:tcBorders>
              <w:top w:val="nil"/>
              <w:left w:val="nil"/>
              <w:bottom w:val="nil"/>
              <w:right w:val="nil"/>
            </w:tcBorders>
            <w:shd w:val="clear" w:color="auto" w:fill="auto"/>
            <w:noWrap/>
            <w:vAlign w:val="bottom"/>
            <w:hideMark/>
          </w:tcPr>
          <w:p w14:paraId="459DF88F" w14:textId="77777777" w:rsidR="009E50B5" w:rsidRDefault="009E50B5">
            <w:pPr>
              <w:jc w:val="right"/>
              <w:rPr>
                <w:rFonts w:ascii="Cambria" w:hAnsi="Cambria" w:cs="Arial"/>
                <w:color w:val="000000"/>
                <w:sz w:val="18"/>
                <w:szCs w:val="18"/>
              </w:rPr>
            </w:pPr>
            <w:r>
              <w:rPr>
                <w:rFonts w:ascii="Cambria" w:hAnsi="Cambria"/>
                <w:color w:val="000000"/>
                <w:sz w:val="18"/>
              </w:rPr>
              <w:t>117 989</w:t>
            </w:r>
          </w:p>
        </w:tc>
        <w:tc>
          <w:tcPr>
            <w:tcW w:w="1660" w:type="dxa"/>
            <w:tcBorders>
              <w:top w:val="nil"/>
              <w:left w:val="nil"/>
              <w:bottom w:val="nil"/>
              <w:right w:val="nil"/>
            </w:tcBorders>
            <w:shd w:val="clear" w:color="auto" w:fill="auto"/>
            <w:noWrap/>
            <w:vAlign w:val="bottom"/>
            <w:hideMark/>
          </w:tcPr>
          <w:p w14:paraId="585566D5" w14:textId="77777777" w:rsidR="009E50B5" w:rsidRDefault="009E50B5">
            <w:pPr>
              <w:jc w:val="right"/>
              <w:rPr>
                <w:rFonts w:ascii="Cambria" w:hAnsi="Cambria" w:cs="Arial"/>
                <w:color w:val="000000"/>
                <w:sz w:val="18"/>
                <w:szCs w:val="18"/>
              </w:rPr>
            </w:pPr>
            <w:r>
              <w:rPr>
                <w:rFonts w:ascii="Cambria" w:hAnsi="Cambria"/>
                <w:color w:val="000000"/>
                <w:sz w:val="18"/>
              </w:rPr>
              <w:t>127 251</w:t>
            </w:r>
          </w:p>
        </w:tc>
      </w:tr>
      <w:tr w:rsidR="009E50B5" w14:paraId="4041DDC0" w14:textId="77777777" w:rsidTr="0061181E">
        <w:trPr>
          <w:trHeight w:val="240"/>
        </w:trPr>
        <w:tc>
          <w:tcPr>
            <w:tcW w:w="3544" w:type="dxa"/>
            <w:tcBorders>
              <w:top w:val="nil"/>
              <w:left w:val="nil"/>
              <w:bottom w:val="nil"/>
              <w:right w:val="nil"/>
            </w:tcBorders>
            <w:shd w:val="clear" w:color="auto" w:fill="auto"/>
            <w:noWrap/>
            <w:vAlign w:val="bottom"/>
            <w:hideMark/>
          </w:tcPr>
          <w:p w14:paraId="2025C633" w14:textId="77777777" w:rsidR="009E50B5" w:rsidRDefault="009E50B5">
            <w:pPr>
              <w:rPr>
                <w:rFonts w:ascii="Cambria" w:hAnsi="Cambria" w:cs="Arial"/>
                <w:color w:val="000000"/>
                <w:sz w:val="18"/>
                <w:szCs w:val="18"/>
              </w:rPr>
            </w:pPr>
            <w:r>
              <w:rPr>
                <w:rFonts w:ascii="Cambria" w:hAnsi="Cambria"/>
                <w:color w:val="000000"/>
                <w:sz w:val="18"/>
              </w:rPr>
              <w:t xml:space="preserve">Prêt de la </w:t>
            </w:r>
            <w:proofErr w:type="spellStart"/>
            <w:r>
              <w:rPr>
                <w:rFonts w:ascii="Cambria" w:hAnsi="Cambria"/>
                <w:color w:val="000000"/>
                <w:sz w:val="18"/>
              </w:rPr>
              <w:t>Sanpaolo</w:t>
            </w:r>
            <w:proofErr w:type="spellEnd"/>
            <w:r>
              <w:rPr>
                <w:rFonts w:ascii="Cambria" w:hAnsi="Cambria"/>
                <w:color w:val="000000"/>
                <w:sz w:val="18"/>
              </w:rPr>
              <w:t xml:space="preserve"> 2 </w:t>
            </w:r>
          </w:p>
        </w:tc>
        <w:tc>
          <w:tcPr>
            <w:tcW w:w="2126" w:type="dxa"/>
            <w:tcBorders>
              <w:top w:val="nil"/>
              <w:left w:val="nil"/>
              <w:bottom w:val="nil"/>
              <w:right w:val="nil"/>
            </w:tcBorders>
            <w:shd w:val="clear" w:color="auto" w:fill="auto"/>
            <w:noWrap/>
            <w:vAlign w:val="bottom"/>
            <w:hideMark/>
          </w:tcPr>
          <w:p w14:paraId="64315D9B" w14:textId="77777777" w:rsidR="009E50B5" w:rsidRDefault="009E50B5">
            <w:pPr>
              <w:jc w:val="center"/>
              <w:rPr>
                <w:rFonts w:ascii="Cambria" w:hAnsi="Cambria" w:cs="Arial"/>
                <w:color w:val="000000"/>
                <w:sz w:val="18"/>
                <w:szCs w:val="18"/>
              </w:rPr>
            </w:pPr>
            <w:proofErr w:type="gramStart"/>
            <w:r>
              <w:rPr>
                <w:rFonts w:ascii="Cambria" w:hAnsi="Cambria"/>
                <w:color w:val="000000"/>
                <w:sz w:val="18"/>
              </w:rPr>
              <w:t>fixe</w:t>
            </w:r>
            <w:proofErr w:type="gramEnd"/>
          </w:p>
        </w:tc>
        <w:tc>
          <w:tcPr>
            <w:tcW w:w="993" w:type="dxa"/>
            <w:tcBorders>
              <w:top w:val="nil"/>
              <w:left w:val="nil"/>
              <w:bottom w:val="nil"/>
              <w:right w:val="nil"/>
            </w:tcBorders>
            <w:shd w:val="clear" w:color="auto" w:fill="auto"/>
            <w:noWrap/>
            <w:vAlign w:val="bottom"/>
            <w:hideMark/>
          </w:tcPr>
          <w:p w14:paraId="54E0DD4C" w14:textId="77777777" w:rsidR="009E50B5" w:rsidRDefault="009E50B5">
            <w:pPr>
              <w:jc w:val="center"/>
              <w:rPr>
                <w:rFonts w:ascii="Cambria" w:hAnsi="Cambria" w:cs="Arial"/>
                <w:color w:val="000000"/>
                <w:sz w:val="18"/>
                <w:szCs w:val="18"/>
              </w:rPr>
            </w:pPr>
            <w:r>
              <w:rPr>
                <w:rFonts w:ascii="Cambria" w:hAnsi="Cambria"/>
                <w:color w:val="000000"/>
                <w:sz w:val="18"/>
              </w:rPr>
              <w:t>2021</w:t>
            </w:r>
          </w:p>
        </w:tc>
        <w:tc>
          <w:tcPr>
            <w:tcW w:w="1660" w:type="dxa"/>
            <w:tcBorders>
              <w:top w:val="nil"/>
              <w:left w:val="nil"/>
              <w:bottom w:val="nil"/>
              <w:right w:val="nil"/>
            </w:tcBorders>
            <w:shd w:val="clear" w:color="auto" w:fill="auto"/>
            <w:noWrap/>
            <w:vAlign w:val="bottom"/>
            <w:hideMark/>
          </w:tcPr>
          <w:p w14:paraId="51968C38" w14:textId="77777777" w:rsidR="009E50B5" w:rsidRDefault="009E50B5">
            <w:pPr>
              <w:jc w:val="right"/>
              <w:rPr>
                <w:rFonts w:ascii="Cambria" w:hAnsi="Cambria" w:cs="Arial"/>
                <w:color w:val="000000"/>
                <w:sz w:val="18"/>
                <w:szCs w:val="18"/>
              </w:rPr>
            </w:pPr>
            <w:r>
              <w:rPr>
                <w:rFonts w:ascii="Cambria" w:hAnsi="Cambria"/>
                <w:color w:val="000000"/>
                <w:sz w:val="18"/>
              </w:rPr>
              <w:t>456 579</w:t>
            </w:r>
          </w:p>
        </w:tc>
        <w:tc>
          <w:tcPr>
            <w:tcW w:w="1660" w:type="dxa"/>
            <w:tcBorders>
              <w:top w:val="nil"/>
              <w:left w:val="nil"/>
              <w:bottom w:val="nil"/>
              <w:right w:val="nil"/>
            </w:tcBorders>
            <w:shd w:val="clear" w:color="auto" w:fill="auto"/>
            <w:noWrap/>
            <w:vAlign w:val="bottom"/>
            <w:hideMark/>
          </w:tcPr>
          <w:p w14:paraId="178E117E" w14:textId="77777777" w:rsidR="009E50B5" w:rsidRDefault="009E50B5">
            <w:pPr>
              <w:jc w:val="right"/>
              <w:rPr>
                <w:rFonts w:ascii="Cambria" w:hAnsi="Cambria" w:cs="Arial"/>
                <w:color w:val="000000"/>
                <w:sz w:val="18"/>
                <w:szCs w:val="18"/>
              </w:rPr>
            </w:pPr>
            <w:r>
              <w:rPr>
                <w:rFonts w:ascii="Cambria" w:hAnsi="Cambria"/>
                <w:color w:val="000000"/>
                <w:sz w:val="18"/>
              </w:rPr>
              <w:t>296 639</w:t>
            </w:r>
          </w:p>
        </w:tc>
      </w:tr>
      <w:tr w:rsidR="009E50B5" w14:paraId="3E127942" w14:textId="77777777" w:rsidTr="0061181E">
        <w:trPr>
          <w:trHeight w:val="240"/>
        </w:trPr>
        <w:tc>
          <w:tcPr>
            <w:tcW w:w="3544" w:type="dxa"/>
            <w:tcBorders>
              <w:top w:val="nil"/>
              <w:left w:val="nil"/>
              <w:bottom w:val="nil"/>
              <w:right w:val="nil"/>
            </w:tcBorders>
            <w:shd w:val="clear" w:color="auto" w:fill="auto"/>
            <w:noWrap/>
            <w:vAlign w:val="bottom"/>
            <w:hideMark/>
          </w:tcPr>
          <w:p w14:paraId="39E4D376" w14:textId="77777777" w:rsidR="009E50B5" w:rsidRDefault="009E50B5">
            <w:pPr>
              <w:rPr>
                <w:rFonts w:ascii="Cambria" w:hAnsi="Cambria" w:cs="Arial"/>
                <w:color w:val="000000"/>
                <w:sz w:val="18"/>
                <w:szCs w:val="18"/>
              </w:rPr>
            </w:pPr>
            <w:r>
              <w:rPr>
                <w:rFonts w:ascii="Cambria" w:hAnsi="Cambria"/>
                <w:color w:val="000000"/>
                <w:sz w:val="18"/>
              </w:rPr>
              <w:t>Prêt de la BPM</w:t>
            </w:r>
          </w:p>
        </w:tc>
        <w:tc>
          <w:tcPr>
            <w:tcW w:w="2126" w:type="dxa"/>
            <w:tcBorders>
              <w:top w:val="nil"/>
              <w:left w:val="nil"/>
              <w:bottom w:val="nil"/>
              <w:right w:val="nil"/>
            </w:tcBorders>
            <w:shd w:val="clear" w:color="auto" w:fill="auto"/>
            <w:noWrap/>
            <w:vAlign w:val="bottom"/>
            <w:hideMark/>
          </w:tcPr>
          <w:p w14:paraId="1A911F00" w14:textId="77777777" w:rsidR="009E50B5" w:rsidRDefault="009E50B5">
            <w:pPr>
              <w:jc w:val="center"/>
              <w:rPr>
                <w:rFonts w:ascii="Cambria" w:hAnsi="Cambria" w:cs="Arial"/>
                <w:color w:val="000000"/>
                <w:sz w:val="18"/>
                <w:szCs w:val="18"/>
              </w:rPr>
            </w:pPr>
            <w:proofErr w:type="gramStart"/>
            <w:r>
              <w:rPr>
                <w:rFonts w:ascii="Cambria" w:hAnsi="Cambria"/>
                <w:color w:val="000000"/>
                <w:sz w:val="18"/>
              </w:rPr>
              <w:t>fixe</w:t>
            </w:r>
            <w:proofErr w:type="gramEnd"/>
          </w:p>
        </w:tc>
        <w:tc>
          <w:tcPr>
            <w:tcW w:w="993" w:type="dxa"/>
            <w:tcBorders>
              <w:top w:val="nil"/>
              <w:left w:val="nil"/>
              <w:bottom w:val="nil"/>
              <w:right w:val="nil"/>
            </w:tcBorders>
            <w:shd w:val="clear" w:color="auto" w:fill="auto"/>
            <w:noWrap/>
            <w:vAlign w:val="bottom"/>
            <w:hideMark/>
          </w:tcPr>
          <w:p w14:paraId="4C5F0144" w14:textId="77777777" w:rsidR="009E50B5" w:rsidRDefault="009E50B5">
            <w:pPr>
              <w:jc w:val="center"/>
              <w:rPr>
                <w:rFonts w:ascii="Cambria" w:hAnsi="Cambria" w:cs="Arial"/>
                <w:color w:val="000000"/>
                <w:sz w:val="18"/>
                <w:szCs w:val="18"/>
              </w:rPr>
            </w:pPr>
            <w:r>
              <w:rPr>
                <w:rFonts w:ascii="Cambria" w:hAnsi="Cambria"/>
                <w:color w:val="000000"/>
                <w:sz w:val="18"/>
              </w:rPr>
              <w:t>2023</w:t>
            </w:r>
          </w:p>
        </w:tc>
        <w:tc>
          <w:tcPr>
            <w:tcW w:w="1660" w:type="dxa"/>
            <w:tcBorders>
              <w:top w:val="nil"/>
              <w:left w:val="nil"/>
              <w:bottom w:val="nil"/>
              <w:right w:val="nil"/>
            </w:tcBorders>
            <w:shd w:val="clear" w:color="auto" w:fill="auto"/>
            <w:noWrap/>
            <w:vAlign w:val="bottom"/>
            <w:hideMark/>
          </w:tcPr>
          <w:p w14:paraId="73C0655E" w14:textId="77777777" w:rsidR="009E50B5" w:rsidRDefault="009E50B5">
            <w:pPr>
              <w:jc w:val="right"/>
              <w:rPr>
                <w:rFonts w:ascii="Cambria" w:hAnsi="Cambria" w:cs="Arial"/>
                <w:color w:val="000000"/>
                <w:sz w:val="18"/>
                <w:szCs w:val="18"/>
              </w:rPr>
            </w:pPr>
            <w:r>
              <w:rPr>
                <w:rFonts w:ascii="Cambria" w:hAnsi="Cambria"/>
                <w:color w:val="000000"/>
                <w:sz w:val="18"/>
              </w:rPr>
              <w:t>123 479</w:t>
            </w:r>
          </w:p>
        </w:tc>
        <w:tc>
          <w:tcPr>
            <w:tcW w:w="1660" w:type="dxa"/>
            <w:tcBorders>
              <w:top w:val="nil"/>
              <w:left w:val="nil"/>
              <w:bottom w:val="nil"/>
              <w:right w:val="nil"/>
            </w:tcBorders>
            <w:shd w:val="clear" w:color="auto" w:fill="auto"/>
            <w:noWrap/>
            <w:vAlign w:val="bottom"/>
            <w:hideMark/>
          </w:tcPr>
          <w:p w14:paraId="36FDB4EB" w14:textId="77777777" w:rsidR="009E50B5" w:rsidRDefault="009E50B5">
            <w:pPr>
              <w:jc w:val="right"/>
              <w:rPr>
                <w:rFonts w:ascii="Cambria" w:hAnsi="Cambria" w:cs="Arial"/>
                <w:color w:val="000000"/>
                <w:sz w:val="18"/>
                <w:szCs w:val="18"/>
              </w:rPr>
            </w:pPr>
            <w:r>
              <w:rPr>
                <w:rFonts w:ascii="Cambria" w:hAnsi="Cambria"/>
                <w:color w:val="000000"/>
                <w:sz w:val="18"/>
              </w:rPr>
              <w:t>27 189</w:t>
            </w:r>
          </w:p>
        </w:tc>
      </w:tr>
      <w:tr w:rsidR="009E50B5" w14:paraId="7AD7B6CA" w14:textId="77777777" w:rsidTr="0061181E">
        <w:trPr>
          <w:trHeight w:val="240"/>
        </w:trPr>
        <w:tc>
          <w:tcPr>
            <w:tcW w:w="3544" w:type="dxa"/>
            <w:tcBorders>
              <w:top w:val="nil"/>
              <w:left w:val="nil"/>
              <w:bottom w:val="nil"/>
              <w:right w:val="nil"/>
            </w:tcBorders>
            <w:shd w:val="clear" w:color="auto" w:fill="auto"/>
            <w:noWrap/>
            <w:vAlign w:val="bottom"/>
            <w:hideMark/>
          </w:tcPr>
          <w:p w14:paraId="65C2A34E" w14:textId="77777777" w:rsidR="009E50B5" w:rsidRDefault="009E50B5">
            <w:pPr>
              <w:rPr>
                <w:rFonts w:ascii="Cambria" w:hAnsi="Cambria" w:cs="Arial"/>
                <w:color w:val="000000"/>
                <w:sz w:val="18"/>
                <w:szCs w:val="18"/>
              </w:rPr>
            </w:pPr>
            <w:r>
              <w:rPr>
                <w:rFonts w:ascii="Cambria" w:hAnsi="Cambria"/>
                <w:color w:val="000000"/>
                <w:sz w:val="18"/>
              </w:rPr>
              <w:t>Prêt de la BPB 2</w:t>
            </w:r>
          </w:p>
        </w:tc>
        <w:tc>
          <w:tcPr>
            <w:tcW w:w="2126" w:type="dxa"/>
            <w:tcBorders>
              <w:top w:val="nil"/>
              <w:left w:val="nil"/>
              <w:bottom w:val="nil"/>
              <w:right w:val="nil"/>
            </w:tcBorders>
            <w:shd w:val="clear" w:color="auto" w:fill="auto"/>
            <w:noWrap/>
            <w:vAlign w:val="bottom"/>
            <w:hideMark/>
          </w:tcPr>
          <w:p w14:paraId="76FFC85D" w14:textId="77777777" w:rsidR="009E50B5" w:rsidRDefault="009E50B5">
            <w:pPr>
              <w:jc w:val="center"/>
              <w:rPr>
                <w:rFonts w:ascii="Cambria" w:hAnsi="Cambria" w:cs="Arial"/>
                <w:color w:val="000000"/>
                <w:sz w:val="18"/>
                <w:szCs w:val="18"/>
              </w:rPr>
            </w:pPr>
            <w:proofErr w:type="gramStart"/>
            <w:r>
              <w:rPr>
                <w:rFonts w:ascii="Cambria" w:hAnsi="Cambria"/>
                <w:color w:val="000000"/>
                <w:sz w:val="18"/>
              </w:rPr>
              <w:t>fixe</w:t>
            </w:r>
            <w:proofErr w:type="gramEnd"/>
          </w:p>
        </w:tc>
        <w:tc>
          <w:tcPr>
            <w:tcW w:w="993" w:type="dxa"/>
            <w:tcBorders>
              <w:top w:val="nil"/>
              <w:left w:val="nil"/>
              <w:bottom w:val="nil"/>
              <w:right w:val="nil"/>
            </w:tcBorders>
            <w:shd w:val="clear" w:color="auto" w:fill="auto"/>
            <w:noWrap/>
            <w:vAlign w:val="bottom"/>
            <w:hideMark/>
          </w:tcPr>
          <w:p w14:paraId="4DB6A09B" w14:textId="77777777" w:rsidR="009E50B5" w:rsidRDefault="009E50B5">
            <w:pPr>
              <w:jc w:val="center"/>
              <w:rPr>
                <w:rFonts w:ascii="Cambria" w:hAnsi="Cambria" w:cs="Arial"/>
                <w:color w:val="000000"/>
                <w:sz w:val="18"/>
                <w:szCs w:val="18"/>
              </w:rPr>
            </w:pPr>
            <w:r>
              <w:rPr>
                <w:rFonts w:ascii="Cambria" w:hAnsi="Cambria"/>
                <w:color w:val="000000"/>
                <w:sz w:val="18"/>
              </w:rPr>
              <w:t>2026</w:t>
            </w:r>
          </w:p>
        </w:tc>
        <w:tc>
          <w:tcPr>
            <w:tcW w:w="1660" w:type="dxa"/>
            <w:tcBorders>
              <w:top w:val="nil"/>
              <w:left w:val="nil"/>
              <w:bottom w:val="nil"/>
              <w:right w:val="nil"/>
            </w:tcBorders>
            <w:shd w:val="clear" w:color="auto" w:fill="auto"/>
            <w:noWrap/>
            <w:vAlign w:val="bottom"/>
            <w:hideMark/>
          </w:tcPr>
          <w:p w14:paraId="723C27DB" w14:textId="77777777" w:rsidR="009E50B5" w:rsidRDefault="009E50B5">
            <w:pPr>
              <w:jc w:val="right"/>
              <w:rPr>
                <w:rFonts w:ascii="Cambria" w:hAnsi="Cambria" w:cs="Arial"/>
                <w:color w:val="000000"/>
                <w:sz w:val="18"/>
                <w:szCs w:val="18"/>
              </w:rPr>
            </w:pPr>
            <w:r>
              <w:rPr>
                <w:rFonts w:ascii="Cambria" w:hAnsi="Cambria"/>
                <w:color w:val="000000"/>
                <w:sz w:val="18"/>
              </w:rPr>
              <w:t>89 770</w:t>
            </w:r>
          </w:p>
        </w:tc>
        <w:tc>
          <w:tcPr>
            <w:tcW w:w="1660" w:type="dxa"/>
            <w:tcBorders>
              <w:top w:val="nil"/>
              <w:left w:val="nil"/>
              <w:bottom w:val="nil"/>
              <w:right w:val="nil"/>
            </w:tcBorders>
            <w:shd w:val="clear" w:color="auto" w:fill="auto"/>
            <w:noWrap/>
            <w:vAlign w:val="bottom"/>
            <w:hideMark/>
          </w:tcPr>
          <w:p w14:paraId="08D1FCB1" w14:textId="77777777" w:rsidR="009E50B5" w:rsidRDefault="009E50B5">
            <w:pPr>
              <w:jc w:val="right"/>
              <w:rPr>
                <w:rFonts w:ascii="Cambria" w:hAnsi="Cambria" w:cs="Arial"/>
                <w:color w:val="000000"/>
                <w:sz w:val="18"/>
                <w:szCs w:val="18"/>
              </w:rPr>
            </w:pPr>
            <w:r>
              <w:rPr>
                <w:rFonts w:ascii="Cambria" w:hAnsi="Cambria"/>
                <w:color w:val="000000"/>
                <w:sz w:val="18"/>
              </w:rPr>
              <w:t>25 555</w:t>
            </w:r>
          </w:p>
        </w:tc>
      </w:tr>
      <w:tr w:rsidR="009E50B5" w14:paraId="35059887" w14:textId="77777777" w:rsidTr="0061181E">
        <w:trPr>
          <w:trHeight w:val="240"/>
        </w:trPr>
        <w:tc>
          <w:tcPr>
            <w:tcW w:w="3544" w:type="dxa"/>
            <w:tcBorders>
              <w:top w:val="nil"/>
              <w:left w:val="nil"/>
              <w:bottom w:val="nil"/>
              <w:right w:val="nil"/>
            </w:tcBorders>
            <w:shd w:val="clear" w:color="auto" w:fill="auto"/>
            <w:noWrap/>
            <w:vAlign w:val="bottom"/>
            <w:hideMark/>
          </w:tcPr>
          <w:p w14:paraId="408C4ED5" w14:textId="77777777" w:rsidR="009E50B5" w:rsidRDefault="009E50B5">
            <w:pPr>
              <w:rPr>
                <w:rFonts w:ascii="Cambria" w:hAnsi="Cambria" w:cs="Arial"/>
                <w:color w:val="000000"/>
                <w:sz w:val="18"/>
                <w:szCs w:val="18"/>
              </w:rPr>
            </w:pPr>
            <w:r>
              <w:rPr>
                <w:rFonts w:ascii="Cambria" w:hAnsi="Cambria"/>
                <w:color w:val="000000"/>
                <w:sz w:val="18"/>
              </w:rPr>
              <w:t>Prêt de la BDF</w:t>
            </w:r>
          </w:p>
        </w:tc>
        <w:tc>
          <w:tcPr>
            <w:tcW w:w="2126" w:type="dxa"/>
            <w:tcBorders>
              <w:top w:val="nil"/>
              <w:left w:val="nil"/>
              <w:bottom w:val="nil"/>
              <w:right w:val="nil"/>
            </w:tcBorders>
            <w:shd w:val="clear" w:color="auto" w:fill="auto"/>
            <w:noWrap/>
            <w:vAlign w:val="bottom"/>
            <w:hideMark/>
          </w:tcPr>
          <w:p w14:paraId="61B90723" w14:textId="77777777" w:rsidR="009E50B5" w:rsidRDefault="009E50B5">
            <w:pPr>
              <w:jc w:val="center"/>
              <w:rPr>
                <w:rFonts w:ascii="Cambria" w:hAnsi="Cambria" w:cs="Arial"/>
                <w:color w:val="000000"/>
                <w:sz w:val="18"/>
                <w:szCs w:val="18"/>
              </w:rPr>
            </w:pPr>
            <w:proofErr w:type="gramStart"/>
            <w:r>
              <w:rPr>
                <w:rFonts w:ascii="Cambria" w:hAnsi="Cambria"/>
                <w:color w:val="000000"/>
                <w:sz w:val="18"/>
              </w:rPr>
              <w:t>fixe</w:t>
            </w:r>
            <w:proofErr w:type="gramEnd"/>
          </w:p>
        </w:tc>
        <w:tc>
          <w:tcPr>
            <w:tcW w:w="993" w:type="dxa"/>
            <w:tcBorders>
              <w:top w:val="nil"/>
              <w:left w:val="nil"/>
              <w:bottom w:val="nil"/>
              <w:right w:val="nil"/>
            </w:tcBorders>
            <w:shd w:val="clear" w:color="auto" w:fill="auto"/>
            <w:noWrap/>
            <w:vAlign w:val="bottom"/>
            <w:hideMark/>
          </w:tcPr>
          <w:p w14:paraId="1253A7AE" w14:textId="77777777" w:rsidR="009E50B5" w:rsidRDefault="009E50B5">
            <w:pPr>
              <w:jc w:val="center"/>
              <w:rPr>
                <w:rFonts w:ascii="Cambria" w:hAnsi="Cambria" w:cs="Arial"/>
                <w:color w:val="000000"/>
                <w:sz w:val="18"/>
                <w:szCs w:val="18"/>
              </w:rPr>
            </w:pPr>
            <w:r>
              <w:rPr>
                <w:rFonts w:ascii="Cambria" w:hAnsi="Cambria"/>
                <w:color w:val="000000"/>
                <w:sz w:val="18"/>
              </w:rPr>
              <w:t>2026</w:t>
            </w:r>
          </w:p>
        </w:tc>
        <w:tc>
          <w:tcPr>
            <w:tcW w:w="1660" w:type="dxa"/>
            <w:tcBorders>
              <w:top w:val="nil"/>
              <w:left w:val="nil"/>
              <w:bottom w:val="nil"/>
              <w:right w:val="nil"/>
            </w:tcBorders>
            <w:shd w:val="clear" w:color="auto" w:fill="auto"/>
            <w:noWrap/>
            <w:vAlign w:val="bottom"/>
            <w:hideMark/>
          </w:tcPr>
          <w:p w14:paraId="2E546925" w14:textId="77777777" w:rsidR="009E50B5" w:rsidRDefault="009E50B5">
            <w:pPr>
              <w:jc w:val="right"/>
              <w:rPr>
                <w:rFonts w:ascii="Cambria" w:hAnsi="Cambria" w:cs="Arial"/>
                <w:color w:val="000000"/>
                <w:sz w:val="18"/>
                <w:szCs w:val="18"/>
              </w:rPr>
            </w:pPr>
            <w:r>
              <w:rPr>
                <w:rFonts w:ascii="Cambria" w:hAnsi="Cambria"/>
                <w:color w:val="000000"/>
                <w:sz w:val="18"/>
              </w:rPr>
              <w:t>144 524</w:t>
            </w:r>
          </w:p>
        </w:tc>
        <w:tc>
          <w:tcPr>
            <w:tcW w:w="1660" w:type="dxa"/>
            <w:tcBorders>
              <w:top w:val="nil"/>
              <w:left w:val="nil"/>
              <w:bottom w:val="nil"/>
              <w:right w:val="nil"/>
            </w:tcBorders>
            <w:shd w:val="clear" w:color="auto" w:fill="auto"/>
            <w:noWrap/>
            <w:vAlign w:val="bottom"/>
            <w:hideMark/>
          </w:tcPr>
          <w:p w14:paraId="77528D59" w14:textId="77777777" w:rsidR="009E50B5" w:rsidRDefault="009E50B5">
            <w:pPr>
              <w:jc w:val="right"/>
              <w:rPr>
                <w:rFonts w:ascii="Cambria" w:hAnsi="Cambria" w:cs="Arial"/>
                <w:color w:val="000000"/>
                <w:sz w:val="18"/>
                <w:szCs w:val="18"/>
              </w:rPr>
            </w:pPr>
            <w:r>
              <w:rPr>
                <w:rFonts w:ascii="Cambria" w:hAnsi="Cambria"/>
                <w:color w:val="000000"/>
                <w:sz w:val="18"/>
              </w:rPr>
              <w:t>156 408</w:t>
            </w:r>
          </w:p>
        </w:tc>
      </w:tr>
      <w:tr w:rsidR="009E50B5" w14:paraId="164AB212" w14:textId="77777777" w:rsidTr="0061181E">
        <w:trPr>
          <w:trHeight w:val="240"/>
        </w:trPr>
        <w:tc>
          <w:tcPr>
            <w:tcW w:w="3544" w:type="dxa"/>
            <w:tcBorders>
              <w:top w:val="nil"/>
              <w:left w:val="nil"/>
              <w:bottom w:val="nil"/>
              <w:right w:val="nil"/>
            </w:tcBorders>
            <w:shd w:val="clear" w:color="auto" w:fill="auto"/>
            <w:noWrap/>
            <w:vAlign w:val="bottom"/>
            <w:hideMark/>
          </w:tcPr>
          <w:p w14:paraId="32B93D00" w14:textId="77777777" w:rsidR="009E50B5" w:rsidRDefault="009E50B5">
            <w:pPr>
              <w:outlineLvl w:val="0"/>
              <w:rPr>
                <w:rFonts w:ascii="Cambria" w:hAnsi="Cambria" w:cs="Arial"/>
                <w:color w:val="000000"/>
                <w:sz w:val="18"/>
                <w:szCs w:val="18"/>
              </w:rPr>
            </w:pPr>
            <w:bookmarkStart w:id="208" w:name="_Toc101455591"/>
            <w:bookmarkStart w:id="209" w:name="_Toc112768719"/>
            <w:r>
              <w:rPr>
                <w:rFonts w:ascii="Cambria" w:hAnsi="Cambria"/>
                <w:color w:val="000000"/>
                <w:sz w:val="18"/>
              </w:rPr>
              <w:t xml:space="preserve">Prêt de la </w:t>
            </w:r>
            <w:proofErr w:type="spellStart"/>
            <w:r>
              <w:rPr>
                <w:rFonts w:ascii="Cambria" w:hAnsi="Cambria"/>
                <w:color w:val="000000"/>
                <w:sz w:val="18"/>
              </w:rPr>
              <w:t>Sanpaolo</w:t>
            </w:r>
            <w:proofErr w:type="spellEnd"/>
            <w:r>
              <w:rPr>
                <w:rFonts w:ascii="Cambria" w:hAnsi="Cambria"/>
                <w:color w:val="000000"/>
                <w:sz w:val="18"/>
              </w:rPr>
              <w:t xml:space="preserve"> 3</w:t>
            </w:r>
            <w:bookmarkEnd w:id="208"/>
            <w:bookmarkEnd w:id="209"/>
          </w:p>
        </w:tc>
        <w:tc>
          <w:tcPr>
            <w:tcW w:w="2126" w:type="dxa"/>
            <w:tcBorders>
              <w:top w:val="nil"/>
              <w:left w:val="nil"/>
              <w:bottom w:val="nil"/>
              <w:right w:val="nil"/>
            </w:tcBorders>
            <w:shd w:val="clear" w:color="auto" w:fill="auto"/>
            <w:noWrap/>
            <w:vAlign w:val="bottom"/>
            <w:hideMark/>
          </w:tcPr>
          <w:p w14:paraId="0765E732" w14:textId="77777777" w:rsidR="009E50B5" w:rsidRDefault="009E50B5">
            <w:pPr>
              <w:outlineLvl w:val="0"/>
              <w:rPr>
                <w:rFonts w:ascii="Cambria" w:hAnsi="Cambria" w:cs="Arial"/>
                <w:color w:val="000000"/>
                <w:sz w:val="18"/>
                <w:szCs w:val="18"/>
              </w:rPr>
            </w:pPr>
          </w:p>
        </w:tc>
        <w:tc>
          <w:tcPr>
            <w:tcW w:w="993" w:type="dxa"/>
            <w:tcBorders>
              <w:top w:val="nil"/>
              <w:left w:val="nil"/>
              <w:bottom w:val="nil"/>
              <w:right w:val="nil"/>
            </w:tcBorders>
            <w:shd w:val="clear" w:color="auto" w:fill="auto"/>
            <w:noWrap/>
            <w:vAlign w:val="bottom"/>
            <w:hideMark/>
          </w:tcPr>
          <w:p w14:paraId="6B63137F" w14:textId="77777777" w:rsidR="009E50B5" w:rsidRDefault="009E50B5">
            <w:pPr>
              <w:jc w:val="center"/>
              <w:outlineLvl w:val="0"/>
              <w:rPr>
                <w:sz w:val="20"/>
                <w:szCs w:val="20"/>
              </w:rPr>
            </w:pPr>
          </w:p>
        </w:tc>
        <w:tc>
          <w:tcPr>
            <w:tcW w:w="1660" w:type="dxa"/>
            <w:tcBorders>
              <w:top w:val="nil"/>
              <w:left w:val="nil"/>
              <w:bottom w:val="nil"/>
              <w:right w:val="nil"/>
            </w:tcBorders>
            <w:shd w:val="clear" w:color="auto" w:fill="auto"/>
            <w:noWrap/>
            <w:vAlign w:val="bottom"/>
            <w:hideMark/>
          </w:tcPr>
          <w:p w14:paraId="52EFE107" w14:textId="77777777" w:rsidR="009E50B5" w:rsidRDefault="009E50B5">
            <w:pPr>
              <w:jc w:val="right"/>
              <w:outlineLvl w:val="0"/>
              <w:rPr>
                <w:rFonts w:ascii="Cambria" w:hAnsi="Cambria" w:cs="Arial"/>
                <w:color w:val="000000"/>
                <w:sz w:val="18"/>
                <w:szCs w:val="18"/>
              </w:rPr>
            </w:pPr>
            <w:bookmarkStart w:id="210" w:name="_Toc101455592"/>
            <w:bookmarkStart w:id="211" w:name="_Toc112768720"/>
            <w:r>
              <w:rPr>
                <w:rFonts w:ascii="Cambria" w:hAnsi="Cambria"/>
                <w:color w:val="000000"/>
                <w:sz w:val="18"/>
              </w:rPr>
              <w:t>30 963</w:t>
            </w:r>
            <w:bookmarkEnd w:id="210"/>
            <w:bookmarkEnd w:id="211"/>
          </w:p>
        </w:tc>
        <w:tc>
          <w:tcPr>
            <w:tcW w:w="1660" w:type="dxa"/>
            <w:tcBorders>
              <w:top w:val="nil"/>
              <w:left w:val="nil"/>
              <w:bottom w:val="nil"/>
              <w:right w:val="nil"/>
            </w:tcBorders>
            <w:shd w:val="clear" w:color="auto" w:fill="auto"/>
            <w:noWrap/>
            <w:vAlign w:val="bottom"/>
            <w:hideMark/>
          </w:tcPr>
          <w:p w14:paraId="5798A6FA" w14:textId="77777777" w:rsidR="009E50B5" w:rsidRDefault="009E50B5">
            <w:pPr>
              <w:jc w:val="right"/>
              <w:outlineLvl w:val="0"/>
              <w:rPr>
                <w:rFonts w:ascii="Cambria" w:hAnsi="Cambria" w:cs="Arial"/>
                <w:color w:val="000000"/>
                <w:sz w:val="18"/>
                <w:szCs w:val="18"/>
              </w:rPr>
            </w:pPr>
            <w:bookmarkStart w:id="212" w:name="_Toc101455593"/>
            <w:bookmarkStart w:id="213" w:name="_Toc112768721"/>
            <w:r>
              <w:rPr>
                <w:rFonts w:ascii="Cambria" w:hAnsi="Cambria"/>
                <w:color w:val="000000"/>
                <w:sz w:val="18"/>
              </w:rPr>
              <w:t>0</w:t>
            </w:r>
            <w:bookmarkEnd w:id="212"/>
            <w:bookmarkEnd w:id="213"/>
          </w:p>
        </w:tc>
      </w:tr>
      <w:tr w:rsidR="009E50B5" w14:paraId="19D13EC2" w14:textId="77777777" w:rsidTr="0061181E">
        <w:trPr>
          <w:trHeight w:val="240"/>
        </w:trPr>
        <w:tc>
          <w:tcPr>
            <w:tcW w:w="3544" w:type="dxa"/>
            <w:tcBorders>
              <w:top w:val="nil"/>
              <w:left w:val="nil"/>
              <w:bottom w:val="nil"/>
              <w:right w:val="nil"/>
            </w:tcBorders>
            <w:shd w:val="clear" w:color="auto" w:fill="auto"/>
            <w:noWrap/>
            <w:vAlign w:val="bottom"/>
            <w:hideMark/>
          </w:tcPr>
          <w:p w14:paraId="4A9E0992" w14:textId="77777777" w:rsidR="009E50B5" w:rsidRPr="00DC792B" w:rsidRDefault="009E50B5">
            <w:pPr>
              <w:rPr>
                <w:rFonts w:ascii="Cambria" w:hAnsi="Cambria" w:cs="Arial"/>
                <w:color w:val="000000"/>
                <w:sz w:val="18"/>
                <w:szCs w:val="18"/>
                <w:lang w:val="it-IT"/>
              </w:rPr>
            </w:pPr>
            <w:r w:rsidRPr="00DC792B">
              <w:rPr>
                <w:rFonts w:ascii="Cambria" w:hAnsi="Cambria"/>
                <w:color w:val="000000"/>
                <w:sz w:val="18"/>
                <w:lang w:val="it-IT"/>
              </w:rPr>
              <w:t xml:space="preserve">Intesa Sanpaolo Spa import </w:t>
            </w:r>
            <w:proofErr w:type="spellStart"/>
            <w:r w:rsidRPr="00DC792B">
              <w:rPr>
                <w:rFonts w:ascii="Cambria" w:hAnsi="Cambria"/>
                <w:color w:val="000000"/>
                <w:sz w:val="18"/>
                <w:lang w:val="it-IT"/>
              </w:rPr>
              <w:t>finan</w:t>
            </w:r>
            <w:proofErr w:type="spellEnd"/>
            <w:r w:rsidRPr="00DC792B">
              <w:rPr>
                <w:rFonts w:ascii="Cambria" w:hAnsi="Cambria"/>
                <w:color w:val="000000"/>
                <w:sz w:val="18"/>
                <w:lang w:val="it-IT"/>
              </w:rPr>
              <w:t>.</w:t>
            </w:r>
          </w:p>
        </w:tc>
        <w:tc>
          <w:tcPr>
            <w:tcW w:w="2126" w:type="dxa"/>
            <w:tcBorders>
              <w:top w:val="nil"/>
              <w:left w:val="nil"/>
              <w:bottom w:val="nil"/>
              <w:right w:val="nil"/>
            </w:tcBorders>
            <w:shd w:val="clear" w:color="auto" w:fill="auto"/>
            <w:noWrap/>
            <w:vAlign w:val="bottom"/>
            <w:hideMark/>
          </w:tcPr>
          <w:p w14:paraId="2BE20640" w14:textId="77777777" w:rsidR="009E50B5" w:rsidRPr="00577DD1" w:rsidRDefault="009E50B5">
            <w:pPr>
              <w:rPr>
                <w:rFonts w:ascii="Cambria" w:hAnsi="Cambria" w:cs="Arial"/>
                <w:color w:val="000000"/>
                <w:sz w:val="18"/>
                <w:szCs w:val="18"/>
                <w:lang w:val="it-IT"/>
              </w:rPr>
            </w:pPr>
          </w:p>
        </w:tc>
        <w:tc>
          <w:tcPr>
            <w:tcW w:w="993" w:type="dxa"/>
            <w:tcBorders>
              <w:top w:val="nil"/>
              <w:left w:val="nil"/>
              <w:bottom w:val="nil"/>
              <w:right w:val="nil"/>
            </w:tcBorders>
            <w:shd w:val="clear" w:color="auto" w:fill="auto"/>
            <w:noWrap/>
            <w:vAlign w:val="bottom"/>
            <w:hideMark/>
          </w:tcPr>
          <w:p w14:paraId="1916816C" w14:textId="77777777" w:rsidR="009E50B5" w:rsidRDefault="009E50B5">
            <w:pPr>
              <w:jc w:val="center"/>
              <w:rPr>
                <w:rFonts w:ascii="Cambria" w:hAnsi="Cambria" w:cs="Arial"/>
                <w:color w:val="000000"/>
                <w:sz w:val="18"/>
                <w:szCs w:val="18"/>
              </w:rPr>
            </w:pPr>
            <w:r>
              <w:rPr>
                <w:rFonts w:ascii="Cambria" w:hAnsi="Cambria"/>
                <w:color w:val="000000"/>
                <w:sz w:val="18"/>
              </w:rPr>
              <w:t>2021</w:t>
            </w:r>
          </w:p>
        </w:tc>
        <w:tc>
          <w:tcPr>
            <w:tcW w:w="1660" w:type="dxa"/>
            <w:tcBorders>
              <w:top w:val="nil"/>
              <w:left w:val="nil"/>
              <w:bottom w:val="nil"/>
              <w:right w:val="nil"/>
            </w:tcBorders>
            <w:shd w:val="clear" w:color="auto" w:fill="auto"/>
            <w:noWrap/>
            <w:vAlign w:val="bottom"/>
            <w:hideMark/>
          </w:tcPr>
          <w:p w14:paraId="0F6FBA3E" w14:textId="77777777" w:rsidR="009E50B5" w:rsidRDefault="009E50B5">
            <w:pPr>
              <w:jc w:val="right"/>
              <w:rPr>
                <w:rFonts w:ascii="Cambria" w:hAnsi="Cambria" w:cs="Arial"/>
                <w:color w:val="000000"/>
                <w:sz w:val="18"/>
                <w:szCs w:val="18"/>
              </w:rPr>
            </w:pPr>
            <w:r>
              <w:rPr>
                <w:rFonts w:ascii="Cambria" w:hAnsi="Cambria"/>
                <w:color w:val="000000"/>
                <w:sz w:val="18"/>
              </w:rPr>
              <w:t>506 346</w:t>
            </w:r>
          </w:p>
        </w:tc>
        <w:tc>
          <w:tcPr>
            <w:tcW w:w="1660" w:type="dxa"/>
            <w:tcBorders>
              <w:top w:val="nil"/>
              <w:left w:val="nil"/>
              <w:bottom w:val="nil"/>
              <w:right w:val="nil"/>
            </w:tcBorders>
            <w:shd w:val="clear" w:color="auto" w:fill="auto"/>
            <w:noWrap/>
            <w:vAlign w:val="bottom"/>
            <w:hideMark/>
          </w:tcPr>
          <w:p w14:paraId="4C48A43B" w14:textId="77777777" w:rsidR="009E50B5" w:rsidRDefault="009E50B5">
            <w:pPr>
              <w:jc w:val="right"/>
              <w:rPr>
                <w:rFonts w:ascii="Cambria" w:hAnsi="Cambria" w:cs="Arial"/>
                <w:color w:val="000000"/>
                <w:sz w:val="18"/>
                <w:szCs w:val="18"/>
              </w:rPr>
            </w:pPr>
            <w:r>
              <w:rPr>
                <w:rFonts w:ascii="Cambria" w:hAnsi="Cambria"/>
                <w:color w:val="000000"/>
                <w:sz w:val="18"/>
              </w:rPr>
              <w:t>83 483</w:t>
            </w:r>
          </w:p>
        </w:tc>
      </w:tr>
      <w:tr w:rsidR="009E50B5" w14:paraId="2ADC5EA6" w14:textId="77777777" w:rsidTr="0061181E">
        <w:trPr>
          <w:trHeight w:val="240"/>
        </w:trPr>
        <w:tc>
          <w:tcPr>
            <w:tcW w:w="3544" w:type="dxa"/>
            <w:tcBorders>
              <w:top w:val="nil"/>
              <w:left w:val="nil"/>
              <w:bottom w:val="nil"/>
              <w:right w:val="nil"/>
            </w:tcBorders>
            <w:shd w:val="clear" w:color="auto" w:fill="auto"/>
            <w:noWrap/>
            <w:vAlign w:val="bottom"/>
            <w:hideMark/>
          </w:tcPr>
          <w:p w14:paraId="0B614B5B" w14:textId="77777777" w:rsidR="009E50B5" w:rsidRDefault="009E50B5">
            <w:pPr>
              <w:rPr>
                <w:rFonts w:ascii="Cambria" w:hAnsi="Cambria" w:cs="Arial"/>
                <w:color w:val="000000"/>
                <w:sz w:val="18"/>
                <w:szCs w:val="18"/>
              </w:rPr>
            </w:pPr>
            <w:proofErr w:type="spellStart"/>
            <w:r>
              <w:rPr>
                <w:rFonts w:ascii="Cambria" w:hAnsi="Cambria"/>
                <w:color w:val="000000"/>
                <w:sz w:val="18"/>
              </w:rPr>
              <w:t>Intesa</w:t>
            </w:r>
            <w:proofErr w:type="spellEnd"/>
            <w:r>
              <w:rPr>
                <w:rFonts w:ascii="Cambria" w:hAnsi="Cambria"/>
                <w:color w:val="000000"/>
                <w:sz w:val="18"/>
              </w:rPr>
              <w:t xml:space="preserve"> </w:t>
            </w:r>
            <w:proofErr w:type="spellStart"/>
            <w:r>
              <w:rPr>
                <w:rFonts w:ascii="Cambria" w:hAnsi="Cambria"/>
                <w:color w:val="000000"/>
                <w:sz w:val="18"/>
              </w:rPr>
              <w:t>Sanpaolo</w:t>
            </w:r>
            <w:proofErr w:type="spellEnd"/>
            <w:r>
              <w:rPr>
                <w:rFonts w:ascii="Cambria" w:hAnsi="Cambria"/>
                <w:color w:val="000000"/>
                <w:sz w:val="18"/>
              </w:rPr>
              <w:t xml:space="preserve"> spa </w:t>
            </w:r>
            <w:proofErr w:type="spellStart"/>
            <w:r>
              <w:rPr>
                <w:rFonts w:ascii="Cambria" w:hAnsi="Cambria"/>
                <w:color w:val="000000"/>
                <w:sz w:val="18"/>
              </w:rPr>
              <w:t>confirming</w:t>
            </w:r>
            <w:proofErr w:type="spellEnd"/>
          </w:p>
        </w:tc>
        <w:tc>
          <w:tcPr>
            <w:tcW w:w="2126" w:type="dxa"/>
            <w:tcBorders>
              <w:top w:val="nil"/>
              <w:left w:val="nil"/>
              <w:bottom w:val="nil"/>
              <w:right w:val="nil"/>
            </w:tcBorders>
            <w:shd w:val="clear" w:color="auto" w:fill="auto"/>
            <w:noWrap/>
            <w:vAlign w:val="bottom"/>
            <w:hideMark/>
          </w:tcPr>
          <w:p w14:paraId="2E94A259" w14:textId="77777777" w:rsidR="009E50B5" w:rsidRDefault="009E50B5">
            <w:pPr>
              <w:rPr>
                <w:rFonts w:ascii="Cambria" w:hAnsi="Cambria" w:cs="Arial"/>
                <w:color w:val="000000"/>
                <w:sz w:val="18"/>
                <w:szCs w:val="18"/>
              </w:rPr>
            </w:pPr>
          </w:p>
        </w:tc>
        <w:tc>
          <w:tcPr>
            <w:tcW w:w="993" w:type="dxa"/>
            <w:tcBorders>
              <w:top w:val="nil"/>
              <w:left w:val="nil"/>
              <w:bottom w:val="nil"/>
              <w:right w:val="nil"/>
            </w:tcBorders>
            <w:shd w:val="clear" w:color="auto" w:fill="auto"/>
            <w:noWrap/>
            <w:vAlign w:val="bottom"/>
            <w:hideMark/>
          </w:tcPr>
          <w:p w14:paraId="17250454" w14:textId="77777777" w:rsidR="009E50B5" w:rsidRDefault="009E50B5">
            <w:pPr>
              <w:jc w:val="center"/>
              <w:rPr>
                <w:rFonts w:ascii="Cambria" w:hAnsi="Cambria" w:cs="Arial"/>
                <w:color w:val="000000"/>
                <w:sz w:val="18"/>
                <w:szCs w:val="18"/>
              </w:rPr>
            </w:pPr>
            <w:r>
              <w:rPr>
                <w:rFonts w:ascii="Cambria" w:hAnsi="Cambria"/>
                <w:color w:val="000000"/>
                <w:sz w:val="18"/>
              </w:rPr>
              <w:t>2021</w:t>
            </w:r>
          </w:p>
        </w:tc>
        <w:tc>
          <w:tcPr>
            <w:tcW w:w="1660" w:type="dxa"/>
            <w:tcBorders>
              <w:top w:val="nil"/>
              <w:left w:val="nil"/>
              <w:bottom w:val="nil"/>
              <w:right w:val="nil"/>
            </w:tcBorders>
            <w:shd w:val="clear" w:color="auto" w:fill="auto"/>
            <w:noWrap/>
            <w:vAlign w:val="bottom"/>
            <w:hideMark/>
          </w:tcPr>
          <w:p w14:paraId="0223D5BF" w14:textId="77777777" w:rsidR="009E50B5" w:rsidRDefault="009E50B5">
            <w:pPr>
              <w:jc w:val="right"/>
              <w:rPr>
                <w:rFonts w:ascii="Cambria" w:hAnsi="Cambria" w:cs="Arial"/>
                <w:color w:val="000000"/>
                <w:sz w:val="18"/>
                <w:szCs w:val="18"/>
              </w:rPr>
            </w:pPr>
            <w:r>
              <w:rPr>
                <w:rFonts w:ascii="Cambria" w:hAnsi="Cambria"/>
                <w:color w:val="000000"/>
                <w:sz w:val="18"/>
              </w:rPr>
              <w:t>651 470</w:t>
            </w:r>
          </w:p>
        </w:tc>
        <w:tc>
          <w:tcPr>
            <w:tcW w:w="1660" w:type="dxa"/>
            <w:tcBorders>
              <w:top w:val="nil"/>
              <w:left w:val="nil"/>
              <w:bottom w:val="nil"/>
              <w:right w:val="nil"/>
            </w:tcBorders>
            <w:shd w:val="clear" w:color="auto" w:fill="auto"/>
            <w:noWrap/>
            <w:vAlign w:val="bottom"/>
            <w:hideMark/>
          </w:tcPr>
          <w:p w14:paraId="33CBC1F3" w14:textId="77777777" w:rsidR="009E50B5" w:rsidRDefault="009E50B5">
            <w:pPr>
              <w:jc w:val="right"/>
              <w:rPr>
                <w:rFonts w:ascii="Cambria" w:hAnsi="Cambria" w:cs="Arial"/>
                <w:color w:val="000000"/>
                <w:sz w:val="18"/>
                <w:szCs w:val="18"/>
              </w:rPr>
            </w:pPr>
            <w:r>
              <w:rPr>
                <w:rFonts w:ascii="Cambria" w:hAnsi="Cambria"/>
                <w:color w:val="000000"/>
                <w:sz w:val="18"/>
              </w:rPr>
              <w:t>268 687</w:t>
            </w:r>
          </w:p>
        </w:tc>
      </w:tr>
      <w:tr w:rsidR="009E50B5" w14:paraId="3BCC5B5B" w14:textId="77777777" w:rsidTr="0061181E">
        <w:trPr>
          <w:trHeight w:val="240"/>
        </w:trPr>
        <w:tc>
          <w:tcPr>
            <w:tcW w:w="3544" w:type="dxa"/>
            <w:tcBorders>
              <w:top w:val="nil"/>
              <w:left w:val="nil"/>
              <w:bottom w:val="nil"/>
              <w:right w:val="nil"/>
            </w:tcBorders>
            <w:shd w:val="clear" w:color="auto" w:fill="auto"/>
            <w:noWrap/>
            <w:vAlign w:val="bottom"/>
            <w:hideMark/>
          </w:tcPr>
          <w:p w14:paraId="6327C8D7" w14:textId="77777777" w:rsidR="009E50B5" w:rsidRDefault="009E50B5">
            <w:pPr>
              <w:rPr>
                <w:rFonts w:ascii="Cambria" w:hAnsi="Cambria" w:cs="Arial"/>
                <w:color w:val="000000"/>
                <w:sz w:val="18"/>
                <w:szCs w:val="18"/>
              </w:rPr>
            </w:pPr>
            <w:r>
              <w:rPr>
                <w:rFonts w:ascii="Cambria" w:hAnsi="Cambria"/>
                <w:color w:val="000000"/>
                <w:sz w:val="18"/>
              </w:rPr>
              <w:t>Dettes pour contrats de location</w:t>
            </w:r>
          </w:p>
        </w:tc>
        <w:tc>
          <w:tcPr>
            <w:tcW w:w="2126" w:type="dxa"/>
            <w:tcBorders>
              <w:top w:val="nil"/>
              <w:left w:val="nil"/>
              <w:bottom w:val="nil"/>
              <w:right w:val="nil"/>
            </w:tcBorders>
            <w:shd w:val="clear" w:color="auto" w:fill="auto"/>
            <w:noWrap/>
            <w:vAlign w:val="bottom"/>
            <w:hideMark/>
          </w:tcPr>
          <w:p w14:paraId="0850C556" w14:textId="77777777" w:rsidR="009E50B5" w:rsidRDefault="009E50B5">
            <w:pPr>
              <w:jc w:val="center"/>
              <w:rPr>
                <w:rFonts w:ascii="Cambria" w:hAnsi="Cambria" w:cs="Arial"/>
                <w:color w:val="000000"/>
                <w:sz w:val="18"/>
                <w:szCs w:val="18"/>
              </w:rPr>
            </w:pPr>
            <w:r>
              <w:rPr>
                <w:rFonts w:ascii="Cambria" w:hAnsi="Cambria"/>
                <w:color w:val="000000"/>
                <w:sz w:val="18"/>
              </w:rPr>
              <w:t>2,5%</w:t>
            </w:r>
          </w:p>
        </w:tc>
        <w:tc>
          <w:tcPr>
            <w:tcW w:w="993" w:type="dxa"/>
            <w:tcBorders>
              <w:top w:val="nil"/>
              <w:left w:val="nil"/>
              <w:bottom w:val="nil"/>
              <w:right w:val="nil"/>
            </w:tcBorders>
            <w:shd w:val="clear" w:color="auto" w:fill="auto"/>
            <w:noWrap/>
            <w:vAlign w:val="bottom"/>
            <w:hideMark/>
          </w:tcPr>
          <w:p w14:paraId="1DAF36EE" w14:textId="77777777" w:rsidR="009E50B5" w:rsidRDefault="009E50B5">
            <w:pPr>
              <w:jc w:val="center"/>
              <w:rPr>
                <w:rFonts w:ascii="Cambria" w:hAnsi="Cambria" w:cs="Arial"/>
                <w:color w:val="000000"/>
                <w:sz w:val="18"/>
                <w:szCs w:val="18"/>
              </w:rPr>
            </w:pPr>
            <w:r>
              <w:rPr>
                <w:rFonts w:ascii="Cambria" w:hAnsi="Cambria"/>
                <w:color w:val="000000"/>
                <w:sz w:val="18"/>
              </w:rPr>
              <w:t>2022-2031</w:t>
            </w:r>
          </w:p>
        </w:tc>
        <w:tc>
          <w:tcPr>
            <w:tcW w:w="1660" w:type="dxa"/>
            <w:tcBorders>
              <w:top w:val="nil"/>
              <w:left w:val="nil"/>
              <w:bottom w:val="nil"/>
              <w:right w:val="nil"/>
            </w:tcBorders>
            <w:shd w:val="clear" w:color="auto" w:fill="auto"/>
            <w:noWrap/>
            <w:vAlign w:val="bottom"/>
            <w:hideMark/>
          </w:tcPr>
          <w:p w14:paraId="65DB1543" w14:textId="77777777" w:rsidR="009E50B5" w:rsidRDefault="009E50B5">
            <w:pPr>
              <w:jc w:val="right"/>
              <w:rPr>
                <w:rFonts w:ascii="Cambria" w:hAnsi="Cambria" w:cs="Arial"/>
                <w:color w:val="000000"/>
                <w:sz w:val="18"/>
                <w:szCs w:val="18"/>
              </w:rPr>
            </w:pPr>
            <w:r>
              <w:rPr>
                <w:rFonts w:ascii="Cambria" w:hAnsi="Cambria"/>
                <w:color w:val="000000"/>
                <w:sz w:val="18"/>
              </w:rPr>
              <w:t>2 857 966</w:t>
            </w:r>
          </w:p>
        </w:tc>
        <w:tc>
          <w:tcPr>
            <w:tcW w:w="1660" w:type="dxa"/>
            <w:tcBorders>
              <w:top w:val="nil"/>
              <w:left w:val="nil"/>
              <w:bottom w:val="nil"/>
              <w:right w:val="nil"/>
            </w:tcBorders>
            <w:shd w:val="clear" w:color="auto" w:fill="auto"/>
            <w:noWrap/>
            <w:vAlign w:val="bottom"/>
            <w:hideMark/>
          </w:tcPr>
          <w:p w14:paraId="20CB8C26" w14:textId="77777777" w:rsidR="009E50B5" w:rsidRDefault="009E50B5">
            <w:pPr>
              <w:jc w:val="right"/>
              <w:rPr>
                <w:rFonts w:ascii="Cambria" w:hAnsi="Cambria" w:cs="Arial"/>
                <w:color w:val="000000"/>
                <w:sz w:val="18"/>
                <w:szCs w:val="18"/>
              </w:rPr>
            </w:pPr>
            <w:r>
              <w:rPr>
                <w:rFonts w:ascii="Cambria" w:hAnsi="Cambria"/>
                <w:color w:val="000000"/>
                <w:sz w:val="18"/>
              </w:rPr>
              <w:t>1 483 823</w:t>
            </w:r>
          </w:p>
        </w:tc>
      </w:tr>
      <w:tr w:rsidR="009E50B5" w14:paraId="126D1E08" w14:textId="77777777" w:rsidTr="0061181E">
        <w:trPr>
          <w:trHeight w:val="255"/>
        </w:trPr>
        <w:tc>
          <w:tcPr>
            <w:tcW w:w="3544" w:type="dxa"/>
            <w:tcBorders>
              <w:top w:val="nil"/>
              <w:left w:val="nil"/>
              <w:bottom w:val="nil"/>
              <w:right w:val="nil"/>
            </w:tcBorders>
            <w:shd w:val="clear" w:color="auto" w:fill="auto"/>
            <w:noWrap/>
            <w:vAlign w:val="bottom"/>
            <w:hideMark/>
          </w:tcPr>
          <w:p w14:paraId="29D98BD3" w14:textId="77777777" w:rsidR="009E50B5" w:rsidRDefault="009E50B5">
            <w:pPr>
              <w:rPr>
                <w:rFonts w:ascii="Cambria" w:hAnsi="Cambria" w:cs="Arial"/>
                <w:b/>
                <w:bCs/>
                <w:color w:val="000000"/>
                <w:sz w:val="18"/>
                <w:szCs w:val="18"/>
              </w:rPr>
            </w:pPr>
            <w:r>
              <w:rPr>
                <w:rFonts w:ascii="Cambria" w:hAnsi="Cambria"/>
                <w:b/>
                <w:color w:val="000000"/>
                <w:sz w:val="18"/>
              </w:rPr>
              <w:t>Total Passifs financiers à court terme</w:t>
            </w:r>
          </w:p>
        </w:tc>
        <w:tc>
          <w:tcPr>
            <w:tcW w:w="2126" w:type="dxa"/>
            <w:tcBorders>
              <w:top w:val="nil"/>
              <w:left w:val="nil"/>
              <w:bottom w:val="nil"/>
              <w:right w:val="nil"/>
            </w:tcBorders>
            <w:shd w:val="clear" w:color="auto" w:fill="auto"/>
            <w:noWrap/>
            <w:vAlign w:val="bottom"/>
            <w:hideMark/>
          </w:tcPr>
          <w:p w14:paraId="19D5E85C" w14:textId="77777777" w:rsidR="009E50B5" w:rsidRDefault="009E50B5">
            <w:pPr>
              <w:rPr>
                <w:rFonts w:ascii="Cambria" w:hAnsi="Cambria" w:cs="Arial"/>
                <w:b/>
                <w:bCs/>
                <w:color w:val="000000"/>
                <w:sz w:val="18"/>
                <w:szCs w:val="18"/>
              </w:rPr>
            </w:pPr>
          </w:p>
        </w:tc>
        <w:tc>
          <w:tcPr>
            <w:tcW w:w="993" w:type="dxa"/>
            <w:tcBorders>
              <w:top w:val="nil"/>
              <w:left w:val="nil"/>
              <w:bottom w:val="nil"/>
              <w:right w:val="nil"/>
            </w:tcBorders>
            <w:shd w:val="clear" w:color="auto" w:fill="auto"/>
            <w:noWrap/>
            <w:vAlign w:val="bottom"/>
            <w:hideMark/>
          </w:tcPr>
          <w:p w14:paraId="3E3FC892" w14:textId="77777777" w:rsidR="009E50B5" w:rsidRDefault="009E50B5">
            <w:pPr>
              <w:jc w:val="center"/>
              <w:rPr>
                <w:sz w:val="20"/>
                <w:szCs w:val="20"/>
              </w:rPr>
            </w:pPr>
          </w:p>
        </w:tc>
        <w:tc>
          <w:tcPr>
            <w:tcW w:w="1660" w:type="dxa"/>
            <w:tcBorders>
              <w:top w:val="single" w:sz="4" w:space="0" w:color="auto"/>
              <w:left w:val="nil"/>
              <w:bottom w:val="single" w:sz="8" w:space="0" w:color="auto"/>
              <w:right w:val="nil"/>
            </w:tcBorders>
            <w:shd w:val="clear" w:color="auto" w:fill="auto"/>
            <w:noWrap/>
            <w:vAlign w:val="bottom"/>
            <w:hideMark/>
          </w:tcPr>
          <w:p w14:paraId="2FFE56E4" w14:textId="77777777" w:rsidR="009E50B5" w:rsidRDefault="009E50B5">
            <w:pPr>
              <w:jc w:val="right"/>
              <w:rPr>
                <w:rFonts w:ascii="Cambria" w:hAnsi="Cambria" w:cs="Arial"/>
                <w:b/>
                <w:bCs/>
                <w:color w:val="000000"/>
                <w:sz w:val="18"/>
                <w:szCs w:val="18"/>
              </w:rPr>
            </w:pPr>
            <w:r>
              <w:rPr>
                <w:rFonts w:ascii="Cambria" w:hAnsi="Cambria"/>
                <w:b/>
                <w:color w:val="000000"/>
                <w:sz w:val="18"/>
              </w:rPr>
              <w:t>5 318 996</w:t>
            </w:r>
          </w:p>
        </w:tc>
        <w:tc>
          <w:tcPr>
            <w:tcW w:w="1660" w:type="dxa"/>
            <w:tcBorders>
              <w:top w:val="single" w:sz="4" w:space="0" w:color="auto"/>
              <w:left w:val="nil"/>
              <w:bottom w:val="single" w:sz="8" w:space="0" w:color="auto"/>
              <w:right w:val="nil"/>
            </w:tcBorders>
            <w:shd w:val="clear" w:color="auto" w:fill="auto"/>
            <w:noWrap/>
            <w:vAlign w:val="bottom"/>
            <w:hideMark/>
          </w:tcPr>
          <w:p w14:paraId="4B58381A" w14:textId="77777777" w:rsidR="009E50B5" w:rsidRDefault="009E50B5">
            <w:pPr>
              <w:jc w:val="right"/>
              <w:rPr>
                <w:rFonts w:ascii="Cambria" w:hAnsi="Cambria" w:cs="Arial"/>
                <w:b/>
                <w:bCs/>
                <w:color w:val="000000"/>
                <w:sz w:val="18"/>
                <w:szCs w:val="18"/>
              </w:rPr>
            </w:pPr>
            <w:r>
              <w:rPr>
                <w:rFonts w:ascii="Cambria" w:hAnsi="Cambria"/>
                <w:b/>
                <w:color w:val="000000"/>
                <w:sz w:val="18"/>
              </w:rPr>
              <w:t>2 960 885</w:t>
            </w:r>
          </w:p>
        </w:tc>
      </w:tr>
    </w:tbl>
    <w:p w14:paraId="67C3F988" w14:textId="51CD0100" w:rsidR="003B1F12" w:rsidRDefault="003B1F12" w:rsidP="00E16D12">
      <w:pPr>
        <w:spacing w:after="200" w:line="276" w:lineRule="auto"/>
        <w:jc w:val="both"/>
        <w:rPr>
          <w:rFonts w:ascii="Cambria" w:hAnsi="Cambria"/>
          <w:sz w:val="22"/>
          <w:szCs w:val="22"/>
        </w:rPr>
      </w:pPr>
    </w:p>
    <w:p w14:paraId="091DF3A2" w14:textId="77777777" w:rsidR="00E16D12" w:rsidRPr="00C17031" w:rsidRDefault="00E16D12" w:rsidP="00E16D12">
      <w:pPr>
        <w:spacing w:after="200" w:line="276" w:lineRule="auto"/>
        <w:jc w:val="both"/>
        <w:rPr>
          <w:rFonts w:ascii="Cambria" w:hAnsi="Cambria"/>
          <w:b/>
          <w:sz w:val="22"/>
          <w:szCs w:val="22"/>
        </w:rPr>
      </w:pPr>
      <w:r>
        <w:rPr>
          <w:rFonts w:ascii="Cambria" w:hAnsi="Cambria"/>
          <w:b/>
          <w:sz w:val="22"/>
        </w:rPr>
        <w:t>Risque lié aux prix</w:t>
      </w:r>
    </w:p>
    <w:p w14:paraId="5D183ACF" w14:textId="5AFDA9BB" w:rsidR="00E16D12" w:rsidRPr="00C17031" w:rsidRDefault="00E16D12" w:rsidP="00E16D12">
      <w:pPr>
        <w:spacing w:after="200" w:line="276" w:lineRule="auto"/>
        <w:jc w:val="both"/>
        <w:rPr>
          <w:rFonts w:ascii="Cambria" w:hAnsi="Cambria"/>
          <w:sz w:val="22"/>
          <w:szCs w:val="22"/>
        </w:rPr>
      </w:pPr>
      <w:r>
        <w:rPr>
          <w:rFonts w:ascii="Cambria" w:hAnsi="Cambria"/>
          <w:sz w:val="22"/>
        </w:rPr>
        <w:t>Le principal risque de prix identifié provient de la fluctuation des prix des biens échangés. Afin de contrôler ce risque, le Groupe accorde une attention particulière aux politiques d'achat, à l'optimisation des coûts fixes et à l'efficacité de la structure organisationnelle.</w:t>
      </w:r>
    </w:p>
    <w:p w14:paraId="0594F071" w14:textId="77777777" w:rsidR="00E16D12" w:rsidRPr="00C17031" w:rsidRDefault="00E16D12" w:rsidP="00E16D12">
      <w:pPr>
        <w:spacing w:after="200" w:line="276" w:lineRule="auto"/>
        <w:jc w:val="both"/>
        <w:rPr>
          <w:rFonts w:ascii="Cambria" w:hAnsi="Cambria"/>
          <w:b/>
          <w:sz w:val="22"/>
          <w:szCs w:val="22"/>
        </w:rPr>
      </w:pPr>
      <w:r>
        <w:rPr>
          <w:rFonts w:ascii="Cambria" w:hAnsi="Cambria"/>
          <w:b/>
          <w:sz w:val="22"/>
        </w:rPr>
        <w:t>Risque de crédit</w:t>
      </w:r>
    </w:p>
    <w:p w14:paraId="3DD8DF57" w14:textId="3468C1E6" w:rsidR="00E16D12" w:rsidRPr="00C17031" w:rsidRDefault="00E16D12" w:rsidP="00D7539A">
      <w:pPr>
        <w:spacing w:after="200" w:line="276" w:lineRule="auto"/>
        <w:jc w:val="both"/>
        <w:rPr>
          <w:rFonts w:ascii="Cambria" w:hAnsi="Cambria"/>
          <w:sz w:val="22"/>
          <w:szCs w:val="22"/>
        </w:rPr>
      </w:pPr>
      <w:r>
        <w:rPr>
          <w:rFonts w:ascii="Cambria" w:hAnsi="Cambria"/>
          <w:sz w:val="22"/>
        </w:rPr>
        <w:t>La principale exposition du Groupe au risque de crédit provient des créances commerciales, dont la qualité et l'ancienneté sont constamment contrôlées par la structure administrative, afin d'assurer une intervention rapide et de réduire le risque de pertes. En ce qui concerne les prêts en retard, il n'y a pas de risques particuliers.</w:t>
      </w:r>
    </w:p>
    <w:p w14:paraId="43FCE09A" w14:textId="5789DB75" w:rsidR="00E16D12" w:rsidRPr="00C17031" w:rsidRDefault="00E16D12" w:rsidP="00E16D12">
      <w:pPr>
        <w:spacing w:after="200" w:line="276" w:lineRule="auto"/>
        <w:jc w:val="both"/>
        <w:rPr>
          <w:rFonts w:ascii="Cambria" w:hAnsi="Cambria"/>
          <w:sz w:val="22"/>
          <w:szCs w:val="22"/>
        </w:rPr>
      </w:pPr>
      <w:r>
        <w:rPr>
          <w:rFonts w:ascii="Cambria" w:hAnsi="Cambria"/>
          <w:sz w:val="22"/>
        </w:rPr>
        <w:lastRenderedPageBreak/>
        <w:t xml:space="preserve">Les actifs financiers du Groupe, qui comprennent la trésorerie et les équivalents de trésorerie et les autres actifs financiers, présentent un risque maximal égal à la valeur comptable de ces actifs en cas d'insolvabilité de la contrepartie, actuellement évaluée à distance. </w:t>
      </w:r>
    </w:p>
    <w:p w14:paraId="57413F2C" w14:textId="77777777" w:rsidR="00E16D12" w:rsidRPr="00C17031" w:rsidRDefault="00E16D12" w:rsidP="00E16D12">
      <w:pPr>
        <w:spacing w:after="200" w:line="276" w:lineRule="auto"/>
        <w:jc w:val="both"/>
        <w:rPr>
          <w:rFonts w:ascii="Cambria" w:hAnsi="Cambria"/>
          <w:b/>
          <w:sz w:val="22"/>
          <w:szCs w:val="22"/>
        </w:rPr>
      </w:pPr>
      <w:r>
        <w:rPr>
          <w:rFonts w:ascii="Cambria" w:hAnsi="Cambria"/>
          <w:b/>
          <w:sz w:val="22"/>
        </w:rPr>
        <w:t>Risque de liquidités</w:t>
      </w:r>
    </w:p>
    <w:p w14:paraId="7D2162E8" w14:textId="46EDD477" w:rsidR="00E16D12" w:rsidRPr="00C17031" w:rsidRDefault="00F0209F" w:rsidP="00E16D12">
      <w:pPr>
        <w:spacing w:after="200" w:line="276" w:lineRule="auto"/>
        <w:jc w:val="both"/>
        <w:rPr>
          <w:rFonts w:ascii="Cambria" w:hAnsi="Cambria"/>
          <w:sz w:val="22"/>
          <w:szCs w:val="22"/>
        </w:rPr>
      </w:pPr>
      <w:r>
        <w:rPr>
          <w:rFonts w:ascii="Cambria" w:hAnsi="Cambria"/>
          <w:sz w:val="22"/>
        </w:rPr>
        <w:t>Le Groupe gère le risque de liquidité par un contrôle strict des éléments composant le fonds de roulement d'exploitation et, en particulier, des créances commerciales et des dettes commerciales.</w:t>
      </w:r>
    </w:p>
    <w:p w14:paraId="04DC5C04" w14:textId="7E99A9C9" w:rsidR="00552D59" w:rsidRPr="00C17031" w:rsidRDefault="00F0209F" w:rsidP="00552D59">
      <w:pPr>
        <w:spacing w:after="200" w:line="276" w:lineRule="auto"/>
        <w:jc w:val="both"/>
        <w:rPr>
          <w:rFonts w:ascii="Cambria" w:hAnsi="Cambria"/>
          <w:sz w:val="22"/>
          <w:szCs w:val="22"/>
        </w:rPr>
      </w:pPr>
      <w:r>
        <w:rPr>
          <w:rFonts w:ascii="Cambria" w:hAnsi="Cambria"/>
          <w:sz w:val="22"/>
        </w:rPr>
        <w:t>Le Groupe s'engage à assurer une génération saine de liquidités et à les utiliser ensuite pour financer les sorties nécessaires aux paiements aux fournisseurs sans compromettre, par conséquent, l'équilibre à court terme de la trésorerie et en évitant les problèmes et les tensions critiques dans la liquidité courante, en utilisant, en plus et si nécessaire, des découverts bancaires et des prêts à court terme. Les prêts à moyen/long terme en place sont plutôt utilisés pour réaliser des investissements, consistant en l'expansion du réseau de distribution.</w:t>
      </w:r>
    </w:p>
    <w:p w14:paraId="14C2B124" w14:textId="7815AC71" w:rsidR="00701F63" w:rsidRDefault="00701F63" w:rsidP="00552D59">
      <w:pPr>
        <w:spacing w:after="200" w:line="276" w:lineRule="auto"/>
        <w:jc w:val="both"/>
        <w:rPr>
          <w:rFonts w:ascii="Cambria" w:hAnsi="Cambria"/>
          <w:sz w:val="22"/>
          <w:szCs w:val="22"/>
        </w:rPr>
      </w:pPr>
      <w:r>
        <w:rPr>
          <w:rFonts w:ascii="Cambria" w:hAnsi="Cambria"/>
          <w:sz w:val="22"/>
        </w:rPr>
        <w:t>Le tableau ci-dessous résume le profil d'échéance des passifs financiers du Groupe sur la base des paiements attendus relatifs au principal.</w:t>
      </w:r>
    </w:p>
    <w:tbl>
      <w:tblPr>
        <w:tblW w:w="5000" w:type="pct"/>
        <w:tblCellMar>
          <w:left w:w="70" w:type="dxa"/>
          <w:right w:w="70" w:type="dxa"/>
        </w:tblCellMar>
        <w:tblLook w:val="04A0" w:firstRow="1" w:lastRow="0" w:firstColumn="1" w:lastColumn="0" w:noHBand="0" w:noVBand="1"/>
      </w:tblPr>
      <w:tblGrid>
        <w:gridCol w:w="2926"/>
        <w:gridCol w:w="1015"/>
        <w:gridCol w:w="926"/>
        <w:gridCol w:w="926"/>
        <w:gridCol w:w="926"/>
        <w:gridCol w:w="936"/>
        <w:gridCol w:w="936"/>
        <w:gridCol w:w="1047"/>
      </w:tblGrid>
      <w:tr w:rsidR="009E50B5" w:rsidRPr="00B362E9" w14:paraId="12106395" w14:textId="77777777" w:rsidTr="00F26E30">
        <w:trPr>
          <w:trHeight w:val="495"/>
        </w:trPr>
        <w:tc>
          <w:tcPr>
            <w:tcW w:w="1313" w:type="pct"/>
            <w:tcBorders>
              <w:top w:val="single" w:sz="4" w:space="0" w:color="0070C0"/>
              <w:left w:val="nil"/>
              <w:bottom w:val="single" w:sz="8" w:space="0" w:color="0070C0"/>
              <w:right w:val="nil"/>
            </w:tcBorders>
            <w:shd w:val="clear" w:color="auto" w:fill="auto"/>
            <w:noWrap/>
            <w:vAlign w:val="bottom"/>
            <w:hideMark/>
          </w:tcPr>
          <w:p w14:paraId="289328D4" w14:textId="77777777" w:rsidR="009E50B5" w:rsidRPr="00B362E9" w:rsidRDefault="009E50B5">
            <w:pPr>
              <w:rPr>
                <w:rFonts w:ascii="Cambria" w:hAnsi="Cambria" w:cs="Arial"/>
                <w:color w:val="000000"/>
                <w:sz w:val="16"/>
                <w:szCs w:val="16"/>
              </w:rPr>
            </w:pPr>
            <w:r>
              <w:rPr>
                <w:rFonts w:ascii="Cambria" w:hAnsi="Cambria"/>
                <w:color w:val="000000"/>
                <w:sz w:val="16"/>
              </w:rPr>
              <w:t>(</w:t>
            </w:r>
            <w:proofErr w:type="gramStart"/>
            <w:r>
              <w:rPr>
                <w:rFonts w:ascii="Cambria" w:hAnsi="Cambria"/>
                <w:color w:val="000000"/>
                <w:sz w:val="16"/>
              </w:rPr>
              <w:t>en</w:t>
            </w:r>
            <w:proofErr w:type="gramEnd"/>
            <w:r>
              <w:rPr>
                <w:rFonts w:ascii="Cambria" w:hAnsi="Cambria"/>
                <w:color w:val="000000"/>
                <w:sz w:val="16"/>
              </w:rPr>
              <w:t xml:space="preserve"> euros)</w:t>
            </w:r>
          </w:p>
        </w:tc>
        <w:tc>
          <w:tcPr>
            <w:tcW w:w="558" w:type="pct"/>
            <w:tcBorders>
              <w:top w:val="single" w:sz="4" w:space="0" w:color="0070C0"/>
              <w:left w:val="nil"/>
              <w:bottom w:val="single" w:sz="8" w:space="0" w:color="0070C0"/>
              <w:right w:val="nil"/>
            </w:tcBorders>
            <w:shd w:val="clear" w:color="auto" w:fill="auto"/>
            <w:vAlign w:val="bottom"/>
            <w:hideMark/>
          </w:tcPr>
          <w:p w14:paraId="30920FA1" w14:textId="77777777" w:rsidR="009E50B5" w:rsidRPr="00B362E9" w:rsidRDefault="009E50B5">
            <w:pPr>
              <w:jc w:val="center"/>
              <w:rPr>
                <w:rFonts w:ascii="Cambria" w:hAnsi="Cambria" w:cs="Arial"/>
                <w:b/>
                <w:bCs/>
                <w:color w:val="000000"/>
                <w:sz w:val="16"/>
                <w:szCs w:val="16"/>
              </w:rPr>
            </w:pPr>
            <w:r>
              <w:rPr>
                <w:rFonts w:ascii="Cambria" w:hAnsi="Cambria"/>
                <w:b/>
                <w:color w:val="000000"/>
                <w:sz w:val="16"/>
              </w:rPr>
              <w:t>&lt;1 an</w:t>
            </w:r>
          </w:p>
        </w:tc>
        <w:tc>
          <w:tcPr>
            <w:tcW w:w="509" w:type="pct"/>
            <w:tcBorders>
              <w:top w:val="single" w:sz="4" w:space="0" w:color="0070C0"/>
              <w:left w:val="nil"/>
              <w:bottom w:val="single" w:sz="8" w:space="0" w:color="0070C0"/>
              <w:right w:val="nil"/>
            </w:tcBorders>
            <w:shd w:val="clear" w:color="auto" w:fill="auto"/>
            <w:vAlign w:val="bottom"/>
            <w:hideMark/>
          </w:tcPr>
          <w:p w14:paraId="6E6E5952" w14:textId="77777777" w:rsidR="009E50B5" w:rsidRPr="00B362E9" w:rsidRDefault="009E50B5">
            <w:pPr>
              <w:jc w:val="center"/>
              <w:rPr>
                <w:rFonts w:ascii="Cambria" w:hAnsi="Cambria" w:cs="Arial"/>
                <w:b/>
                <w:bCs/>
                <w:color w:val="000000"/>
                <w:sz w:val="16"/>
                <w:szCs w:val="16"/>
              </w:rPr>
            </w:pPr>
            <w:r>
              <w:rPr>
                <w:rFonts w:ascii="Cambria" w:hAnsi="Cambria"/>
                <w:b/>
                <w:color w:val="000000"/>
                <w:sz w:val="16"/>
              </w:rPr>
              <w:t>1-2 ans</w:t>
            </w:r>
          </w:p>
        </w:tc>
        <w:tc>
          <w:tcPr>
            <w:tcW w:w="509" w:type="pct"/>
            <w:tcBorders>
              <w:top w:val="single" w:sz="4" w:space="0" w:color="0070C0"/>
              <w:left w:val="nil"/>
              <w:bottom w:val="single" w:sz="8" w:space="0" w:color="0070C0"/>
              <w:right w:val="nil"/>
            </w:tcBorders>
            <w:shd w:val="clear" w:color="auto" w:fill="auto"/>
            <w:vAlign w:val="bottom"/>
            <w:hideMark/>
          </w:tcPr>
          <w:p w14:paraId="1A6583B8" w14:textId="77777777" w:rsidR="009E50B5" w:rsidRPr="00B362E9" w:rsidRDefault="009E50B5">
            <w:pPr>
              <w:jc w:val="center"/>
              <w:rPr>
                <w:rFonts w:ascii="Cambria" w:hAnsi="Cambria" w:cs="Arial"/>
                <w:b/>
                <w:bCs/>
                <w:color w:val="000000"/>
                <w:sz w:val="16"/>
                <w:szCs w:val="16"/>
              </w:rPr>
            </w:pPr>
            <w:r>
              <w:rPr>
                <w:rFonts w:ascii="Cambria" w:hAnsi="Cambria"/>
                <w:b/>
                <w:color w:val="000000"/>
                <w:sz w:val="16"/>
              </w:rPr>
              <w:t>2-3 ans</w:t>
            </w:r>
          </w:p>
        </w:tc>
        <w:tc>
          <w:tcPr>
            <w:tcW w:w="509" w:type="pct"/>
            <w:tcBorders>
              <w:top w:val="single" w:sz="4" w:space="0" w:color="0070C0"/>
              <w:left w:val="nil"/>
              <w:bottom w:val="single" w:sz="8" w:space="0" w:color="0070C0"/>
              <w:right w:val="nil"/>
            </w:tcBorders>
            <w:shd w:val="clear" w:color="auto" w:fill="auto"/>
            <w:vAlign w:val="bottom"/>
            <w:hideMark/>
          </w:tcPr>
          <w:p w14:paraId="437AF718" w14:textId="77777777" w:rsidR="009E50B5" w:rsidRPr="00B362E9" w:rsidRDefault="009E50B5">
            <w:pPr>
              <w:jc w:val="center"/>
              <w:rPr>
                <w:rFonts w:ascii="Cambria" w:hAnsi="Cambria" w:cs="Arial"/>
                <w:b/>
                <w:bCs/>
                <w:color w:val="000000"/>
                <w:sz w:val="16"/>
                <w:szCs w:val="16"/>
              </w:rPr>
            </w:pPr>
            <w:r>
              <w:rPr>
                <w:rFonts w:ascii="Cambria" w:hAnsi="Cambria"/>
                <w:b/>
                <w:color w:val="000000"/>
                <w:sz w:val="16"/>
              </w:rPr>
              <w:t>3-4 ans</w:t>
            </w:r>
          </w:p>
        </w:tc>
        <w:tc>
          <w:tcPr>
            <w:tcW w:w="514" w:type="pct"/>
            <w:tcBorders>
              <w:top w:val="single" w:sz="4" w:space="0" w:color="0070C0"/>
              <w:left w:val="nil"/>
              <w:bottom w:val="single" w:sz="8" w:space="0" w:color="0070C0"/>
              <w:right w:val="nil"/>
            </w:tcBorders>
            <w:shd w:val="clear" w:color="auto" w:fill="auto"/>
            <w:vAlign w:val="bottom"/>
            <w:hideMark/>
          </w:tcPr>
          <w:p w14:paraId="5F6637F9" w14:textId="77777777" w:rsidR="009E50B5" w:rsidRPr="00B362E9" w:rsidRDefault="009E50B5">
            <w:pPr>
              <w:jc w:val="center"/>
              <w:rPr>
                <w:rFonts w:ascii="Cambria" w:hAnsi="Cambria" w:cs="Arial"/>
                <w:b/>
                <w:bCs/>
                <w:color w:val="000000"/>
                <w:sz w:val="16"/>
                <w:szCs w:val="16"/>
              </w:rPr>
            </w:pPr>
            <w:r>
              <w:rPr>
                <w:rFonts w:ascii="Cambria" w:hAnsi="Cambria"/>
                <w:b/>
                <w:color w:val="000000"/>
                <w:sz w:val="16"/>
              </w:rPr>
              <w:t>4-5 ans</w:t>
            </w:r>
          </w:p>
        </w:tc>
        <w:tc>
          <w:tcPr>
            <w:tcW w:w="514" w:type="pct"/>
            <w:tcBorders>
              <w:top w:val="single" w:sz="4" w:space="0" w:color="0070C0"/>
              <w:left w:val="nil"/>
              <w:bottom w:val="single" w:sz="8" w:space="0" w:color="0070C0"/>
              <w:right w:val="nil"/>
            </w:tcBorders>
            <w:shd w:val="clear" w:color="auto" w:fill="auto"/>
            <w:vAlign w:val="bottom"/>
            <w:hideMark/>
          </w:tcPr>
          <w:p w14:paraId="6F7E26A4" w14:textId="77777777" w:rsidR="009E50B5" w:rsidRPr="00B362E9" w:rsidRDefault="009E50B5">
            <w:pPr>
              <w:jc w:val="center"/>
              <w:rPr>
                <w:rFonts w:ascii="Cambria" w:hAnsi="Cambria" w:cs="Arial"/>
                <w:b/>
                <w:bCs/>
                <w:color w:val="000000"/>
                <w:sz w:val="16"/>
                <w:szCs w:val="16"/>
              </w:rPr>
            </w:pPr>
            <w:r>
              <w:rPr>
                <w:rFonts w:ascii="Cambria" w:hAnsi="Cambria"/>
                <w:b/>
                <w:color w:val="000000"/>
                <w:sz w:val="16"/>
              </w:rPr>
              <w:t>&gt;5 ans</w:t>
            </w:r>
          </w:p>
        </w:tc>
        <w:tc>
          <w:tcPr>
            <w:tcW w:w="576" w:type="pct"/>
            <w:tcBorders>
              <w:top w:val="single" w:sz="4" w:space="0" w:color="0070C0"/>
              <w:left w:val="nil"/>
              <w:bottom w:val="single" w:sz="8" w:space="0" w:color="0070C0"/>
              <w:right w:val="nil"/>
            </w:tcBorders>
            <w:shd w:val="clear" w:color="auto" w:fill="auto"/>
            <w:vAlign w:val="bottom"/>
            <w:hideMark/>
          </w:tcPr>
          <w:p w14:paraId="559D63F4" w14:textId="77777777" w:rsidR="009E50B5" w:rsidRPr="00B362E9" w:rsidRDefault="009E50B5">
            <w:pPr>
              <w:jc w:val="center"/>
              <w:rPr>
                <w:rFonts w:ascii="Cambria" w:hAnsi="Cambria" w:cs="Arial"/>
                <w:b/>
                <w:bCs/>
                <w:color w:val="000000"/>
                <w:sz w:val="16"/>
                <w:szCs w:val="16"/>
              </w:rPr>
            </w:pPr>
            <w:r>
              <w:rPr>
                <w:rFonts w:ascii="Cambria" w:hAnsi="Cambria"/>
                <w:b/>
                <w:color w:val="000000"/>
                <w:sz w:val="16"/>
              </w:rPr>
              <w:t>Total</w:t>
            </w:r>
          </w:p>
        </w:tc>
      </w:tr>
      <w:tr w:rsidR="009E50B5" w:rsidRPr="00B362E9" w14:paraId="5C332A6A" w14:textId="77777777" w:rsidTr="00F26E30">
        <w:trPr>
          <w:trHeight w:val="285"/>
        </w:trPr>
        <w:tc>
          <w:tcPr>
            <w:tcW w:w="1313" w:type="pct"/>
            <w:tcBorders>
              <w:top w:val="nil"/>
              <w:left w:val="nil"/>
              <w:bottom w:val="nil"/>
              <w:right w:val="nil"/>
            </w:tcBorders>
            <w:shd w:val="clear" w:color="auto" w:fill="auto"/>
            <w:noWrap/>
            <w:vAlign w:val="bottom"/>
            <w:hideMark/>
          </w:tcPr>
          <w:p w14:paraId="19C8F9BD" w14:textId="77777777" w:rsidR="009E50B5" w:rsidRPr="00B362E9" w:rsidRDefault="009E50B5">
            <w:pPr>
              <w:jc w:val="center"/>
              <w:rPr>
                <w:rFonts w:ascii="Cambria" w:hAnsi="Cambria" w:cs="Arial"/>
                <w:b/>
                <w:bCs/>
                <w:color w:val="000000"/>
                <w:sz w:val="16"/>
                <w:szCs w:val="16"/>
              </w:rPr>
            </w:pPr>
          </w:p>
        </w:tc>
        <w:tc>
          <w:tcPr>
            <w:tcW w:w="558" w:type="pct"/>
            <w:tcBorders>
              <w:top w:val="nil"/>
              <w:left w:val="nil"/>
              <w:bottom w:val="nil"/>
              <w:right w:val="nil"/>
            </w:tcBorders>
            <w:shd w:val="clear" w:color="auto" w:fill="auto"/>
            <w:noWrap/>
            <w:vAlign w:val="bottom"/>
            <w:hideMark/>
          </w:tcPr>
          <w:p w14:paraId="4E217A63" w14:textId="77777777" w:rsidR="009E50B5" w:rsidRPr="00B362E9" w:rsidRDefault="009E50B5">
            <w:pPr>
              <w:rPr>
                <w:sz w:val="16"/>
                <w:szCs w:val="16"/>
              </w:rPr>
            </w:pPr>
          </w:p>
        </w:tc>
        <w:tc>
          <w:tcPr>
            <w:tcW w:w="509" w:type="pct"/>
            <w:tcBorders>
              <w:top w:val="nil"/>
              <w:left w:val="nil"/>
              <w:bottom w:val="nil"/>
              <w:right w:val="nil"/>
            </w:tcBorders>
            <w:shd w:val="clear" w:color="auto" w:fill="auto"/>
            <w:noWrap/>
            <w:vAlign w:val="bottom"/>
            <w:hideMark/>
          </w:tcPr>
          <w:p w14:paraId="756100AD" w14:textId="77777777" w:rsidR="009E50B5" w:rsidRPr="00B362E9" w:rsidRDefault="009E50B5">
            <w:pPr>
              <w:rPr>
                <w:sz w:val="16"/>
                <w:szCs w:val="16"/>
              </w:rPr>
            </w:pPr>
          </w:p>
        </w:tc>
        <w:tc>
          <w:tcPr>
            <w:tcW w:w="509" w:type="pct"/>
            <w:tcBorders>
              <w:top w:val="nil"/>
              <w:left w:val="nil"/>
              <w:bottom w:val="nil"/>
              <w:right w:val="nil"/>
            </w:tcBorders>
            <w:shd w:val="clear" w:color="auto" w:fill="auto"/>
            <w:noWrap/>
            <w:vAlign w:val="bottom"/>
            <w:hideMark/>
          </w:tcPr>
          <w:p w14:paraId="2563EF73" w14:textId="77777777" w:rsidR="009E50B5" w:rsidRPr="00B362E9" w:rsidRDefault="009E50B5">
            <w:pPr>
              <w:rPr>
                <w:sz w:val="16"/>
                <w:szCs w:val="16"/>
              </w:rPr>
            </w:pPr>
          </w:p>
        </w:tc>
        <w:tc>
          <w:tcPr>
            <w:tcW w:w="509" w:type="pct"/>
            <w:tcBorders>
              <w:top w:val="nil"/>
              <w:left w:val="nil"/>
              <w:bottom w:val="nil"/>
              <w:right w:val="nil"/>
            </w:tcBorders>
            <w:shd w:val="clear" w:color="auto" w:fill="auto"/>
            <w:noWrap/>
            <w:vAlign w:val="bottom"/>
            <w:hideMark/>
          </w:tcPr>
          <w:p w14:paraId="05E5D956" w14:textId="77777777" w:rsidR="009E50B5" w:rsidRPr="00B362E9" w:rsidRDefault="009E50B5">
            <w:pPr>
              <w:rPr>
                <w:sz w:val="16"/>
                <w:szCs w:val="16"/>
              </w:rPr>
            </w:pPr>
          </w:p>
        </w:tc>
        <w:tc>
          <w:tcPr>
            <w:tcW w:w="514" w:type="pct"/>
            <w:tcBorders>
              <w:top w:val="nil"/>
              <w:left w:val="nil"/>
              <w:bottom w:val="nil"/>
              <w:right w:val="nil"/>
            </w:tcBorders>
            <w:shd w:val="clear" w:color="auto" w:fill="auto"/>
            <w:noWrap/>
            <w:vAlign w:val="bottom"/>
            <w:hideMark/>
          </w:tcPr>
          <w:p w14:paraId="5DCF6174" w14:textId="77777777" w:rsidR="009E50B5" w:rsidRPr="00B362E9" w:rsidRDefault="009E50B5">
            <w:pPr>
              <w:rPr>
                <w:sz w:val="16"/>
                <w:szCs w:val="16"/>
              </w:rPr>
            </w:pPr>
          </w:p>
        </w:tc>
        <w:tc>
          <w:tcPr>
            <w:tcW w:w="514" w:type="pct"/>
            <w:tcBorders>
              <w:top w:val="nil"/>
              <w:left w:val="nil"/>
              <w:bottom w:val="nil"/>
              <w:right w:val="nil"/>
            </w:tcBorders>
            <w:shd w:val="clear" w:color="auto" w:fill="auto"/>
            <w:noWrap/>
            <w:vAlign w:val="bottom"/>
            <w:hideMark/>
          </w:tcPr>
          <w:p w14:paraId="77DA753B" w14:textId="77777777" w:rsidR="009E50B5" w:rsidRPr="00B362E9" w:rsidRDefault="009E50B5">
            <w:pPr>
              <w:rPr>
                <w:sz w:val="16"/>
                <w:szCs w:val="16"/>
              </w:rPr>
            </w:pPr>
          </w:p>
        </w:tc>
        <w:tc>
          <w:tcPr>
            <w:tcW w:w="576" w:type="pct"/>
            <w:tcBorders>
              <w:top w:val="nil"/>
              <w:left w:val="nil"/>
              <w:bottom w:val="nil"/>
              <w:right w:val="nil"/>
            </w:tcBorders>
            <w:shd w:val="clear" w:color="auto" w:fill="auto"/>
            <w:noWrap/>
            <w:vAlign w:val="bottom"/>
            <w:hideMark/>
          </w:tcPr>
          <w:p w14:paraId="12D04D53" w14:textId="77777777" w:rsidR="009E50B5" w:rsidRPr="00B362E9" w:rsidRDefault="009E50B5">
            <w:pPr>
              <w:rPr>
                <w:sz w:val="16"/>
                <w:szCs w:val="16"/>
              </w:rPr>
            </w:pPr>
          </w:p>
        </w:tc>
      </w:tr>
      <w:tr w:rsidR="009E50B5" w:rsidRPr="00B362E9" w14:paraId="5EB8DEC3" w14:textId="77777777" w:rsidTr="00F26E30">
        <w:trPr>
          <w:trHeight w:val="240"/>
        </w:trPr>
        <w:tc>
          <w:tcPr>
            <w:tcW w:w="1313" w:type="pct"/>
            <w:tcBorders>
              <w:top w:val="nil"/>
              <w:left w:val="nil"/>
              <w:bottom w:val="nil"/>
              <w:right w:val="nil"/>
            </w:tcBorders>
            <w:shd w:val="clear" w:color="auto" w:fill="auto"/>
            <w:noWrap/>
            <w:vAlign w:val="bottom"/>
            <w:hideMark/>
          </w:tcPr>
          <w:p w14:paraId="31EF065E" w14:textId="77777777" w:rsidR="009E50B5" w:rsidRPr="00B362E9" w:rsidRDefault="009E50B5">
            <w:pPr>
              <w:rPr>
                <w:rFonts w:ascii="Cambria" w:hAnsi="Cambria" w:cs="Arial"/>
                <w:b/>
                <w:bCs/>
                <w:color w:val="000000"/>
                <w:sz w:val="16"/>
                <w:szCs w:val="16"/>
              </w:rPr>
            </w:pPr>
            <w:r>
              <w:rPr>
                <w:rFonts w:ascii="Cambria" w:hAnsi="Cambria"/>
                <w:b/>
                <w:color w:val="000000"/>
                <w:sz w:val="16"/>
              </w:rPr>
              <w:t>Bilan au 30 juin 2021</w:t>
            </w:r>
          </w:p>
        </w:tc>
        <w:tc>
          <w:tcPr>
            <w:tcW w:w="558" w:type="pct"/>
            <w:tcBorders>
              <w:top w:val="nil"/>
              <w:left w:val="nil"/>
              <w:bottom w:val="nil"/>
              <w:right w:val="nil"/>
            </w:tcBorders>
            <w:shd w:val="clear" w:color="auto" w:fill="auto"/>
            <w:noWrap/>
            <w:vAlign w:val="bottom"/>
            <w:hideMark/>
          </w:tcPr>
          <w:p w14:paraId="39D4002B" w14:textId="77777777" w:rsidR="009E50B5" w:rsidRPr="00B362E9" w:rsidRDefault="009E50B5">
            <w:pPr>
              <w:rPr>
                <w:rFonts w:ascii="Cambria" w:hAnsi="Cambria" w:cs="Arial"/>
                <w:b/>
                <w:bCs/>
                <w:color w:val="000000"/>
                <w:sz w:val="16"/>
                <w:szCs w:val="16"/>
              </w:rPr>
            </w:pPr>
          </w:p>
        </w:tc>
        <w:tc>
          <w:tcPr>
            <w:tcW w:w="509" w:type="pct"/>
            <w:tcBorders>
              <w:top w:val="nil"/>
              <w:left w:val="nil"/>
              <w:bottom w:val="nil"/>
              <w:right w:val="nil"/>
            </w:tcBorders>
            <w:shd w:val="clear" w:color="auto" w:fill="auto"/>
            <w:noWrap/>
            <w:vAlign w:val="bottom"/>
            <w:hideMark/>
          </w:tcPr>
          <w:p w14:paraId="1517380E" w14:textId="77777777" w:rsidR="009E50B5" w:rsidRPr="00B362E9" w:rsidRDefault="009E50B5">
            <w:pPr>
              <w:rPr>
                <w:sz w:val="16"/>
                <w:szCs w:val="16"/>
              </w:rPr>
            </w:pPr>
          </w:p>
        </w:tc>
        <w:tc>
          <w:tcPr>
            <w:tcW w:w="509" w:type="pct"/>
            <w:tcBorders>
              <w:top w:val="nil"/>
              <w:left w:val="nil"/>
              <w:bottom w:val="nil"/>
              <w:right w:val="nil"/>
            </w:tcBorders>
            <w:shd w:val="clear" w:color="auto" w:fill="auto"/>
            <w:noWrap/>
            <w:vAlign w:val="bottom"/>
            <w:hideMark/>
          </w:tcPr>
          <w:p w14:paraId="36CE4109" w14:textId="77777777" w:rsidR="009E50B5" w:rsidRPr="00B362E9" w:rsidRDefault="009E50B5">
            <w:pPr>
              <w:rPr>
                <w:sz w:val="16"/>
                <w:szCs w:val="16"/>
              </w:rPr>
            </w:pPr>
          </w:p>
        </w:tc>
        <w:tc>
          <w:tcPr>
            <w:tcW w:w="509" w:type="pct"/>
            <w:tcBorders>
              <w:top w:val="nil"/>
              <w:left w:val="nil"/>
              <w:bottom w:val="nil"/>
              <w:right w:val="nil"/>
            </w:tcBorders>
            <w:shd w:val="clear" w:color="auto" w:fill="auto"/>
            <w:noWrap/>
            <w:vAlign w:val="bottom"/>
            <w:hideMark/>
          </w:tcPr>
          <w:p w14:paraId="21A1C8D8" w14:textId="77777777" w:rsidR="009E50B5" w:rsidRPr="00B362E9" w:rsidRDefault="009E50B5">
            <w:pPr>
              <w:rPr>
                <w:sz w:val="16"/>
                <w:szCs w:val="16"/>
              </w:rPr>
            </w:pPr>
          </w:p>
        </w:tc>
        <w:tc>
          <w:tcPr>
            <w:tcW w:w="514" w:type="pct"/>
            <w:tcBorders>
              <w:top w:val="nil"/>
              <w:left w:val="nil"/>
              <w:bottom w:val="nil"/>
              <w:right w:val="nil"/>
            </w:tcBorders>
            <w:shd w:val="clear" w:color="auto" w:fill="auto"/>
            <w:noWrap/>
            <w:vAlign w:val="bottom"/>
            <w:hideMark/>
          </w:tcPr>
          <w:p w14:paraId="56A2C063" w14:textId="77777777" w:rsidR="009E50B5" w:rsidRPr="00B362E9" w:rsidRDefault="009E50B5">
            <w:pPr>
              <w:rPr>
                <w:sz w:val="16"/>
                <w:szCs w:val="16"/>
              </w:rPr>
            </w:pPr>
          </w:p>
        </w:tc>
        <w:tc>
          <w:tcPr>
            <w:tcW w:w="514" w:type="pct"/>
            <w:tcBorders>
              <w:top w:val="nil"/>
              <w:left w:val="nil"/>
              <w:bottom w:val="nil"/>
              <w:right w:val="nil"/>
            </w:tcBorders>
            <w:shd w:val="clear" w:color="auto" w:fill="auto"/>
            <w:noWrap/>
            <w:vAlign w:val="bottom"/>
            <w:hideMark/>
          </w:tcPr>
          <w:p w14:paraId="3CBB7F77" w14:textId="77777777" w:rsidR="009E50B5" w:rsidRPr="00B362E9" w:rsidRDefault="009E50B5">
            <w:pPr>
              <w:rPr>
                <w:sz w:val="16"/>
                <w:szCs w:val="16"/>
              </w:rPr>
            </w:pPr>
          </w:p>
        </w:tc>
        <w:tc>
          <w:tcPr>
            <w:tcW w:w="576" w:type="pct"/>
            <w:tcBorders>
              <w:top w:val="nil"/>
              <w:left w:val="nil"/>
              <w:bottom w:val="nil"/>
              <w:right w:val="nil"/>
            </w:tcBorders>
            <w:shd w:val="clear" w:color="auto" w:fill="auto"/>
            <w:noWrap/>
            <w:vAlign w:val="bottom"/>
            <w:hideMark/>
          </w:tcPr>
          <w:p w14:paraId="0015C87C" w14:textId="77777777" w:rsidR="009E50B5" w:rsidRPr="00B362E9" w:rsidRDefault="009E50B5">
            <w:pPr>
              <w:rPr>
                <w:sz w:val="16"/>
                <w:szCs w:val="16"/>
              </w:rPr>
            </w:pPr>
          </w:p>
        </w:tc>
      </w:tr>
      <w:tr w:rsidR="00F26E30" w:rsidRPr="00B362E9" w14:paraId="6E4F79E5" w14:textId="77777777" w:rsidTr="00B362E9">
        <w:trPr>
          <w:trHeight w:val="240"/>
        </w:trPr>
        <w:tc>
          <w:tcPr>
            <w:tcW w:w="1313" w:type="pct"/>
            <w:tcBorders>
              <w:top w:val="nil"/>
              <w:left w:val="nil"/>
              <w:bottom w:val="nil"/>
              <w:right w:val="nil"/>
            </w:tcBorders>
            <w:shd w:val="clear" w:color="auto" w:fill="auto"/>
            <w:noWrap/>
            <w:vAlign w:val="bottom"/>
            <w:hideMark/>
          </w:tcPr>
          <w:p w14:paraId="7546D500" w14:textId="77777777" w:rsidR="00F26E30" w:rsidRPr="00B362E9" w:rsidRDefault="00F26E30" w:rsidP="00F26E30">
            <w:pPr>
              <w:rPr>
                <w:rFonts w:ascii="Cambria" w:hAnsi="Cambria" w:cs="Arial"/>
                <w:color w:val="000000"/>
                <w:sz w:val="16"/>
                <w:szCs w:val="16"/>
              </w:rPr>
            </w:pPr>
            <w:r>
              <w:rPr>
                <w:rFonts w:ascii="Cambria" w:hAnsi="Cambria"/>
                <w:color w:val="000000"/>
                <w:sz w:val="16"/>
              </w:rPr>
              <w:t>Prêt de la BCC</w:t>
            </w:r>
          </w:p>
        </w:tc>
        <w:tc>
          <w:tcPr>
            <w:tcW w:w="558" w:type="pct"/>
            <w:tcBorders>
              <w:top w:val="nil"/>
              <w:left w:val="nil"/>
              <w:bottom w:val="nil"/>
              <w:right w:val="nil"/>
            </w:tcBorders>
            <w:shd w:val="clear" w:color="auto" w:fill="auto"/>
            <w:noWrap/>
            <w:vAlign w:val="bottom"/>
            <w:hideMark/>
          </w:tcPr>
          <w:p w14:paraId="396659A3" w14:textId="7F88508A" w:rsidR="00F26E30" w:rsidRPr="00B362E9" w:rsidRDefault="00F26E30" w:rsidP="00F26E30">
            <w:pPr>
              <w:rPr>
                <w:rFonts w:ascii="Cambria" w:hAnsi="Cambria" w:cs="Arial"/>
                <w:color w:val="000000"/>
                <w:sz w:val="16"/>
                <w:szCs w:val="16"/>
              </w:rPr>
            </w:pPr>
            <w:r>
              <w:rPr>
                <w:rFonts w:ascii="Cambria" w:hAnsi="Cambria"/>
                <w:color w:val="000000"/>
                <w:sz w:val="16"/>
              </w:rPr>
              <w:t xml:space="preserve">            96 635 </w:t>
            </w:r>
          </w:p>
        </w:tc>
        <w:tc>
          <w:tcPr>
            <w:tcW w:w="509" w:type="pct"/>
            <w:tcBorders>
              <w:top w:val="nil"/>
              <w:left w:val="nil"/>
              <w:bottom w:val="nil"/>
              <w:right w:val="nil"/>
            </w:tcBorders>
            <w:shd w:val="clear" w:color="auto" w:fill="auto"/>
            <w:noWrap/>
            <w:vAlign w:val="bottom"/>
            <w:hideMark/>
          </w:tcPr>
          <w:p w14:paraId="268986C7" w14:textId="69FBE9AD" w:rsidR="00F26E30" w:rsidRPr="00B362E9" w:rsidRDefault="00F26E30" w:rsidP="00F26E30">
            <w:pPr>
              <w:rPr>
                <w:rFonts w:ascii="Cambria" w:hAnsi="Cambria" w:cs="Arial"/>
                <w:color w:val="000000"/>
                <w:sz w:val="16"/>
                <w:szCs w:val="16"/>
              </w:rPr>
            </w:pPr>
            <w:r>
              <w:rPr>
                <w:rFonts w:ascii="Cambria" w:hAnsi="Cambria"/>
                <w:color w:val="000000"/>
                <w:sz w:val="16"/>
              </w:rPr>
              <w:t xml:space="preserve">         26 819 </w:t>
            </w:r>
          </w:p>
        </w:tc>
        <w:tc>
          <w:tcPr>
            <w:tcW w:w="509" w:type="pct"/>
            <w:tcBorders>
              <w:top w:val="nil"/>
              <w:left w:val="nil"/>
              <w:bottom w:val="nil"/>
              <w:right w:val="nil"/>
            </w:tcBorders>
            <w:shd w:val="clear" w:color="auto" w:fill="auto"/>
            <w:noWrap/>
            <w:vAlign w:val="bottom"/>
            <w:hideMark/>
          </w:tcPr>
          <w:p w14:paraId="05043B7E" w14:textId="45419026"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09" w:type="pct"/>
            <w:tcBorders>
              <w:top w:val="nil"/>
              <w:left w:val="nil"/>
              <w:bottom w:val="nil"/>
              <w:right w:val="nil"/>
            </w:tcBorders>
            <w:shd w:val="clear" w:color="auto" w:fill="auto"/>
            <w:noWrap/>
            <w:vAlign w:val="bottom"/>
            <w:hideMark/>
          </w:tcPr>
          <w:p w14:paraId="0E6AF0EC" w14:textId="69738751"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14" w:type="pct"/>
            <w:tcBorders>
              <w:top w:val="nil"/>
              <w:left w:val="nil"/>
              <w:bottom w:val="nil"/>
              <w:right w:val="nil"/>
            </w:tcBorders>
            <w:shd w:val="clear" w:color="auto" w:fill="auto"/>
            <w:noWrap/>
            <w:vAlign w:val="bottom"/>
            <w:hideMark/>
          </w:tcPr>
          <w:p w14:paraId="37A93E4A" w14:textId="7ACACB55"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14" w:type="pct"/>
            <w:tcBorders>
              <w:top w:val="nil"/>
              <w:left w:val="nil"/>
              <w:bottom w:val="nil"/>
              <w:right w:val="nil"/>
            </w:tcBorders>
            <w:shd w:val="clear" w:color="auto" w:fill="auto"/>
            <w:noWrap/>
            <w:vAlign w:val="bottom"/>
            <w:hideMark/>
          </w:tcPr>
          <w:p w14:paraId="72C76B54" w14:textId="5CC0B5AA"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76" w:type="pct"/>
            <w:tcBorders>
              <w:top w:val="nil"/>
              <w:left w:val="nil"/>
              <w:bottom w:val="nil"/>
              <w:right w:val="nil"/>
            </w:tcBorders>
            <w:shd w:val="clear" w:color="auto" w:fill="auto"/>
            <w:noWrap/>
            <w:vAlign w:val="bottom"/>
            <w:hideMark/>
          </w:tcPr>
          <w:p w14:paraId="676D7C89" w14:textId="50D1AF65" w:rsidR="00F26E30" w:rsidRPr="00B362E9" w:rsidRDefault="00F26E30" w:rsidP="00F26E30">
            <w:pPr>
              <w:rPr>
                <w:rFonts w:ascii="Cambria" w:hAnsi="Cambria" w:cs="Arial"/>
                <w:color w:val="000000"/>
                <w:sz w:val="16"/>
                <w:szCs w:val="16"/>
              </w:rPr>
            </w:pPr>
            <w:r>
              <w:rPr>
                <w:rFonts w:ascii="Cambria" w:hAnsi="Cambria"/>
                <w:color w:val="000000"/>
                <w:sz w:val="16"/>
              </w:rPr>
              <w:t xml:space="preserve">          123 453 </w:t>
            </w:r>
          </w:p>
        </w:tc>
      </w:tr>
      <w:tr w:rsidR="00F26E30" w:rsidRPr="00B362E9" w14:paraId="64B291D0" w14:textId="77777777" w:rsidTr="00B362E9">
        <w:trPr>
          <w:trHeight w:val="240"/>
        </w:trPr>
        <w:tc>
          <w:tcPr>
            <w:tcW w:w="1313" w:type="pct"/>
            <w:tcBorders>
              <w:top w:val="nil"/>
              <w:left w:val="nil"/>
              <w:bottom w:val="nil"/>
              <w:right w:val="nil"/>
            </w:tcBorders>
            <w:shd w:val="clear" w:color="auto" w:fill="auto"/>
            <w:noWrap/>
            <w:vAlign w:val="bottom"/>
            <w:hideMark/>
          </w:tcPr>
          <w:p w14:paraId="7A043622" w14:textId="77777777" w:rsidR="00F26E30" w:rsidRPr="00B362E9" w:rsidRDefault="00F26E30" w:rsidP="00F26E30">
            <w:pPr>
              <w:rPr>
                <w:rFonts w:ascii="Cambria" w:hAnsi="Cambria" w:cs="Arial"/>
                <w:color w:val="000000"/>
                <w:sz w:val="16"/>
                <w:szCs w:val="16"/>
              </w:rPr>
            </w:pPr>
            <w:r>
              <w:rPr>
                <w:rFonts w:ascii="Cambria" w:hAnsi="Cambria"/>
                <w:color w:val="000000"/>
                <w:sz w:val="16"/>
              </w:rPr>
              <w:t>Prêt de la BPB</w:t>
            </w:r>
          </w:p>
        </w:tc>
        <w:tc>
          <w:tcPr>
            <w:tcW w:w="558" w:type="pct"/>
            <w:tcBorders>
              <w:top w:val="nil"/>
              <w:left w:val="nil"/>
              <w:bottom w:val="nil"/>
              <w:right w:val="nil"/>
            </w:tcBorders>
            <w:shd w:val="clear" w:color="auto" w:fill="auto"/>
            <w:noWrap/>
            <w:vAlign w:val="bottom"/>
            <w:hideMark/>
          </w:tcPr>
          <w:p w14:paraId="0E9D9E95" w14:textId="6F07CBE5" w:rsidR="00F26E30" w:rsidRPr="00B362E9" w:rsidRDefault="00F26E30" w:rsidP="00F26E30">
            <w:pPr>
              <w:rPr>
                <w:rFonts w:ascii="Cambria" w:hAnsi="Cambria" w:cs="Arial"/>
                <w:color w:val="000000"/>
                <w:sz w:val="16"/>
                <w:szCs w:val="16"/>
              </w:rPr>
            </w:pPr>
            <w:r>
              <w:rPr>
                <w:rFonts w:ascii="Cambria" w:hAnsi="Cambria"/>
                <w:color w:val="000000"/>
                <w:sz w:val="16"/>
              </w:rPr>
              <w:t xml:space="preserve">         243 274 </w:t>
            </w:r>
          </w:p>
        </w:tc>
        <w:tc>
          <w:tcPr>
            <w:tcW w:w="509" w:type="pct"/>
            <w:tcBorders>
              <w:top w:val="nil"/>
              <w:left w:val="nil"/>
              <w:bottom w:val="nil"/>
              <w:right w:val="nil"/>
            </w:tcBorders>
            <w:shd w:val="clear" w:color="auto" w:fill="auto"/>
            <w:noWrap/>
            <w:vAlign w:val="bottom"/>
            <w:hideMark/>
          </w:tcPr>
          <w:p w14:paraId="4FD960B7" w14:textId="634A3021" w:rsidR="00F26E30" w:rsidRPr="00B362E9" w:rsidRDefault="00F26E30" w:rsidP="00F26E30">
            <w:pPr>
              <w:rPr>
                <w:rFonts w:ascii="Cambria" w:hAnsi="Cambria" w:cs="Arial"/>
                <w:color w:val="000000"/>
                <w:sz w:val="16"/>
                <w:szCs w:val="16"/>
              </w:rPr>
            </w:pPr>
            <w:r>
              <w:rPr>
                <w:rFonts w:ascii="Cambria" w:hAnsi="Cambria"/>
                <w:color w:val="000000"/>
                <w:sz w:val="16"/>
              </w:rPr>
              <w:t xml:space="preserve">       224 568 </w:t>
            </w:r>
          </w:p>
        </w:tc>
        <w:tc>
          <w:tcPr>
            <w:tcW w:w="509" w:type="pct"/>
            <w:tcBorders>
              <w:top w:val="nil"/>
              <w:left w:val="nil"/>
              <w:bottom w:val="nil"/>
              <w:right w:val="nil"/>
            </w:tcBorders>
            <w:shd w:val="clear" w:color="auto" w:fill="auto"/>
            <w:noWrap/>
            <w:vAlign w:val="bottom"/>
            <w:hideMark/>
          </w:tcPr>
          <w:p w14:paraId="61603B39" w14:textId="23D8F320" w:rsidR="00F26E30" w:rsidRPr="00B362E9" w:rsidRDefault="00F26E30" w:rsidP="00F26E30">
            <w:pPr>
              <w:rPr>
                <w:rFonts w:ascii="Cambria" w:hAnsi="Cambria" w:cs="Arial"/>
                <w:color w:val="000000"/>
                <w:sz w:val="16"/>
                <w:szCs w:val="16"/>
              </w:rPr>
            </w:pPr>
            <w:r>
              <w:rPr>
                <w:rFonts w:ascii="Cambria" w:hAnsi="Cambria"/>
                <w:color w:val="000000"/>
                <w:sz w:val="16"/>
              </w:rPr>
              <w:t> </w:t>
            </w:r>
          </w:p>
        </w:tc>
        <w:tc>
          <w:tcPr>
            <w:tcW w:w="509" w:type="pct"/>
            <w:tcBorders>
              <w:top w:val="nil"/>
              <w:left w:val="nil"/>
              <w:bottom w:val="nil"/>
              <w:right w:val="nil"/>
            </w:tcBorders>
            <w:shd w:val="clear" w:color="auto" w:fill="auto"/>
            <w:noWrap/>
            <w:vAlign w:val="bottom"/>
            <w:hideMark/>
          </w:tcPr>
          <w:p w14:paraId="43CCE561" w14:textId="26EF8606"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14" w:type="pct"/>
            <w:tcBorders>
              <w:top w:val="nil"/>
              <w:left w:val="nil"/>
              <w:bottom w:val="nil"/>
              <w:right w:val="nil"/>
            </w:tcBorders>
            <w:shd w:val="clear" w:color="auto" w:fill="auto"/>
            <w:noWrap/>
            <w:vAlign w:val="bottom"/>
            <w:hideMark/>
          </w:tcPr>
          <w:p w14:paraId="268894C1" w14:textId="5A0C38B0"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14" w:type="pct"/>
            <w:tcBorders>
              <w:top w:val="nil"/>
              <w:left w:val="nil"/>
              <w:bottom w:val="nil"/>
              <w:right w:val="nil"/>
            </w:tcBorders>
            <w:shd w:val="clear" w:color="auto" w:fill="auto"/>
            <w:noWrap/>
            <w:vAlign w:val="bottom"/>
            <w:hideMark/>
          </w:tcPr>
          <w:p w14:paraId="60BF73C6" w14:textId="4D659EBB"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76" w:type="pct"/>
            <w:tcBorders>
              <w:top w:val="nil"/>
              <w:left w:val="nil"/>
              <w:bottom w:val="nil"/>
              <w:right w:val="nil"/>
            </w:tcBorders>
            <w:shd w:val="clear" w:color="auto" w:fill="auto"/>
            <w:noWrap/>
            <w:vAlign w:val="bottom"/>
            <w:hideMark/>
          </w:tcPr>
          <w:p w14:paraId="2BC94D98" w14:textId="35A3B914" w:rsidR="00F26E30" w:rsidRPr="00B362E9" w:rsidRDefault="00F26E30" w:rsidP="00F26E30">
            <w:pPr>
              <w:rPr>
                <w:rFonts w:ascii="Cambria" w:hAnsi="Cambria" w:cs="Arial"/>
                <w:color w:val="000000"/>
                <w:sz w:val="16"/>
                <w:szCs w:val="16"/>
              </w:rPr>
            </w:pPr>
            <w:r>
              <w:rPr>
                <w:rFonts w:ascii="Cambria" w:hAnsi="Cambria"/>
                <w:color w:val="000000"/>
                <w:sz w:val="16"/>
              </w:rPr>
              <w:t xml:space="preserve">          467 842 </w:t>
            </w:r>
          </w:p>
        </w:tc>
      </w:tr>
      <w:tr w:rsidR="00F26E30" w:rsidRPr="00B362E9" w14:paraId="7D3F99B4" w14:textId="77777777" w:rsidTr="00B362E9">
        <w:trPr>
          <w:trHeight w:val="240"/>
        </w:trPr>
        <w:tc>
          <w:tcPr>
            <w:tcW w:w="1313" w:type="pct"/>
            <w:tcBorders>
              <w:top w:val="nil"/>
              <w:left w:val="nil"/>
              <w:bottom w:val="nil"/>
              <w:right w:val="nil"/>
            </w:tcBorders>
            <w:shd w:val="clear" w:color="auto" w:fill="auto"/>
            <w:noWrap/>
            <w:vAlign w:val="bottom"/>
            <w:hideMark/>
          </w:tcPr>
          <w:p w14:paraId="3190D159" w14:textId="77777777" w:rsidR="00F26E30" w:rsidRPr="00B362E9" w:rsidRDefault="00F26E30" w:rsidP="00F26E30">
            <w:pPr>
              <w:rPr>
                <w:rFonts w:ascii="Cambria" w:hAnsi="Cambria" w:cs="Arial"/>
                <w:color w:val="000000"/>
                <w:sz w:val="16"/>
                <w:szCs w:val="16"/>
              </w:rPr>
            </w:pPr>
            <w:r>
              <w:rPr>
                <w:rFonts w:ascii="Cambria" w:hAnsi="Cambria"/>
                <w:color w:val="000000"/>
                <w:sz w:val="16"/>
              </w:rPr>
              <w:t xml:space="preserve">Prêt de la </w:t>
            </w:r>
            <w:proofErr w:type="spellStart"/>
            <w:r>
              <w:rPr>
                <w:rFonts w:ascii="Cambria" w:hAnsi="Cambria"/>
                <w:color w:val="000000"/>
                <w:sz w:val="16"/>
              </w:rPr>
              <w:t>Sanpaolo</w:t>
            </w:r>
            <w:proofErr w:type="spellEnd"/>
          </w:p>
        </w:tc>
        <w:tc>
          <w:tcPr>
            <w:tcW w:w="558" w:type="pct"/>
            <w:tcBorders>
              <w:top w:val="nil"/>
              <w:left w:val="nil"/>
              <w:bottom w:val="nil"/>
              <w:right w:val="nil"/>
            </w:tcBorders>
            <w:shd w:val="clear" w:color="auto" w:fill="auto"/>
            <w:noWrap/>
            <w:vAlign w:val="bottom"/>
            <w:hideMark/>
          </w:tcPr>
          <w:p w14:paraId="1BBC15AE" w14:textId="4C60E80B"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09" w:type="pct"/>
            <w:tcBorders>
              <w:top w:val="nil"/>
              <w:left w:val="nil"/>
              <w:bottom w:val="nil"/>
              <w:right w:val="nil"/>
            </w:tcBorders>
            <w:shd w:val="clear" w:color="auto" w:fill="auto"/>
            <w:noWrap/>
            <w:vAlign w:val="bottom"/>
            <w:hideMark/>
          </w:tcPr>
          <w:p w14:paraId="19987F97" w14:textId="320DC9E4"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09" w:type="pct"/>
            <w:tcBorders>
              <w:top w:val="nil"/>
              <w:left w:val="nil"/>
              <w:bottom w:val="nil"/>
              <w:right w:val="nil"/>
            </w:tcBorders>
            <w:shd w:val="clear" w:color="auto" w:fill="auto"/>
            <w:noWrap/>
            <w:vAlign w:val="bottom"/>
            <w:hideMark/>
          </w:tcPr>
          <w:p w14:paraId="0A63935C" w14:textId="629B49E0"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09" w:type="pct"/>
            <w:tcBorders>
              <w:top w:val="nil"/>
              <w:left w:val="nil"/>
              <w:bottom w:val="nil"/>
              <w:right w:val="nil"/>
            </w:tcBorders>
            <w:shd w:val="clear" w:color="auto" w:fill="auto"/>
            <w:noWrap/>
            <w:vAlign w:val="bottom"/>
            <w:hideMark/>
          </w:tcPr>
          <w:p w14:paraId="2918D92F" w14:textId="690F43D8"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14" w:type="pct"/>
            <w:tcBorders>
              <w:top w:val="nil"/>
              <w:left w:val="nil"/>
              <w:bottom w:val="nil"/>
              <w:right w:val="nil"/>
            </w:tcBorders>
            <w:shd w:val="clear" w:color="auto" w:fill="auto"/>
            <w:noWrap/>
            <w:vAlign w:val="bottom"/>
            <w:hideMark/>
          </w:tcPr>
          <w:p w14:paraId="3950B2B9" w14:textId="746D2023"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14" w:type="pct"/>
            <w:tcBorders>
              <w:top w:val="nil"/>
              <w:left w:val="nil"/>
              <w:bottom w:val="nil"/>
              <w:right w:val="nil"/>
            </w:tcBorders>
            <w:shd w:val="clear" w:color="auto" w:fill="auto"/>
            <w:noWrap/>
            <w:vAlign w:val="bottom"/>
            <w:hideMark/>
          </w:tcPr>
          <w:p w14:paraId="67E52418" w14:textId="7F1C3D15"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76" w:type="pct"/>
            <w:tcBorders>
              <w:top w:val="nil"/>
              <w:left w:val="nil"/>
              <w:bottom w:val="nil"/>
              <w:right w:val="nil"/>
            </w:tcBorders>
            <w:shd w:val="clear" w:color="auto" w:fill="auto"/>
            <w:noWrap/>
            <w:vAlign w:val="bottom"/>
            <w:hideMark/>
          </w:tcPr>
          <w:p w14:paraId="5CA69218" w14:textId="7D6CC254"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r>
      <w:tr w:rsidR="00F26E30" w:rsidRPr="00B362E9" w14:paraId="5ACBDA3F" w14:textId="77777777" w:rsidTr="00B362E9">
        <w:trPr>
          <w:trHeight w:val="240"/>
        </w:trPr>
        <w:tc>
          <w:tcPr>
            <w:tcW w:w="1313" w:type="pct"/>
            <w:tcBorders>
              <w:top w:val="nil"/>
              <w:left w:val="nil"/>
              <w:bottom w:val="nil"/>
              <w:right w:val="nil"/>
            </w:tcBorders>
            <w:shd w:val="clear" w:color="auto" w:fill="auto"/>
            <w:noWrap/>
            <w:vAlign w:val="bottom"/>
            <w:hideMark/>
          </w:tcPr>
          <w:p w14:paraId="0BF87951" w14:textId="77777777" w:rsidR="00F26E30" w:rsidRPr="00B362E9" w:rsidRDefault="00F26E30" w:rsidP="00F26E30">
            <w:pPr>
              <w:rPr>
                <w:rFonts w:ascii="Cambria" w:hAnsi="Cambria" w:cs="Arial"/>
                <w:color w:val="000000"/>
                <w:sz w:val="16"/>
                <w:szCs w:val="16"/>
              </w:rPr>
            </w:pPr>
            <w:r>
              <w:rPr>
                <w:rFonts w:ascii="Cambria" w:hAnsi="Cambria"/>
                <w:color w:val="000000"/>
                <w:sz w:val="16"/>
              </w:rPr>
              <w:t xml:space="preserve">Prêt de la BCC 2 </w:t>
            </w:r>
          </w:p>
        </w:tc>
        <w:tc>
          <w:tcPr>
            <w:tcW w:w="558" w:type="pct"/>
            <w:tcBorders>
              <w:top w:val="nil"/>
              <w:left w:val="nil"/>
              <w:bottom w:val="nil"/>
              <w:right w:val="nil"/>
            </w:tcBorders>
            <w:shd w:val="clear" w:color="auto" w:fill="auto"/>
            <w:noWrap/>
            <w:vAlign w:val="bottom"/>
            <w:hideMark/>
          </w:tcPr>
          <w:p w14:paraId="5652D3B1" w14:textId="42E339C4" w:rsidR="00F26E30" w:rsidRPr="00B362E9" w:rsidRDefault="00F26E30" w:rsidP="00F26E30">
            <w:pPr>
              <w:rPr>
                <w:rFonts w:ascii="Cambria" w:hAnsi="Cambria" w:cs="Arial"/>
                <w:color w:val="000000"/>
                <w:sz w:val="16"/>
                <w:szCs w:val="16"/>
              </w:rPr>
            </w:pPr>
            <w:r>
              <w:rPr>
                <w:rFonts w:ascii="Cambria" w:hAnsi="Cambria"/>
                <w:color w:val="000000"/>
                <w:sz w:val="16"/>
              </w:rPr>
              <w:t xml:space="preserve">         117 989 </w:t>
            </w:r>
          </w:p>
        </w:tc>
        <w:tc>
          <w:tcPr>
            <w:tcW w:w="509" w:type="pct"/>
            <w:tcBorders>
              <w:top w:val="nil"/>
              <w:left w:val="nil"/>
              <w:bottom w:val="nil"/>
              <w:right w:val="nil"/>
            </w:tcBorders>
            <w:shd w:val="clear" w:color="auto" w:fill="auto"/>
            <w:noWrap/>
            <w:vAlign w:val="bottom"/>
            <w:hideMark/>
          </w:tcPr>
          <w:p w14:paraId="42902124" w14:textId="074730FA" w:rsidR="00F26E30" w:rsidRPr="00B362E9" w:rsidRDefault="00F26E30" w:rsidP="00F26E30">
            <w:pPr>
              <w:rPr>
                <w:rFonts w:ascii="Cambria" w:hAnsi="Cambria" w:cs="Arial"/>
                <w:color w:val="000000"/>
                <w:sz w:val="16"/>
                <w:szCs w:val="16"/>
              </w:rPr>
            </w:pPr>
            <w:r>
              <w:rPr>
                <w:rFonts w:ascii="Cambria" w:hAnsi="Cambria"/>
                <w:color w:val="000000"/>
                <w:sz w:val="16"/>
              </w:rPr>
              <w:t xml:space="preserve">       130 468 </w:t>
            </w:r>
          </w:p>
        </w:tc>
        <w:tc>
          <w:tcPr>
            <w:tcW w:w="509" w:type="pct"/>
            <w:tcBorders>
              <w:top w:val="nil"/>
              <w:left w:val="nil"/>
              <w:bottom w:val="nil"/>
              <w:right w:val="nil"/>
            </w:tcBorders>
            <w:shd w:val="clear" w:color="auto" w:fill="auto"/>
            <w:noWrap/>
            <w:vAlign w:val="bottom"/>
            <w:hideMark/>
          </w:tcPr>
          <w:p w14:paraId="2E5434E0" w14:textId="05B0F277" w:rsidR="00F26E30" w:rsidRPr="00B362E9" w:rsidRDefault="00F26E30" w:rsidP="00F26E30">
            <w:pPr>
              <w:rPr>
                <w:rFonts w:ascii="Cambria" w:hAnsi="Cambria" w:cs="Arial"/>
                <w:color w:val="000000"/>
                <w:sz w:val="16"/>
                <w:szCs w:val="16"/>
              </w:rPr>
            </w:pPr>
            <w:r>
              <w:rPr>
                <w:rFonts w:ascii="Cambria" w:hAnsi="Cambria"/>
                <w:color w:val="000000"/>
                <w:sz w:val="16"/>
              </w:rPr>
              <w:t xml:space="preserve">       133 768 </w:t>
            </w:r>
          </w:p>
        </w:tc>
        <w:tc>
          <w:tcPr>
            <w:tcW w:w="509" w:type="pct"/>
            <w:tcBorders>
              <w:top w:val="nil"/>
              <w:left w:val="nil"/>
              <w:bottom w:val="nil"/>
              <w:right w:val="nil"/>
            </w:tcBorders>
            <w:shd w:val="clear" w:color="auto" w:fill="auto"/>
            <w:noWrap/>
            <w:vAlign w:val="bottom"/>
            <w:hideMark/>
          </w:tcPr>
          <w:p w14:paraId="6F7D4432" w14:textId="24440FBB" w:rsidR="00F26E30" w:rsidRPr="00B362E9" w:rsidRDefault="00F26E30" w:rsidP="00F26E30">
            <w:pPr>
              <w:rPr>
                <w:rFonts w:ascii="Cambria" w:hAnsi="Cambria" w:cs="Arial"/>
                <w:color w:val="000000"/>
                <w:sz w:val="16"/>
                <w:szCs w:val="16"/>
              </w:rPr>
            </w:pPr>
            <w:r>
              <w:rPr>
                <w:rFonts w:ascii="Cambria" w:hAnsi="Cambria"/>
                <w:color w:val="000000"/>
                <w:sz w:val="16"/>
              </w:rPr>
              <w:t xml:space="preserve">       137 151 </w:t>
            </w:r>
          </w:p>
        </w:tc>
        <w:tc>
          <w:tcPr>
            <w:tcW w:w="514" w:type="pct"/>
            <w:tcBorders>
              <w:top w:val="nil"/>
              <w:left w:val="nil"/>
              <w:bottom w:val="nil"/>
              <w:right w:val="nil"/>
            </w:tcBorders>
            <w:shd w:val="clear" w:color="auto" w:fill="auto"/>
            <w:noWrap/>
            <w:vAlign w:val="bottom"/>
            <w:hideMark/>
          </w:tcPr>
          <w:p w14:paraId="33AE35AA" w14:textId="72CB912B" w:rsidR="00F26E30" w:rsidRPr="00B362E9" w:rsidRDefault="00F26E30" w:rsidP="00F26E30">
            <w:pPr>
              <w:rPr>
                <w:rFonts w:ascii="Cambria" w:hAnsi="Cambria" w:cs="Arial"/>
                <w:color w:val="000000"/>
                <w:sz w:val="16"/>
                <w:szCs w:val="16"/>
              </w:rPr>
            </w:pPr>
            <w:r>
              <w:rPr>
                <w:rFonts w:ascii="Cambria" w:hAnsi="Cambria"/>
                <w:color w:val="000000"/>
                <w:sz w:val="16"/>
              </w:rPr>
              <w:t xml:space="preserve">       134 311 </w:t>
            </w:r>
          </w:p>
        </w:tc>
        <w:tc>
          <w:tcPr>
            <w:tcW w:w="514" w:type="pct"/>
            <w:tcBorders>
              <w:top w:val="nil"/>
              <w:left w:val="nil"/>
              <w:bottom w:val="nil"/>
              <w:right w:val="nil"/>
            </w:tcBorders>
            <w:shd w:val="clear" w:color="auto" w:fill="auto"/>
            <w:noWrap/>
            <w:vAlign w:val="bottom"/>
            <w:hideMark/>
          </w:tcPr>
          <w:p w14:paraId="3D4D8C35" w14:textId="6E885A89"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76" w:type="pct"/>
            <w:tcBorders>
              <w:top w:val="nil"/>
              <w:left w:val="nil"/>
              <w:bottom w:val="nil"/>
              <w:right w:val="nil"/>
            </w:tcBorders>
            <w:shd w:val="clear" w:color="auto" w:fill="auto"/>
            <w:noWrap/>
            <w:vAlign w:val="bottom"/>
            <w:hideMark/>
          </w:tcPr>
          <w:p w14:paraId="630891BD" w14:textId="07A91147" w:rsidR="00F26E30" w:rsidRPr="00B362E9" w:rsidRDefault="00F26E30" w:rsidP="00F26E30">
            <w:pPr>
              <w:rPr>
                <w:rFonts w:ascii="Cambria" w:hAnsi="Cambria" w:cs="Arial"/>
                <w:color w:val="000000"/>
                <w:sz w:val="16"/>
                <w:szCs w:val="16"/>
              </w:rPr>
            </w:pPr>
            <w:r>
              <w:rPr>
                <w:rFonts w:ascii="Cambria" w:hAnsi="Cambria"/>
                <w:color w:val="000000"/>
                <w:sz w:val="16"/>
              </w:rPr>
              <w:t xml:space="preserve">          653 687 </w:t>
            </w:r>
          </w:p>
        </w:tc>
      </w:tr>
      <w:tr w:rsidR="00F26E30" w:rsidRPr="00B362E9" w14:paraId="6BE744AB" w14:textId="77777777" w:rsidTr="00B362E9">
        <w:trPr>
          <w:trHeight w:val="240"/>
        </w:trPr>
        <w:tc>
          <w:tcPr>
            <w:tcW w:w="1313" w:type="pct"/>
            <w:tcBorders>
              <w:top w:val="nil"/>
              <w:left w:val="nil"/>
              <w:bottom w:val="nil"/>
              <w:right w:val="nil"/>
            </w:tcBorders>
            <w:shd w:val="clear" w:color="auto" w:fill="auto"/>
            <w:noWrap/>
            <w:vAlign w:val="bottom"/>
            <w:hideMark/>
          </w:tcPr>
          <w:p w14:paraId="598093E1" w14:textId="77777777" w:rsidR="00F26E30" w:rsidRPr="00B362E9" w:rsidRDefault="00F26E30" w:rsidP="00F26E30">
            <w:pPr>
              <w:rPr>
                <w:rFonts w:ascii="Cambria" w:hAnsi="Cambria" w:cs="Arial"/>
                <w:color w:val="000000"/>
                <w:sz w:val="16"/>
                <w:szCs w:val="16"/>
              </w:rPr>
            </w:pPr>
            <w:r>
              <w:rPr>
                <w:rFonts w:ascii="Cambria" w:hAnsi="Cambria"/>
                <w:color w:val="000000"/>
                <w:sz w:val="16"/>
              </w:rPr>
              <w:t xml:space="preserve">Prêt de la </w:t>
            </w:r>
            <w:proofErr w:type="spellStart"/>
            <w:r>
              <w:rPr>
                <w:rFonts w:ascii="Cambria" w:hAnsi="Cambria"/>
                <w:color w:val="000000"/>
                <w:sz w:val="16"/>
              </w:rPr>
              <w:t>Sanpaolo</w:t>
            </w:r>
            <w:proofErr w:type="spellEnd"/>
            <w:r>
              <w:rPr>
                <w:rFonts w:ascii="Cambria" w:hAnsi="Cambria"/>
                <w:color w:val="000000"/>
                <w:sz w:val="16"/>
              </w:rPr>
              <w:t xml:space="preserve"> 2 </w:t>
            </w:r>
          </w:p>
        </w:tc>
        <w:tc>
          <w:tcPr>
            <w:tcW w:w="558" w:type="pct"/>
            <w:tcBorders>
              <w:top w:val="nil"/>
              <w:left w:val="nil"/>
              <w:bottom w:val="nil"/>
              <w:right w:val="nil"/>
            </w:tcBorders>
            <w:shd w:val="clear" w:color="auto" w:fill="auto"/>
            <w:noWrap/>
            <w:vAlign w:val="bottom"/>
            <w:hideMark/>
          </w:tcPr>
          <w:p w14:paraId="34B5F548" w14:textId="6D73CE24" w:rsidR="00F26E30" w:rsidRPr="00B362E9" w:rsidRDefault="00F26E30" w:rsidP="00F26E30">
            <w:pPr>
              <w:rPr>
                <w:rFonts w:ascii="Cambria" w:hAnsi="Cambria" w:cs="Arial"/>
                <w:color w:val="000000"/>
                <w:sz w:val="16"/>
                <w:szCs w:val="16"/>
              </w:rPr>
            </w:pPr>
            <w:r>
              <w:rPr>
                <w:rFonts w:ascii="Cambria" w:hAnsi="Cambria"/>
                <w:color w:val="000000"/>
                <w:sz w:val="16"/>
              </w:rPr>
              <w:t xml:space="preserve">         456 579 </w:t>
            </w:r>
          </w:p>
        </w:tc>
        <w:tc>
          <w:tcPr>
            <w:tcW w:w="509" w:type="pct"/>
            <w:tcBorders>
              <w:top w:val="nil"/>
              <w:left w:val="nil"/>
              <w:bottom w:val="nil"/>
              <w:right w:val="nil"/>
            </w:tcBorders>
            <w:shd w:val="clear" w:color="auto" w:fill="auto"/>
            <w:noWrap/>
            <w:vAlign w:val="bottom"/>
            <w:hideMark/>
          </w:tcPr>
          <w:p w14:paraId="438F9D21" w14:textId="4C8D8D7D" w:rsidR="00F26E30" w:rsidRPr="00B362E9" w:rsidRDefault="00F26E30" w:rsidP="00F26E30">
            <w:pPr>
              <w:rPr>
                <w:rFonts w:ascii="Cambria" w:hAnsi="Cambria" w:cs="Arial"/>
                <w:color w:val="000000"/>
                <w:sz w:val="16"/>
                <w:szCs w:val="16"/>
              </w:rPr>
            </w:pPr>
            <w:r>
              <w:rPr>
                <w:rFonts w:ascii="Cambria" w:hAnsi="Cambria"/>
                <w:color w:val="000000"/>
                <w:sz w:val="16"/>
              </w:rPr>
              <w:t xml:space="preserve">       500 344 </w:t>
            </w:r>
          </w:p>
        </w:tc>
        <w:tc>
          <w:tcPr>
            <w:tcW w:w="509" w:type="pct"/>
            <w:tcBorders>
              <w:top w:val="nil"/>
              <w:left w:val="nil"/>
              <w:bottom w:val="nil"/>
              <w:right w:val="nil"/>
            </w:tcBorders>
            <w:shd w:val="clear" w:color="auto" w:fill="auto"/>
            <w:noWrap/>
            <w:vAlign w:val="bottom"/>
            <w:hideMark/>
          </w:tcPr>
          <w:p w14:paraId="778BC9E2" w14:textId="76BEC9D7" w:rsidR="00F26E30" w:rsidRPr="00B362E9" w:rsidRDefault="00F26E30" w:rsidP="00F26E30">
            <w:pPr>
              <w:rPr>
                <w:rFonts w:ascii="Cambria" w:hAnsi="Cambria" w:cs="Arial"/>
                <w:color w:val="000000"/>
                <w:sz w:val="16"/>
                <w:szCs w:val="16"/>
              </w:rPr>
            </w:pPr>
            <w:r>
              <w:rPr>
                <w:rFonts w:ascii="Cambria" w:hAnsi="Cambria"/>
                <w:color w:val="000000"/>
                <w:sz w:val="16"/>
              </w:rPr>
              <w:t xml:space="preserve">            1 743 </w:t>
            </w:r>
          </w:p>
        </w:tc>
        <w:tc>
          <w:tcPr>
            <w:tcW w:w="509" w:type="pct"/>
            <w:tcBorders>
              <w:top w:val="nil"/>
              <w:left w:val="nil"/>
              <w:bottom w:val="nil"/>
              <w:right w:val="nil"/>
            </w:tcBorders>
            <w:shd w:val="clear" w:color="auto" w:fill="auto"/>
            <w:noWrap/>
            <w:vAlign w:val="bottom"/>
            <w:hideMark/>
          </w:tcPr>
          <w:p w14:paraId="48CCED92" w14:textId="3B0A33D9" w:rsidR="00F26E30" w:rsidRPr="00B362E9" w:rsidRDefault="00F26E30" w:rsidP="00F26E30">
            <w:pPr>
              <w:rPr>
                <w:rFonts w:ascii="Cambria" w:hAnsi="Cambria" w:cs="Arial"/>
                <w:color w:val="000000"/>
                <w:sz w:val="16"/>
                <w:szCs w:val="16"/>
              </w:rPr>
            </w:pPr>
            <w:r>
              <w:rPr>
                <w:rFonts w:ascii="Cambria" w:hAnsi="Cambria"/>
                <w:color w:val="000000"/>
                <w:sz w:val="16"/>
              </w:rPr>
              <w:t> </w:t>
            </w:r>
          </w:p>
        </w:tc>
        <w:tc>
          <w:tcPr>
            <w:tcW w:w="514" w:type="pct"/>
            <w:tcBorders>
              <w:top w:val="nil"/>
              <w:left w:val="nil"/>
              <w:bottom w:val="nil"/>
              <w:right w:val="nil"/>
            </w:tcBorders>
            <w:shd w:val="clear" w:color="auto" w:fill="auto"/>
            <w:noWrap/>
            <w:vAlign w:val="bottom"/>
            <w:hideMark/>
          </w:tcPr>
          <w:p w14:paraId="78C2C749" w14:textId="24C63A1A" w:rsidR="00F26E30" w:rsidRPr="00B362E9" w:rsidRDefault="00F26E30" w:rsidP="00F26E30">
            <w:pPr>
              <w:rPr>
                <w:rFonts w:ascii="Cambria" w:hAnsi="Cambria" w:cs="Arial"/>
                <w:color w:val="000000"/>
                <w:sz w:val="16"/>
                <w:szCs w:val="16"/>
              </w:rPr>
            </w:pPr>
            <w:r>
              <w:rPr>
                <w:rFonts w:ascii="Cambria" w:hAnsi="Cambria"/>
                <w:color w:val="000000"/>
                <w:sz w:val="16"/>
              </w:rPr>
              <w:t> </w:t>
            </w:r>
          </w:p>
        </w:tc>
        <w:tc>
          <w:tcPr>
            <w:tcW w:w="514" w:type="pct"/>
            <w:tcBorders>
              <w:top w:val="nil"/>
              <w:left w:val="nil"/>
              <w:bottom w:val="nil"/>
              <w:right w:val="nil"/>
            </w:tcBorders>
            <w:shd w:val="clear" w:color="auto" w:fill="auto"/>
            <w:noWrap/>
            <w:vAlign w:val="bottom"/>
            <w:hideMark/>
          </w:tcPr>
          <w:p w14:paraId="63644623" w14:textId="65960D65" w:rsidR="00F26E30" w:rsidRPr="00B362E9" w:rsidRDefault="00F26E30" w:rsidP="00F26E30">
            <w:pPr>
              <w:rPr>
                <w:rFonts w:ascii="Cambria" w:hAnsi="Cambria" w:cs="Arial"/>
                <w:color w:val="000000"/>
                <w:sz w:val="16"/>
                <w:szCs w:val="16"/>
              </w:rPr>
            </w:pPr>
            <w:r>
              <w:rPr>
                <w:rFonts w:ascii="Cambria" w:hAnsi="Cambria"/>
                <w:color w:val="000000"/>
                <w:sz w:val="16"/>
              </w:rPr>
              <w:t> </w:t>
            </w:r>
          </w:p>
        </w:tc>
        <w:tc>
          <w:tcPr>
            <w:tcW w:w="576" w:type="pct"/>
            <w:tcBorders>
              <w:top w:val="nil"/>
              <w:left w:val="nil"/>
              <w:bottom w:val="nil"/>
              <w:right w:val="nil"/>
            </w:tcBorders>
            <w:shd w:val="clear" w:color="auto" w:fill="auto"/>
            <w:noWrap/>
            <w:vAlign w:val="bottom"/>
            <w:hideMark/>
          </w:tcPr>
          <w:p w14:paraId="18E3880E" w14:textId="5CE5A87E" w:rsidR="00F26E30" w:rsidRPr="00B362E9" w:rsidRDefault="00F26E30" w:rsidP="00F26E30">
            <w:pPr>
              <w:rPr>
                <w:rFonts w:ascii="Cambria" w:hAnsi="Cambria" w:cs="Arial"/>
                <w:color w:val="000000"/>
                <w:sz w:val="16"/>
                <w:szCs w:val="16"/>
              </w:rPr>
            </w:pPr>
            <w:r>
              <w:rPr>
                <w:rFonts w:ascii="Cambria" w:hAnsi="Cambria"/>
                <w:color w:val="000000"/>
                <w:sz w:val="16"/>
              </w:rPr>
              <w:t xml:space="preserve">          958 666 </w:t>
            </w:r>
          </w:p>
        </w:tc>
      </w:tr>
      <w:tr w:rsidR="00F26E30" w:rsidRPr="00B362E9" w14:paraId="4C10E620" w14:textId="77777777" w:rsidTr="00B362E9">
        <w:trPr>
          <w:trHeight w:val="240"/>
        </w:trPr>
        <w:tc>
          <w:tcPr>
            <w:tcW w:w="1313" w:type="pct"/>
            <w:tcBorders>
              <w:top w:val="nil"/>
              <w:left w:val="nil"/>
              <w:bottom w:val="nil"/>
              <w:right w:val="nil"/>
            </w:tcBorders>
            <w:shd w:val="clear" w:color="auto" w:fill="auto"/>
            <w:noWrap/>
            <w:vAlign w:val="bottom"/>
            <w:hideMark/>
          </w:tcPr>
          <w:p w14:paraId="22424E2E" w14:textId="77777777" w:rsidR="00F26E30" w:rsidRPr="00B362E9" w:rsidRDefault="00F26E30" w:rsidP="00F26E30">
            <w:pPr>
              <w:rPr>
                <w:rFonts w:ascii="Cambria" w:hAnsi="Cambria" w:cs="Arial"/>
                <w:color w:val="000000"/>
                <w:sz w:val="16"/>
                <w:szCs w:val="16"/>
              </w:rPr>
            </w:pPr>
            <w:r>
              <w:rPr>
                <w:rFonts w:ascii="Cambria" w:hAnsi="Cambria"/>
                <w:color w:val="000000"/>
                <w:sz w:val="16"/>
              </w:rPr>
              <w:t>Prêt de la BPM</w:t>
            </w:r>
          </w:p>
        </w:tc>
        <w:tc>
          <w:tcPr>
            <w:tcW w:w="558" w:type="pct"/>
            <w:tcBorders>
              <w:top w:val="nil"/>
              <w:left w:val="nil"/>
              <w:bottom w:val="nil"/>
              <w:right w:val="nil"/>
            </w:tcBorders>
            <w:shd w:val="clear" w:color="auto" w:fill="auto"/>
            <w:noWrap/>
            <w:vAlign w:val="bottom"/>
            <w:hideMark/>
          </w:tcPr>
          <w:p w14:paraId="64BE1080" w14:textId="054C9B98" w:rsidR="00F26E30" w:rsidRPr="00B362E9" w:rsidRDefault="00F26E30" w:rsidP="00F26E30">
            <w:pPr>
              <w:rPr>
                <w:rFonts w:ascii="Cambria" w:hAnsi="Cambria" w:cs="Arial"/>
                <w:color w:val="000000"/>
                <w:sz w:val="16"/>
                <w:szCs w:val="16"/>
              </w:rPr>
            </w:pPr>
            <w:r>
              <w:rPr>
                <w:rFonts w:ascii="Cambria" w:hAnsi="Cambria"/>
                <w:color w:val="000000"/>
                <w:sz w:val="16"/>
              </w:rPr>
              <w:t xml:space="preserve">         123 479 </w:t>
            </w:r>
          </w:p>
        </w:tc>
        <w:tc>
          <w:tcPr>
            <w:tcW w:w="509" w:type="pct"/>
            <w:tcBorders>
              <w:top w:val="nil"/>
              <w:left w:val="nil"/>
              <w:bottom w:val="nil"/>
              <w:right w:val="nil"/>
            </w:tcBorders>
            <w:shd w:val="clear" w:color="auto" w:fill="auto"/>
            <w:noWrap/>
            <w:vAlign w:val="bottom"/>
            <w:hideMark/>
          </w:tcPr>
          <w:p w14:paraId="6A8BFDE0" w14:textId="1600D741" w:rsidR="00F26E30" w:rsidRPr="00B362E9" w:rsidRDefault="00F26E30" w:rsidP="00F26E30">
            <w:pPr>
              <w:rPr>
                <w:rFonts w:ascii="Cambria" w:hAnsi="Cambria" w:cs="Arial"/>
                <w:color w:val="000000"/>
                <w:sz w:val="16"/>
                <w:szCs w:val="16"/>
              </w:rPr>
            </w:pPr>
            <w:r>
              <w:rPr>
                <w:rFonts w:ascii="Cambria" w:hAnsi="Cambria"/>
                <w:color w:val="000000"/>
                <w:sz w:val="16"/>
              </w:rPr>
              <w:t xml:space="preserve">       165 567 </w:t>
            </w:r>
          </w:p>
        </w:tc>
        <w:tc>
          <w:tcPr>
            <w:tcW w:w="509" w:type="pct"/>
            <w:tcBorders>
              <w:top w:val="nil"/>
              <w:left w:val="nil"/>
              <w:bottom w:val="nil"/>
              <w:right w:val="nil"/>
            </w:tcBorders>
            <w:shd w:val="clear" w:color="auto" w:fill="auto"/>
            <w:noWrap/>
            <w:vAlign w:val="bottom"/>
            <w:hideMark/>
          </w:tcPr>
          <w:p w14:paraId="1797727D" w14:textId="186EFCDA" w:rsidR="00F26E30" w:rsidRPr="00B362E9" w:rsidRDefault="00F26E30" w:rsidP="00F26E30">
            <w:pPr>
              <w:rPr>
                <w:rFonts w:ascii="Cambria" w:hAnsi="Cambria" w:cs="Arial"/>
                <w:color w:val="000000"/>
                <w:sz w:val="16"/>
                <w:szCs w:val="16"/>
              </w:rPr>
            </w:pPr>
            <w:r>
              <w:rPr>
                <w:rFonts w:ascii="Cambria" w:hAnsi="Cambria"/>
                <w:color w:val="000000"/>
                <w:sz w:val="16"/>
              </w:rPr>
              <w:t xml:space="preserve">       168 064 </w:t>
            </w:r>
          </w:p>
        </w:tc>
        <w:tc>
          <w:tcPr>
            <w:tcW w:w="509" w:type="pct"/>
            <w:tcBorders>
              <w:top w:val="nil"/>
              <w:left w:val="nil"/>
              <w:bottom w:val="nil"/>
              <w:right w:val="nil"/>
            </w:tcBorders>
            <w:shd w:val="clear" w:color="auto" w:fill="auto"/>
            <w:noWrap/>
            <w:vAlign w:val="bottom"/>
            <w:hideMark/>
          </w:tcPr>
          <w:p w14:paraId="280FDF68" w14:textId="5E322733" w:rsidR="00F26E30" w:rsidRPr="00B362E9" w:rsidRDefault="00F26E30" w:rsidP="00F26E30">
            <w:pPr>
              <w:rPr>
                <w:rFonts w:ascii="Cambria" w:hAnsi="Cambria" w:cs="Arial"/>
                <w:color w:val="000000"/>
                <w:sz w:val="16"/>
                <w:szCs w:val="16"/>
              </w:rPr>
            </w:pPr>
            <w:r>
              <w:rPr>
                <w:rFonts w:ascii="Cambria" w:hAnsi="Cambria"/>
                <w:color w:val="000000"/>
                <w:sz w:val="16"/>
              </w:rPr>
              <w:t xml:space="preserve">       170 599 </w:t>
            </w:r>
          </w:p>
        </w:tc>
        <w:tc>
          <w:tcPr>
            <w:tcW w:w="514" w:type="pct"/>
            <w:tcBorders>
              <w:top w:val="nil"/>
              <w:left w:val="nil"/>
              <w:bottom w:val="nil"/>
              <w:right w:val="nil"/>
            </w:tcBorders>
            <w:shd w:val="clear" w:color="auto" w:fill="auto"/>
            <w:noWrap/>
            <w:vAlign w:val="bottom"/>
            <w:hideMark/>
          </w:tcPr>
          <w:p w14:paraId="03FA62E4" w14:textId="153DA0DA" w:rsidR="00F26E30" w:rsidRPr="00B362E9" w:rsidRDefault="00F26E30" w:rsidP="00F26E30">
            <w:pPr>
              <w:rPr>
                <w:rFonts w:ascii="Cambria" w:hAnsi="Cambria" w:cs="Arial"/>
                <w:color w:val="000000"/>
                <w:sz w:val="16"/>
                <w:szCs w:val="16"/>
              </w:rPr>
            </w:pPr>
            <w:r>
              <w:rPr>
                <w:rFonts w:ascii="Cambria" w:hAnsi="Cambria"/>
                <w:color w:val="000000"/>
                <w:sz w:val="16"/>
              </w:rPr>
              <w:t xml:space="preserve">       173 173 </w:t>
            </w:r>
          </w:p>
        </w:tc>
        <w:tc>
          <w:tcPr>
            <w:tcW w:w="514" w:type="pct"/>
            <w:tcBorders>
              <w:top w:val="nil"/>
              <w:left w:val="nil"/>
              <w:bottom w:val="nil"/>
              <w:right w:val="nil"/>
            </w:tcBorders>
            <w:shd w:val="clear" w:color="auto" w:fill="auto"/>
            <w:noWrap/>
            <w:vAlign w:val="bottom"/>
            <w:hideMark/>
          </w:tcPr>
          <w:p w14:paraId="37B06A98" w14:textId="45C47F60" w:rsidR="00F26E30" w:rsidRPr="00B362E9" w:rsidRDefault="00F26E30" w:rsidP="00F26E30">
            <w:pPr>
              <w:rPr>
                <w:rFonts w:ascii="Cambria" w:hAnsi="Cambria" w:cs="Arial"/>
                <w:color w:val="000000"/>
                <w:sz w:val="16"/>
                <w:szCs w:val="16"/>
              </w:rPr>
            </w:pPr>
            <w:r>
              <w:rPr>
                <w:rFonts w:ascii="Cambria" w:hAnsi="Cambria"/>
                <w:color w:val="000000"/>
                <w:sz w:val="16"/>
              </w:rPr>
              <w:t xml:space="preserve">         49 118 </w:t>
            </w:r>
          </w:p>
        </w:tc>
        <w:tc>
          <w:tcPr>
            <w:tcW w:w="576" w:type="pct"/>
            <w:tcBorders>
              <w:top w:val="nil"/>
              <w:left w:val="nil"/>
              <w:bottom w:val="nil"/>
              <w:right w:val="nil"/>
            </w:tcBorders>
            <w:shd w:val="clear" w:color="auto" w:fill="auto"/>
            <w:noWrap/>
            <w:vAlign w:val="bottom"/>
            <w:hideMark/>
          </w:tcPr>
          <w:p w14:paraId="05F611AE" w14:textId="1B6CA538" w:rsidR="00F26E30" w:rsidRPr="00B362E9" w:rsidRDefault="00F26E30" w:rsidP="00F26E30">
            <w:pPr>
              <w:rPr>
                <w:rFonts w:ascii="Cambria" w:hAnsi="Cambria" w:cs="Arial"/>
                <w:color w:val="000000"/>
                <w:sz w:val="16"/>
                <w:szCs w:val="16"/>
              </w:rPr>
            </w:pPr>
            <w:r>
              <w:rPr>
                <w:rFonts w:ascii="Cambria" w:hAnsi="Cambria"/>
                <w:color w:val="000000"/>
                <w:sz w:val="16"/>
              </w:rPr>
              <w:t xml:space="preserve">          850 000 </w:t>
            </w:r>
          </w:p>
        </w:tc>
      </w:tr>
      <w:tr w:rsidR="00F26E30" w:rsidRPr="00B362E9" w14:paraId="753E3F90" w14:textId="77777777" w:rsidTr="00B362E9">
        <w:trPr>
          <w:trHeight w:val="240"/>
        </w:trPr>
        <w:tc>
          <w:tcPr>
            <w:tcW w:w="1313" w:type="pct"/>
            <w:tcBorders>
              <w:top w:val="nil"/>
              <w:left w:val="nil"/>
              <w:bottom w:val="nil"/>
              <w:right w:val="nil"/>
            </w:tcBorders>
            <w:shd w:val="clear" w:color="auto" w:fill="auto"/>
            <w:noWrap/>
            <w:vAlign w:val="bottom"/>
            <w:hideMark/>
          </w:tcPr>
          <w:p w14:paraId="3F593005" w14:textId="77777777" w:rsidR="00F26E30" w:rsidRPr="00B362E9" w:rsidRDefault="00F26E30" w:rsidP="00F26E30">
            <w:pPr>
              <w:rPr>
                <w:rFonts w:ascii="Cambria" w:hAnsi="Cambria" w:cs="Arial"/>
                <w:color w:val="000000"/>
                <w:sz w:val="16"/>
                <w:szCs w:val="16"/>
              </w:rPr>
            </w:pPr>
            <w:r>
              <w:rPr>
                <w:rFonts w:ascii="Cambria" w:hAnsi="Cambria"/>
                <w:color w:val="000000"/>
                <w:sz w:val="16"/>
              </w:rPr>
              <w:t>Prêt BPB2</w:t>
            </w:r>
          </w:p>
        </w:tc>
        <w:tc>
          <w:tcPr>
            <w:tcW w:w="558" w:type="pct"/>
            <w:tcBorders>
              <w:top w:val="nil"/>
              <w:left w:val="nil"/>
              <w:bottom w:val="nil"/>
              <w:right w:val="nil"/>
            </w:tcBorders>
            <w:shd w:val="clear" w:color="auto" w:fill="auto"/>
            <w:noWrap/>
            <w:vAlign w:val="bottom"/>
            <w:hideMark/>
          </w:tcPr>
          <w:p w14:paraId="5B93F3DA" w14:textId="70E1BDF8" w:rsidR="00F26E30" w:rsidRPr="00B362E9" w:rsidRDefault="00F26E30" w:rsidP="00F26E30">
            <w:pPr>
              <w:rPr>
                <w:rFonts w:ascii="Cambria" w:hAnsi="Cambria" w:cs="Arial"/>
                <w:color w:val="000000"/>
                <w:sz w:val="16"/>
                <w:szCs w:val="16"/>
              </w:rPr>
            </w:pPr>
            <w:r>
              <w:rPr>
                <w:rFonts w:ascii="Cambria" w:hAnsi="Cambria"/>
                <w:color w:val="000000"/>
                <w:sz w:val="16"/>
              </w:rPr>
              <w:t xml:space="preserve">            89 770 </w:t>
            </w:r>
          </w:p>
        </w:tc>
        <w:tc>
          <w:tcPr>
            <w:tcW w:w="509" w:type="pct"/>
            <w:tcBorders>
              <w:top w:val="nil"/>
              <w:left w:val="nil"/>
              <w:bottom w:val="nil"/>
              <w:right w:val="nil"/>
            </w:tcBorders>
            <w:shd w:val="clear" w:color="auto" w:fill="auto"/>
            <w:noWrap/>
            <w:vAlign w:val="bottom"/>
            <w:hideMark/>
          </w:tcPr>
          <w:p w14:paraId="55FEC956" w14:textId="3A34694A" w:rsidR="00F26E30" w:rsidRPr="00B362E9" w:rsidRDefault="00F26E30" w:rsidP="00F26E30">
            <w:pPr>
              <w:rPr>
                <w:rFonts w:ascii="Cambria" w:hAnsi="Cambria" w:cs="Arial"/>
                <w:color w:val="000000"/>
                <w:sz w:val="16"/>
                <w:szCs w:val="16"/>
              </w:rPr>
            </w:pPr>
            <w:r>
              <w:rPr>
                <w:rFonts w:ascii="Cambria" w:hAnsi="Cambria"/>
                <w:color w:val="000000"/>
                <w:sz w:val="16"/>
              </w:rPr>
              <w:t xml:space="preserve">       154 904 </w:t>
            </w:r>
          </w:p>
        </w:tc>
        <w:tc>
          <w:tcPr>
            <w:tcW w:w="509" w:type="pct"/>
            <w:tcBorders>
              <w:top w:val="nil"/>
              <w:left w:val="nil"/>
              <w:bottom w:val="nil"/>
              <w:right w:val="nil"/>
            </w:tcBorders>
            <w:shd w:val="clear" w:color="auto" w:fill="auto"/>
            <w:noWrap/>
            <w:vAlign w:val="bottom"/>
            <w:hideMark/>
          </w:tcPr>
          <w:p w14:paraId="2A7ECB99" w14:textId="3BA4D1B3" w:rsidR="00F26E30" w:rsidRPr="00B362E9" w:rsidRDefault="00F26E30" w:rsidP="00F26E30">
            <w:pPr>
              <w:rPr>
                <w:rFonts w:ascii="Cambria" w:hAnsi="Cambria" w:cs="Arial"/>
                <w:color w:val="000000"/>
                <w:sz w:val="16"/>
                <w:szCs w:val="16"/>
              </w:rPr>
            </w:pPr>
            <w:r>
              <w:rPr>
                <w:rFonts w:ascii="Cambria" w:hAnsi="Cambria"/>
                <w:color w:val="000000"/>
                <w:sz w:val="16"/>
              </w:rPr>
              <w:t xml:space="preserve">       157 637 </w:t>
            </w:r>
          </w:p>
        </w:tc>
        <w:tc>
          <w:tcPr>
            <w:tcW w:w="509" w:type="pct"/>
            <w:tcBorders>
              <w:top w:val="nil"/>
              <w:left w:val="nil"/>
              <w:bottom w:val="nil"/>
              <w:right w:val="nil"/>
            </w:tcBorders>
            <w:shd w:val="clear" w:color="auto" w:fill="auto"/>
            <w:noWrap/>
            <w:vAlign w:val="bottom"/>
            <w:hideMark/>
          </w:tcPr>
          <w:p w14:paraId="5D5580E0" w14:textId="4CCF1717" w:rsidR="00F26E30" w:rsidRPr="00B362E9" w:rsidRDefault="00F26E30" w:rsidP="00F26E30">
            <w:pPr>
              <w:rPr>
                <w:rFonts w:ascii="Cambria" w:hAnsi="Cambria" w:cs="Arial"/>
                <w:color w:val="000000"/>
                <w:sz w:val="16"/>
                <w:szCs w:val="16"/>
              </w:rPr>
            </w:pPr>
            <w:r>
              <w:rPr>
                <w:rFonts w:ascii="Cambria" w:hAnsi="Cambria"/>
                <w:color w:val="000000"/>
                <w:sz w:val="16"/>
              </w:rPr>
              <w:t xml:space="preserve">       160 418 </w:t>
            </w:r>
          </w:p>
        </w:tc>
        <w:tc>
          <w:tcPr>
            <w:tcW w:w="514" w:type="pct"/>
            <w:tcBorders>
              <w:top w:val="nil"/>
              <w:left w:val="nil"/>
              <w:bottom w:val="nil"/>
              <w:right w:val="nil"/>
            </w:tcBorders>
            <w:shd w:val="clear" w:color="auto" w:fill="auto"/>
            <w:noWrap/>
            <w:vAlign w:val="bottom"/>
            <w:hideMark/>
          </w:tcPr>
          <w:p w14:paraId="343DF87A" w14:textId="35802A7C" w:rsidR="00F26E30" w:rsidRPr="00B362E9" w:rsidRDefault="00F26E30" w:rsidP="00F26E30">
            <w:pPr>
              <w:rPr>
                <w:rFonts w:ascii="Cambria" w:hAnsi="Cambria" w:cs="Arial"/>
                <w:color w:val="000000"/>
                <w:sz w:val="16"/>
                <w:szCs w:val="16"/>
              </w:rPr>
            </w:pPr>
            <w:r>
              <w:rPr>
                <w:rFonts w:ascii="Cambria" w:hAnsi="Cambria"/>
                <w:color w:val="000000"/>
                <w:sz w:val="16"/>
              </w:rPr>
              <w:t xml:space="preserve">       163 248 </w:t>
            </w:r>
          </w:p>
        </w:tc>
        <w:tc>
          <w:tcPr>
            <w:tcW w:w="514" w:type="pct"/>
            <w:tcBorders>
              <w:top w:val="nil"/>
              <w:left w:val="nil"/>
              <w:bottom w:val="nil"/>
              <w:right w:val="nil"/>
            </w:tcBorders>
            <w:shd w:val="clear" w:color="auto" w:fill="auto"/>
            <w:noWrap/>
            <w:vAlign w:val="bottom"/>
            <w:hideMark/>
          </w:tcPr>
          <w:p w14:paraId="487237C3" w14:textId="167CA70B" w:rsidR="00F26E30" w:rsidRPr="00B362E9" w:rsidRDefault="00F26E30" w:rsidP="00F26E30">
            <w:pPr>
              <w:rPr>
                <w:rFonts w:ascii="Cambria" w:hAnsi="Cambria" w:cs="Arial"/>
                <w:color w:val="000000"/>
                <w:sz w:val="16"/>
                <w:szCs w:val="16"/>
              </w:rPr>
            </w:pPr>
            <w:r>
              <w:rPr>
                <w:rFonts w:ascii="Cambria" w:hAnsi="Cambria"/>
                <w:color w:val="000000"/>
                <w:sz w:val="16"/>
              </w:rPr>
              <w:t xml:space="preserve">         74 022 </w:t>
            </w:r>
          </w:p>
        </w:tc>
        <w:tc>
          <w:tcPr>
            <w:tcW w:w="576" w:type="pct"/>
            <w:tcBorders>
              <w:top w:val="nil"/>
              <w:left w:val="nil"/>
              <w:bottom w:val="nil"/>
              <w:right w:val="nil"/>
            </w:tcBorders>
            <w:shd w:val="clear" w:color="auto" w:fill="auto"/>
            <w:noWrap/>
            <w:vAlign w:val="bottom"/>
            <w:hideMark/>
          </w:tcPr>
          <w:p w14:paraId="60D20CB4" w14:textId="5CF6D69D" w:rsidR="00F26E30" w:rsidRPr="00B362E9" w:rsidRDefault="00F26E30" w:rsidP="00F26E30">
            <w:pPr>
              <w:rPr>
                <w:rFonts w:ascii="Cambria" w:hAnsi="Cambria" w:cs="Arial"/>
                <w:color w:val="000000"/>
                <w:sz w:val="16"/>
                <w:szCs w:val="16"/>
              </w:rPr>
            </w:pPr>
            <w:r>
              <w:rPr>
                <w:rFonts w:ascii="Cambria" w:hAnsi="Cambria"/>
                <w:color w:val="000000"/>
                <w:sz w:val="16"/>
              </w:rPr>
              <w:t xml:space="preserve">          800 000 </w:t>
            </w:r>
          </w:p>
        </w:tc>
      </w:tr>
      <w:tr w:rsidR="00F26E30" w:rsidRPr="00B362E9" w14:paraId="74904C47" w14:textId="77777777" w:rsidTr="00B362E9">
        <w:trPr>
          <w:trHeight w:val="240"/>
        </w:trPr>
        <w:tc>
          <w:tcPr>
            <w:tcW w:w="1313" w:type="pct"/>
            <w:tcBorders>
              <w:top w:val="nil"/>
              <w:left w:val="nil"/>
              <w:bottom w:val="nil"/>
              <w:right w:val="nil"/>
            </w:tcBorders>
            <w:shd w:val="clear" w:color="auto" w:fill="auto"/>
            <w:noWrap/>
            <w:vAlign w:val="bottom"/>
            <w:hideMark/>
          </w:tcPr>
          <w:p w14:paraId="70195FE9" w14:textId="77777777" w:rsidR="00F26E30" w:rsidRPr="00B362E9" w:rsidRDefault="00F26E30" w:rsidP="00F26E30">
            <w:pPr>
              <w:rPr>
                <w:rFonts w:ascii="Cambria" w:hAnsi="Cambria" w:cs="Arial"/>
                <w:color w:val="000000"/>
                <w:sz w:val="16"/>
                <w:szCs w:val="16"/>
              </w:rPr>
            </w:pPr>
            <w:r>
              <w:rPr>
                <w:rFonts w:ascii="Cambria" w:hAnsi="Cambria"/>
                <w:color w:val="000000"/>
                <w:sz w:val="16"/>
              </w:rPr>
              <w:t>Prêt de la BDF</w:t>
            </w:r>
          </w:p>
        </w:tc>
        <w:tc>
          <w:tcPr>
            <w:tcW w:w="558" w:type="pct"/>
            <w:tcBorders>
              <w:top w:val="nil"/>
              <w:left w:val="nil"/>
              <w:bottom w:val="nil"/>
              <w:right w:val="nil"/>
            </w:tcBorders>
            <w:shd w:val="clear" w:color="auto" w:fill="auto"/>
            <w:noWrap/>
            <w:vAlign w:val="bottom"/>
            <w:hideMark/>
          </w:tcPr>
          <w:p w14:paraId="18815D5E" w14:textId="430696D0" w:rsidR="00F26E30" w:rsidRPr="00B362E9" w:rsidRDefault="00F26E30" w:rsidP="00F26E30">
            <w:pPr>
              <w:rPr>
                <w:rFonts w:ascii="Cambria" w:hAnsi="Cambria" w:cs="Arial"/>
                <w:color w:val="000000"/>
                <w:sz w:val="16"/>
                <w:szCs w:val="16"/>
              </w:rPr>
            </w:pPr>
            <w:r>
              <w:rPr>
                <w:rFonts w:ascii="Cambria" w:hAnsi="Cambria"/>
                <w:color w:val="000000"/>
                <w:sz w:val="16"/>
              </w:rPr>
              <w:t xml:space="preserve">         144 524 </w:t>
            </w:r>
          </w:p>
        </w:tc>
        <w:tc>
          <w:tcPr>
            <w:tcW w:w="509" w:type="pct"/>
            <w:tcBorders>
              <w:top w:val="nil"/>
              <w:left w:val="nil"/>
              <w:bottom w:val="nil"/>
              <w:right w:val="nil"/>
            </w:tcBorders>
            <w:shd w:val="clear" w:color="auto" w:fill="auto"/>
            <w:noWrap/>
            <w:vAlign w:val="bottom"/>
            <w:hideMark/>
          </w:tcPr>
          <w:p w14:paraId="35E78C08" w14:textId="68D90290" w:rsidR="00F26E30" w:rsidRPr="00B362E9" w:rsidRDefault="00F26E30" w:rsidP="00F26E30">
            <w:pPr>
              <w:rPr>
                <w:rFonts w:ascii="Cambria" w:hAnsi="Cambria" w:cs="Arial"/>
                <w:color w:val="000000"/>
                <w:sz w:val="16"/>
                <w:szCs w:val="16"/>
              </w:rPr>
            </w:pPr>
            <w:r>
              <w:rPr>
                <w:rFonts w:ascii="Cambria" w:hAnsi="Cambria"/>
                <w:color w:val="000000"/>
                <w:sz w:val="16"/>
              </w:rPr>
              <w:t xml:space="preserve">       161 462 </w:t>
            </w:r>
          </w:p>
        </w:tc>
        <w:tc>
          <w:tcPr>
            <w:tcW w:w="509" w:type="pct"/>
            <w:tcBorders>
              <w:top w:val="nil"/>
              <w:left w:val="nil"/>
              <w:bottom w:val="nil"/>
              <w:right w:val="nil"/>
            </w:tcBorders>
            <w:shd w:val="clear" w:color="auto" w:fill="auto"/>
            <w:noWrap/>
            <w:vAlign w:val="bottom"/>
            <w:hideMark/>
          </w:tcPr>
          <w:p w14:paraId="0EF3E12E" w14:textId="1DBEC410" w:rsidR="00F26E30" w:rsidRPr="00B362E9" w:rsidRDefault="00F26E30" w:rsidP="00F26E30">
            <w:pPr>
              <w:rPr>
                <w:rFonts w:ascii="Cambria" w:hAnsi="Cambria" w:cs="Arial"/>
                <w:color w:val="000000"/>
                <w:sz w:val="16"/>
                <w:szCs w:val="16"/>
              </w:rPr>
            </w:pPr>
            <w:r>
              <w:rPr>
                <w:rFonts w:ascii="Cambria" w:hAnsi="Cambria"/>
                <w:color w:val="000000"/>
                <w:sz w:val="16"/>
              </w:rPr>
              <w:t xml:space="preserve">       165 305 </w:t>
            </w:r>
          </w:p>
        </w:tc>
        <w:tc>
          <w:tcPr>
            <w:tcW w:w="509" w:type="pct"/>
            <w:tcBorders>
              <w:top w:val="nil"/>
              <w:left w:val="nil"/>
              <w:bottom w:val="nil"/>
              <w:right w:val="nil"/>
            </w:tcBorders>
            <w:shd w:val="clear" w:color="auto" w:fill="auto"/>
            <w:noWrap/>
            <w:vAlign w:val="bottom"/>
            <w:hideMark/>
          </w:tcPr>
          <w:p w14:paraId="3D12661F" w14:textId="1A8C6425" w:rsidR="00F26E30" w:rsidRPr="00B362E9" w:rsidRDefault="00F26E30" w:rsidP="00F26E30">
            <w:pPr>
              <w:rPr>
                <w:rFonts w:ascii="Cambria" w:hAnsi="Cambria" w:cs="Arial"/>
                <w:color w:val="000000"/>
                <w:sz w:val="16"/>
                <w:szCs w:val="16"/>
              </w:rPr>
            </w:pPr>
            <w:r>
              <w:rPr>
                <w:rFonts w:ascii="Cambria" w:hAnsi="Cambria"/>
                <w:color w:val="000000"/>
                <w:sz w:val="16"/>
              </w:rPr>
              <w:t xml:space="preserve">       169 241 </w:t>
            </w:r>
          </w:p>
        </w:tc>
        <w:tc>
          <w:tcPr>
            <w:tcW w:w="514" w:type="pct"/>
            <w:tcBorders>
              <w:top w:val="nil"/>
              <w:left w:val="nil"/>
              <w:bottom w:val="nil"/>
              <w:right w:val="nil"/>
            </w:tcBorders>
            <w:shd w:val="clear" w:color="auto" w:fill="auto"/>
            <w:noWrap/>
            <w:vAlign w:val="bottom"/>
            <w:hideMark/>
          </w:tcPr>
          <w:p w14:paraId="05E486E3" w14:textId="40DC49FE" w:rsidR="00F26E30" w:rsidRPr="00B362E9" w:rsidRDefault="00F26E30" w:rsidP="00F26E30">
            <w:pPr>
              <w:rPr>
                <w:rFonts w:ascii="Cambria" w:hAnsi="Cambria" w:cs="Arial"/>
                <w:color w:val="000000"/>
                <w:sz w:val="16"/>
                <w:szCs w:val="16"/>
              </w:rPr>
            </w:pPr>
            <w:r>
              <w:rPr>
                <w:rFonts w:ascii="Cambria" w:hAnsi="Cambria"/>
                <w:color w:val="000000"/>
                <w:sz w:val="16"/>
              </w:rPr>
              <w:t xml:space="preserve">       173 269 </w:t>
            </w:r>
          </w:p>
        </w:tc>
        <w:tc>
          <w:tcPr>
            <w:tcW w:w="514" w:type="pct"/>
            <w:tcBorders>
              <w:top w:val="nil"/>
              <w:left w:val="nil"/>
              <w:bottom w:val="nil"/>
              <w:right w:val="nil"/>
            </w:tcBorders>
            <w:shd w:val="clear" w:color="auto" w:fill="auto"/>
            <w:noWrap/>
            <w:vAlign w:val="bottom"/>
            <w:hideMark/>
          </w:tcPr>
          <w:p w14:paraId="2B175ADA" w14:textId="0E18A063" w:rsidR="00F26E30" w:rsidRPr="00B362E9" w:rsidRDefault="00F26E30" w:rsidP="00F26E30">
            <w:pPr>
              <w:rPr>
                <w:rFonts w:ascii="Cambria" w:hAnsi="Cambria" w:cs="Arial"/>
                <w:color w:val="000000"/>
                <w:sz w:val="16"/>
                <w:szCs w:val="16"/>
              </w:rPr>
            </w:pPr>
            <w:r>
              <w:rPr>
                <w:rFonts w:ascii="Cambria" w:hAnsi="Cambria"/>
                <w:color w:val="000000"/>
                <w:sz w:val="16"/>
              </w:rPr>
              <w:t xml:space="preserve">         83 475 </w:t>
            </w:r>
          </w:p>
        </w:tc>
        <w:tc>
          <w:tcPr>
            <w:tcW w:w="576" w:type="pct"/>
            <w:tcBorders>
              <w:top w:val="nil"/>
              <w:left w:val="nil"/>
              <w:bottom w:val="nil"/>
              <w:right w:val="nil"/>
            </w:tcBorders>
            <w:shd w:val="clear" w:color="auto" w:fill="auto"/>
            <w:noWrap/>
            <w:vAlign w:val="bottom"/>
            <w:hideMark/>
          </w:tcPr>
          <w:p w14:paraId="3A05335D" w14:textId="2B1AD804" w:rsidR="00F26E30" w:rsidRPr="00B362E9" w:rsidRDefault="00F26E30" w:rsidP="00F26E30">
            <w:pPr>
              <w:rPr>
                <w:rFonts w:ascii="Cambria" w:hAnsi="Cambria" w:cs="Arial"/>
                <w:color w:val="000000"/>
                <w:sz w:val="16"/>
                <w:szCs w:val="16"/>
              </w:rPr>
            </w:pPr>
            <w:r>
              <w:rPr>
                <w:rFonts w:ascii="Cambria" w:hAnsi="Cambria"/>
                <w:color w:val="000000"/>
                <w:sz w:val="16"/>
              </w:rPr>
              <w:t xml:space="preserve">          897 276 </w:t>
            </w:r>
          </w:p>
        </w:tc>
      </w:tr>
      <w:tr w:rsidR="00F26E30" w:rsidRPr="00B362E9" w14:paraId="37885F3A" w14:textId="77777777" w:rsidTr="00B362E9">
        <w:trPr>
          <w:trHeight w:val="240"/>
        </w:trPr>
        <w:tc>
          <w:tcPr>
            <w:tcW w:w="1313" w:type="pct"/>
            <w:tcBorders>
              <w:top w:val="nil"/>
              <w:left w:val="nil"/>
              <w:bottom w:val="nil"/>
              <w:right w:val="nil"/>
            </w:tcBorders>
            <w:shd w:val="clear" w:color="auto" w:fill="auto"/>
            <w:noWrap/>
            <w:vAlign w:val="bottom"/>
            <w:hideMark/>
          </w:tcPr>
          <w:p w14:paraId="5ECB234C" w14:textId="77777777" w:rsidR="00F26E30" w:rsidRPr="00B362E9" w:rsidRDefault="00F26E30" w:rsidP="00F26E30">
            <w:pPr>
              <w:rPr>
                <w:rFonts w:ascii="Cambria" w:hAnsi="Cambria" w:cs="Arial"/>
                <w:color w:val="000000"/>
                <w:sz w:val="16"/>
                <w:szCs w:val="16"/>
              </w:rPr>
            </w:pPr>
            <w:r>
              <w:rPr>
                <w:rFonts w:ascii="Cambria" w:hAnsi="Cambria"/>
                <w:color w:val="000000"/>
                <w:sz w:val="16"/>
              </w:rPr>
              <w:t xml:space="preserve">Prêt de la </w:t>
            </w:r>
            <w:proofErr w:type="spellStart"/>
            <w:r>
              <w:rPr>
                <w:rFonts w:ascii="Cambria" w:hAnsi="Cambria"/>
                <w:color w:val="000000"/>
                <w:sz w:val="16"/>
              </w:rPr>
              <w:t>Sanpaolo</w:t>
            </w:r>
            <w:proofErr w:type="spellEnd"/>
            <w:r>
              <w:rPr>
                <w:rFonts w:ascii="Cambria" w:hAnsi="Cambria"/>
                <w:color w:val="000000"/>
                <w:sz w:val="16"/>
              </w:rPr>
              <w:t xml:space="preserve"> 3</w:t>
            </w:r>
          </w:p>
        </w:tc>
        <w:tc>
          <w:tcPr>
            <w:tcW w:w="558" w:type="pct"/>
            <w:tcBorders>
              <w:top w:val="nil"/>
              <w:left w:val="nil"/>
              <w:bottom w:val="nil"/>
              <w:right w:val="nil"/>
            </w:tcBorders>
            <w:shd w:val="clear" w:color="auto" w:fill="auto"/>
            <w:noWrap/>
            <w:vAlign w:val="bottom"/>
            <w:hideMark/>
          </w:tcPr>
          <w:p w14:paraId="3215FCD7" w14:textId="3D4E084D" w:rsidR="00F26E30" w:rsidRPr="00B362E9" w:rsidRDefault="00F26E30" w:rsidP="00F26E30">
            <w:pPr>
              <w:rPr>
                <w:rFonts w:ascii="Cambria" w:hAnsi="Cambria" w:cs="Arial"/>
                <w:color w:val="000000"/>
                <w:sz w:val="16"/>
                <w:szCs w:val="16"/>
              </w:rPr>
            </w:pPr>
            <w:r>
              <w:rPr>
                <w:rFonts w:ascii="Cambria" w:hAnsi="Cambria"/>
                <w:color w:val="000000"/>
                <w:sz w:val="16"/>
              </w:rPr>
              <w:t xml:space="preserve">            30 963 </w:t>
            </w:r>
          </w:p>
        </w:tc>
        <w:tc>
          <w:tcPr>
            <w:tcW w:w="509" w:type="pct"/>
            <w:tcBorders>
              <w:top w:val="nil"/>
              <w:left w:val="nil"/>
              <w:bottom w:val="nil"/>
              <w:right w:val="nil"/>
            </w:tcBorders>
            <w:shd w:val="clear" w:color="auto" w:fill="auto"/>
            <w:noWrap/>
            <w:vAlign w:val="bottom"/>
            <w:hideMark/>
          </w:tcPr>
          <w:p w14:paraId="1091A2F8" w14:textId="475682B3" w:rsidR="00F26E30" w:rsidRPr="00B362E9" w:rsidRDefault="00F26E30" w:rsidP="00F26E30">
            <w:pPr>
              <w:rPr>
                <w:rFonts w:ascii="Cambria" w:hAnsi="Cambria" w:cs="Arial"/>
                <w:color w:val="000000"/>
                <w:sz w:val="16"/>
                <w:szCs w:val="16"/>
              </w:rPr>
            </w:pPr>
            <w:r>
              <w:rPr>
                <w:rFonts w:ascii="Cambria" w:hAnsi="Cambria"/>
                <w:color w:val="000000"/>
                <w:sz w:val="16"/>
              </w:rPr>
              <w:t> </w:t>
            </w:r>
          </w:p>
        </w:tc>
        <w:tc>
          <w:tcPr>
            <w:tcW w:w="509" w:type="pct"/>
            <w:tcBorders>
              <w:top w:val="nil"/>
              <w:left w:val="nil"/>
              <w:bottom w:val="nil"/>
              <w:right w:val="nil"/>
            </w:tcBorders>
            <w:shd w:val="clear" w:color="auto" w:fill="auto"/>
            <w:noWrap/>
            <w:vAlign w:val="bottom"/>
            <w:hideMark/>
          </w:tcPr>
          <w:p w14:paraId="3E25B5EC" w14:textId="3D168C86" w:rsidR="00F26E30" w:rsidRPr="00B362E9" w:rsidRDefault="00F26E30" w:rsidP="00F26E30">
            <w:pPr>
              <w:rPr>
                <w:rFonts w:ascii="Cambria" w:hAnsi="Cambria" w:cs="Arial"/>
                <w:color w:val="000000"/>
                <w:sz w:val="16"/>
                <w:szCs w:val="16"/>
              </w:rPr>
            </w:pPr>
            <w:r>
              <w:rPr>
                <w:rFonts w:ascii="Cambria" w:hAnsi="Cambria"/>
                <w:color w:val="000000"/>
                <w:sz w:val="16"/>
              </w:rPr>
              <w:t> </w:t>
            </w:r>
          </w:p>
        </w:tc>
        <w:tc>
          <w:tcPr>
            <w:tcW w:w="509" w:type="pct"/>
            <w:tcBorders>
              <w:top w:val="nil"/>
              <w:left w:val="nil"/>
              <w:bottom w:val="nil"/>
              <w:right w:val="nil"/>
            </w:tcBorders>
            <w:shd w:val="clear" w:color="auto" w:fill="auto"/>
            <w:noWrap/>
            <w:vAlign w:val="bottom"/>
            <w:hideMark/>
          </w:tcPr>
          <w:p w14:paraId="47C0F08E" w14:textId="6AC2D33E" w:rsidR="00F26E30" w:rsidRPr="00B362E9" w:rsidRDefault="00F26E30" w:rsidP="00F26E30">
            <w:pPr>
              <w:rPr>
                <w:rFonts w:ascii="Cambria" w:hAnsi="Cambria" w:cs="Arial"/>
                <w:color w:val="000000"/>
                <w:sz w:val="16"/>
                <w:szCs w:val="16"/>
              </w:rPr>
            </w:pPr>
            <w:r>
              <w:rPr>
                <w:rFonts w:ascii="Cambria" w:hAnsi="Cambria"/>
                <w:color w:val="000000"/>
                <w:sz w:val="16"/>
              </w:rPr>
              <w:t> </w:t>
            </w:r>
          </w:p>
        </w:tc>
        <w:tc>
          <w:tcPr>
            <w:tcW w:w="514" w:type="pct"/>
            <w:tcBorders>
              <w:top w:val="nil"/>
              <w:left w:val="nil"/>
              <w:bottom w:val="nil"/>
              <w:right w:val="nil"/>
            </w:tcBorders>
            <w:shd w:val="clear" w:color="auto" w:fill="auto"/>
            <w:noWrap/>
            <w:vAlign w:val="bottom"/>
            <w:hideMark/>
          </w:tcPr>
          <w:p w14:paraId="4FD95EE9" w14:textId="5580CF50" w:rsidR="00F26E30" w:rsidRPr="00B362E9" w:rsidRDefault="00F26E30" w:rsidP="00F26E30">
            <w:pPr>
              <w:rPr>
                <w:rFonts w:ascii="Cambria" w:hAnsi="Cambria" w:cs="Arial"/>
                <w:color w:val="000000"/>
                <w:sz w:val="16"/>
                <w:szCs w:val="16"/>
              </w:rPr>
            </w:pPr>
            <w:r>
              <w:rPr>
                <w:rFonts w:ascii="Cambria" w:hAnsi="Cambria"/>
                <w:color w:val="000000"/>
                <w:sz w:val="16"/>
              </w:rPr>
              <w:t> </w:t>
            </w:r>
          </w:p>
        </w:tc>
        <w:tc>
          <w:tcPr>
            <w:tcW w:w="514" w:type="pct"/>
            <w:tcBorders>
              <w:top w:val="nil"/>
              <w:left w:val="nil"/>
              <w:bottom w:val="nil"/>
              <w:right w:val="nil"/>
            </w:tcBorders>
            <w:shd w:val="clear" w:color="auto" w:fill="auto"/>
            <w:noWrap/>
            <w:vAlign w:val="bottom"/>
            <w:hideMark/>
          </w:tcPr>
          <w:p w14:paraId="611AFCFD" w14:textId="4FE5E978" w:rsidR="00F26E30" w:rsidRPr="00B362E9" w:rsidRDefault="00F26E30" w:rsidP="00F26E30">
            <w:pPr>
              <w:rPr>
                <w:rFonts w:ascii="Cambria" w:hAnsi="Cambria" w:cs="Arial"/>
                <w:color w:val="000000"/>
                <w:sz w:val="16"/>
                <w:szCs w:val="16"/>
              </w:rPr>
            </w:pPr>
            <w:r>
              <w:rPr>
                <w:rFonts w:ascii="Cambria" w:hAnsi="Cambria"/>
                <w:color w:val="000000"/>
                <w:sz w:val="16"/>
              </w:rPr>
              <w:t> </w:t>
            </w:r>
          </w:p>
        </w:tc>
        <w:tc>
          <w:tcPr>
            <w:tcW w:w="576" w:type="pct"/>
            <w:tcBorders>
              <w:top w:val="nil"/>
              <w:left w:val="nil"/>
              <w:bottom w:val="nil"/>
              <w:right w:val="nil"/>
            </w:tcBorders>
            <w:shd w:val="clear" w:color="auto" w:fill="auto"/>
            <w:noWrap/>
            <w:vAlign w:val="bottom"/>
            <w:hideMark/>
          </w:tcPr>
          <w:p w14:paraId="636868C6" w14:textId="5707D68C" w:rsidR="00F26E30" w:rsidRPr="00B362E9" w:rsidRDefault="00F26E30" w:rsidP="00F26E30">
            <w:pPr>
              <w:rPr>
                <w:rFonts w:ascii="Cambria" w:hAnsi="Cambria" w:cs="Arial"/>
                <w:color w:val="000000"/>
                <w:sz w:val="16"/>
                <w:szCs w:val="16"/>
              </w:rPr>
            </w:pPr>
            <w:r>
              <w:rPr>
                <w:rFonts w:ascii="Cambria" w:hAnsi="Cambria"/>
                <w:color w:val="000000"/>
                <w:sz w:val="16"/>
              </w:rPr>
              <w:t xml:space="preserve">            30 963 </w:t>
            </w:r>
          </w:p>
        </w:tc>
      </w:tr>
      <w:tr w:rsidR="00F26E30" w:rsidRPr="00B362E9" w14:paraId="651D60A3" w14:textId="77777777" w:rsidTr="00B362E9">
        <w:trPr>
          <w:trHeight w:val="240"/>
        </w:trPr>
        <w:tc>
          <w:tcPr>
            <w:tcW w:w="1313" w:type="pct"/>
            <w:tcBorders>
              <w:top w:val="nil"/>
              <w:left w:val="nil"/>
              <w:bottom w:val="nil"/>
              <w:right w:val="nil"/>
            </w:tcBorders>
            <w:shd w:val="clear" w:color="auto" w:fill="auto"/>
            <w:noWrap/>
            <w:vAlign w:val="bottom"/>
            <w:hideMark/>
          </w:tcPr>
          <w:p w14:paraId="05BA121C" w14:textId="77777777" w:rsidR="00F26E30" w:rsidRPr="00B362E9" w:rsidRDefault="00F26E30" w:rsidP="00F26E30">
            <w:pPr>
              <w:rPr>
                <w:rFonts w:ascii="Cambria" w:hAnsi="Cambria" w:cs="Arial"/>
                <w:color w:val="000000"/>
                <w:sz w:val="16"/>
                <w:szCs w:val="16"/>
              </w:rPr>
            </w:pPr>
            <w:proofErr w:type="spellStart"/>
            <w:r>
              <w:rPr>
                <w:rFonts w:ascii="Cambria" w:hAnsi="Cambria"/>
                <w:color w:val="000000"/>
                <w:sz w:val="16"/>
              </w:rPr>
              <w:t>Intesa</w:t>
            </w:r>
            <w:proofErr w:type="spellEnd"/>
            <w:r>
              <w:rPr>
                <w:rFonts w:ascii="Cambria" w:hAnsi="Cambria"/>
                <w:color w:val="000000"/>
                <w:sz w:val="16"/>
              </w:rPr>
              <w:t xml:space="preserve"> </w:t>
            </w:r>
            <w:proofErr w:type="spellStart"/>
            <w:r>
              <w:rPr>
                <w:rFonts w:ascii="Cambria" w:hAnsi="Cambria"/>
                <w:color w:val="000000"/>
                <w:sz w:val="16"/>
              </w:rPr>
              <w:t>Sanpaolo</w:t>
            </w:r>
            <w:proofErr w:type="spellEnd"/>
            <w:r>
              <w:rPr>
                <w:rFonts w:ascii="Cambria" w:hAnsi="Cambria"/>
                <w:color w:val="000000"/>
                <w:sz w:val="16"/>
              </w:rPr>
              <w:t xml:space="preserve"> spa </w:t>
            </w:r>
            <w:proofErr w:type="spellStart"/>
            <w:r>
              <w:rPr>
                <w:rFonts w:ascii="Cambria" w:hAnsi="Cambria"/>
                <w:color w:val="000000"/>
                <w:sz w:val="16"/>
              </w:rPr>
              <w:t>confirming</w:t>
            </w:r>
            <w:proofErr w:type="spellEnd"/>
          </w:p>
        </w:tc>
        <w:tc>
          <w:tcPr>
            <w:tcW w:w="558" w:type="pct"/>
            <w:tcBorders>
              <w:top w:val="nil"/>
              <w:left w:val="nil"/>
              <w:bottom w:val="nil"/>
              <w:right w:val="nil"/>
            </w:tcBorders>
            <w:shd w:val="clear" w:color="auto" w:fill="auto"/>
            <w:noWrap/>
            <w:vAlign w:val="bottom"/>
            <w:hideMark/>
          </w:tcPr>
          <w:p w14:paraId="4E556E13" w14:textId="484D3DD0" w:rsidR="00F26E30" w:rsidRPr="00B362E9" w:rsidRDefault="00F26E30" w:rsidP="00F26E30">
            <w:pPr>
              <w:rPr>
                <w:rFonts w:ascii="Cambria" w:hAnsi="Cambria" w:cs="Arial"/>
                <w:color w:val="000000"/>
                <w:sz w:val="16"/>
                <w:szCs w:val="16"/>
              </w:rPr>
            </w:pPr>
            <w:r>
              <w:rPr>
                <w:rFonts w:ascii="Cambria" w:hAnsi="Cambria"/>
                <w:color w:val="000000"/>
                <w:sz w:val="16"/>
              </w:rPr>
              <w:t xml:space="preserve">         651 470 </w:t>
            </w:r>
          </w:p>
        </w:tc>
        <w:tc>
          <w:tcPr>
            <w:tcW w:w="509" w:type="pct"/>
            <w:tcBorders>
              <w:top w:val="nil"/>
              <w:left w:val="nil"/>
              <w:bottom w:val="nil"/>
              <w:right w:val="nil"/>
            </w:tcBorders>
            <w:shd w:val="clear" w:color="auto" w:fill="auto"/>
            <w:noWrap/>
            <w:vAlign w:val="bottom"/>
            <w:hideMark/>
          </w:tcPr>
          <w:p w14:paraId="3E6CA7B1" w14:textId="52B95DBE"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09" w:type="pct"/>
            <w:tcBorders>
              <w:top w:val="nil"/>
              <w:left w:val="nil"/>
              <w:bottom w:val="nil"/>
              <w:right w:val="nil"/>
            </w:tcBorders>
            <w:shd w:val="clear" w:color="auto" w:fill="auto"/>
            <w:noWrap/>
            <w:vAlign w:val="bottom"/>
            <w:hideMark/>
          </w:tcPr>
          <w:p w14:paraId="696A1481" w14:textId="4B2E035B"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09" w:type="pct"/>
            <w:tcBorders>
              <w:top w:val="nil"/>
              <w:left w:val="nil"/>
              <w:bottom w:val="nil"/>
              <w:right w:val="nil"/>
            </w:tcBorders>
            <w:shd w:val="clear" w:color="auto" w:fill="auto"/>
            <w:noWrap/>
            <w:vAlign w:val="bottom"/>
            <w:hideMark/>
          </w:tcPr>
          <w:p w14:paraId="25A18596" w14:textId="1C7CC806"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14" w:type="pct"/>
            <w:tcBorders>
              <w:top w:val="nil"/>
              <w:left w:val="nil"/>
              <w:bottom w:val="nil"/>
              <w:right w:val="nil"/>
            </w:tcBorders>
            <w:shd w:val="clear" w:color="auto" w:fill="auto"/>
            <w:noWrap/>
            <w:vAlign w:val="bottom"/>
            <w:hideMark/>
          </w:tcPr>
          <w:p w14:paraId="408E9479" w14:textId="2DC329C9"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14" w:type="pct"/>
            <w:tcBorders>
              <w:top w:val="nil"/>
              <w:left w:val="nil"/>
              <w:bottom w:val="nil"/>
              <w:right w:val="nil"/>
            </w:tcBorders>
            <w:shd w:val="clear" w:color="auto" w:fill="auto"/>
            <w:noWrap/>
            <w:vAlign w:val="bottom"/>
            <w:hideMark/>
          </w:tcPr>
          <w:p w14:paraId="38E2BCA6" w14:textId="725CB225"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76" w:type="pct"/>
            <w:tcBorders>
              <w:top w:val="nil"/>
              <w:left w:val="nil"/>
              <w:bottom w:val="nil"/>
              <w:right w:val="nil"/>
            </w:tcBorders>
            <w:shd w:val="clear" w:color="auto" w:fill="auto"/>
            <w:noWrap/>
            <w:vAlign w:val="bottom"/>
            <w:hideMark/>
          </w:tcPr>
          <w:p w14:paraId="6D6C0C36" w14:textId="3ADAFF7F" w:rsidR="00F26E30" w:rsidRPr="00B362E9" w:rsidRDefault="00F26E30" w:rsidP="00F26E30">
            <w:pPr>
              <w:rPr>
                <w:rFonts w:ascii="Cambria" w:hAnsi="Cambria" w:cs="Arial"/>
                <w:color w:val="000000"/>
                <w:sz w:val="16"/>
                <w:szCs w:val="16"/>
              </w:rPr>
            </w:pPr>
            <w:r>
              <w:rPr>
                <w:rFonts w:ascii="Cambria" w:hAnsi="Cambria"/>
                <w:color w:val="000000"/>
                <w:sz w:val="16"/>
              </w:rPr>
              <w:t xml:space="preserve">          651 470 </w:t>
            </w:r>
          </w:p>
        </w:tc>
      </w:tr>
      <w:tr w:rsidR="00F26E30" w:rsidRPr="00B362E9" w14:paraId="63A74E82" w14:textId="77777777" w:rsidTr="00B362E9">
        <w:trPr>
          <w:trHeight w:val="240"/>
        </w:trPr>
        <w:tc>
          <w:tcPr>
            <w:tcW w:w="1313" w:type="pct"/>
            <w:tcBorders>
              <w:top w:val="nil"/>
              <w:left w:val="nil"/>
              <w:bottom w:val="nil"/>
              <w:right w:val="nil"/>
            </w:tcBorders>
            <w:shd w:val="clear" w:color="auto" w:fill="auto"/>
            <w:noWrap/>
            <w:vAlign w:val="bottom"/>
            <w:hideMark/>
          </w:tcPr>
          <w:p w14:paraId="33113225" w14:textId="77777777" w:rsidR="00F26E30" w:rsidRPr="00DC792B" w:rsidRDefault="00F26E30" w:rsidP="00F26E30">
            <w:pPr>
              <w:rPr>
                <w:rFonts w:ascii="Cambria" w:hAnsi="Cambria" w:cs="Arial"/>
                <w:color w:val="000000"/>
                <w:sz w:val="16"/>
                <w:szCs w:val="16"/>
                <w:lang w:val="it-IT"/>
              </w:rPr>
            </w:pPr>
            <w:r w:rsidRPr="00DC792B">
              <w:rPr>
                <w:rFonts w:ascii="Cambria" w:hAnsi="Cambria"/>
                <w:color w:val="000000"/>
                <w:sz w:val="16"/>
                <w:lang w:val="it-IT"/>
              </w:rPr>
              <w:t xml:space="preserve">Intesa Sanpaolo Spa import </w:t>
            </w:r>
            <w:proofErr w:type="spellStart"/>
            <w:r w:rsidRPr="00DC792B">
              <w:rPr>
                <w:rFonts w:ascii="Cambria" w:hAnsi="Cambria"/>
                <w:color w:val="000000"/>
                <w:sz w:val="16"/>
                <w:lang w:val="it-IT"/>
              </w:rPr>
              <w:t>finan</w:t>
            </w:r>
            <w:proofErr w:type="spellEnd"/>
            <w:r w:rsidRPr="00DC792B">
              <w:rPr>
                <w:rFonts w:ascii="Cambria" w:hAnsi="Cambria"/>
                <w:color w:val="000000"/>
                <w:sz w:val="16"/>
                <w:lang w:val="it-IT"/>
              </w:rPr>
              <w:t>.</w:t>
            </w:r>
          </w:p>
        </w:tc>
        <w:tc>
          <w:tcPr>
            <w:tcW w:w="558" w:type="pct"/>
            <w:tcBorders>
              <w:top w:val="nil"/>
              <w:left w:val="nil"/>
              <w:bottom w:val="nil"/>
              <w:right w:val="nil"/>
            </w:tcBorders>
            <w:shd w:val="clear" w:color="auto" w:fill="auto"/>
            <w:noWrap/>
            <w:vAlign w:val="bottom"/>
            <w:hideMark/>
          </w:tcPr>
          <w:p w14:paraId="35BD829E" w14:textId="579B8E65" w:rsidR="00F26E30" w:rsidRPr="00B362E9" w:rsidRDefault="00F26E30" w:rsidP="00F26E30">
            <w:pPr>
              <w:rPr>
                <w:rFonts w:ascii="Cambria" w:hAnsi="Cambria" w:cs="Arial"/>
                <w:color w:val="000000"/>
                <w:sz w:val="16"/>
                <w:szCs w:val="16"/>
              </w:rPr>
            </w:pPr>
            <w:r w:rsidRPr="00DC792B">
              <w:rPr>
                <w:rFonts w:ascii="Cambria" w:hAnsi="Cambria"/>
                <w:color w:val="000000"/>
                <w:sz w:val="16"/>
                <w:lang w:val="it-IT"/>
              </w:rPr>
              <w:t xml:space="preserve">         </w:t>
            </w:r>
            <w:r>
              <w:rPr>
                <w:rFonts w:ascii="Cambria" w:hAnsi="Cambria"/>
                <w:color w:val="000000"/>
                <w:sz w:val="16"/>
              </w:rPr>
              <w:t xml:space="preserve">506 346 </w:t>
            </w:r>
          </w:p>
        </w:tc>
        <w:tc>
          <w:tcPr>
            <w:tcW w:w="509" w:type="pct"/>
            <w:tcBorders>
              <w:top w:val="nil"/>
              <w:left w:val="nil"/>
              <w:bottom w:val="nil"/>
              <w:right w:val="nil"/>
            </w:tcBorders>
            <w:shd w:val="clear" w:color="auto" w:fill="auto"/>
            <w:noWrap/>
            <w:vAlign w:val="bottom"/>
            <w:hideMark/>
          </w:tcPr>
          <w:p w14:paraId="4248C4AF" w14:textId="304A2A75"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09" w:type="pct"/>
            <w:tcBorders>
              <w:top w:val="nil"/>
              <w:left w:val="nil"/>
              <w:bottom w:val="nil"/>
              <w:right w:val="nil"/>
            </w:tcBorders>
            <w:shd w:val="clear" w:color="auto" w:fill="auto"/>
            <w:noWrap/>
            <w:vAlign w:val="bottom"/>
            <w:hideMark/>
          </w:tcPr>
          <w:p w14:paraId="7CAE4CE1" w14:textId="76297574"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09" w:type="pct"/>
            <w:tcBorders>
              <w:top w:val="nil"/>
              <w:left w:val="nil"/>
              <w:bottom w:val="nil"/>
              <w:right w:val="nil"/>
            </w:tcBorders>
            <w:shd w:val="clear" w:color="auto" w:fill="auto"/>
            <w:noWrap/>
            <w:vAlign w:val="bottom"/>
            <w:hideMark/>
          </w:tcPr>
          <w:p w14:paraId="45C855BD" w14:textId="213F1F84"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14" w:type="pct"/>
            <w:tcBorders>
              <w:top w:val="nil"/>
              <w:left w:val="nil"/>
              <w:bottom w:val="nil"/>
              <w:right w:val="nil"/>
            </w:tcBorders>
            <w:shd w:val="clear" w:color="auto" w:fill="auto"/>
            <w:noWrap/>
            <w:vAlign w:val="bottom"/>
            <w:hideMark/>
          </w:tcPr>
          <w:p w14:paraId="318E1332" w14:textId="1FE5D962"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14" w:type="pct"/>
            <w:tcBorders>
              <w:top w:val="nil"/>
              <w:left w:val="nil"/>
              <w:bottom w:val="nil"/>
              <w:right w:val="nil"/>
            </w:tcBorders>
            <w:shd w:val="clear" w:color="auto" w:fill="auto"/>
            <w:noWrap/>
            <w:vAlign w:val="bottom"/>
            <w:hideMark/>
          </w:tcPr>
          <w:p w14:paraId="32832F58" w14:textId="296C7CE9"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76" w:type="pct"/>
            <w:tcBorders>
              <w:top w:val="nil"/>
              <w:left w:val="nil"/>
              <w:bottom w:val="nil"/>
              <w:right w:val="nil"/>
            </w:tcBorders>
            <w:shd w:val="clear" w:color="auto" w:fill="auto"/>
            <w:noWrap/>
            <w:vAlign w:val="bottom"/>
            <w:hideMark/>
          </w:tcPr>
          <w:p w14:paraId="6DBC1610" w14:textId="344816D9" w:rsidR="00F26E30" w:rsidRPr="00B362E9" w:rsidRDefault="00F26E30" w:rsidP="00F26E30">
            <w:pPr>
              <w:rPr>
                <w:rFonts w:ascii="Cambria" w:hAnsi="Cambria" w:cs="Arial"/>
                <w:color w:val="000000"/>
                <w:sz w:val="16"/>
                <w:szCs w:val="16"/>
              </w:rPr>
            </w:pPr>
            <w:r>
              <w:rPr>
                <w:rFonts w:ascii="Cambria" w:hAnsi="Cambria"/>
                <w:color w:val="000000"/>
                <w:sz w:val="16"/>
              </w:rPr>
              <w:t xml:space="preserve">          506 346 </w:t>
            </w:r>
          </w:p>
        </w:tc>
      </w:tr>
      <w:tr w:rsidR="00F26E30" w:rsidRPr="00B362E9" w14:paraId="39FE4E30" w14:textId="77777777" w:rsidTr="00B362E9">
        <w:trPr>
          <w:trHeight w:val="240"/>
        </w:trPr>
        <w:tc>
          <w:tcPr>
            <w:tcW w:w="1313" w:type="pct"/>
            <w:tcBorders>
              <w:top w:val="nil"/>
              <w:left w:val="nil"/>
              <w:bottom w:val="nil"/>
              <w:right w:val="nil"/>
            </w:tcBorders>
            <w:shd w:val="clear" w:color="000000" w:fill="FFFFFF"/>
            <w:noWrap/>
            <w:vAlign w:val="bottom"/>
            <w:hideMark/>
          </w:tcPr>
          <w:p w14:paraId="247BC43E" w14:textId="77777777" w:rsidR="00F26E30" w:rsidRPr="00B362E9" w:rsidRDefault="00F26E30" w:rsidP="00F26E30">
            <w:pPr>
              <w:rPr>
                <w:rFonts w:ascii="Cambria" w:hAnsi="Cambria" w:cs="Arial"/>
                <w:color w:val="000000"/>
                <w:sz w:val="16"/>
                <w:szCs w:val="16"/>
              </w:rPr>
            </w:pPr>
            <w:r>
              <w:rPr>
                <w:rFonts w:ascii="Cambria" w:hAnsi="Cambria"/>
                <w:color w:val="000000"/>
                <w:sz w:val="16"/>
              </w:rPr>
              <w:t>Passifs liés à des contrats de location</w:t>
            </w:r>
          </w:p>
        </w:tc>
        <w:tc>
          <w:tcPr>
            <w:tcW w:w="558" w:type="pct"/>
            <w:tcBorders>
              <w:top w:val="nil"/>
              <w:left w:val="nil"/>
              <w:bottom w:val="nil"/>
              <w:right w:val="nil"/>
            </w:tcBorders>
            <w:shd w:val="clear" w:color="auto" w:fill="auto"/>
            <w:noWrap/>
            <w:vAlign w:val="bottom"/>
            <w:hideMark/>
          </w:tcPr>
          <w:p w14:paraId="3B245165" w14:textId="65F9DDD1" w:rsidR="00F26E30" w:rsidRPr="00B362E9" w:rsidRDefault="00F26E30" w:rsidP="00F26E30">
            <w:pPr>
              <w:rPr>
                <w:rFonts w:ascii="Cambria" w:hAnsi="Cambria" w:cs="Arial"/>
                <w:color w:val="000000"/>
                <w:sz w:val="16"/>
                <w:szCs w:val="16"/>
              </w:rPr>
            </w:pPr>
            <w:r>
              <w:rPr>
                <w:rFonts w:ascii="Cambria" w:hAnsi="Cambria"/>
                <w:color w:val="000000"/>
                <w:sz w:val="16"/>
              </w:rPr>
              <w:t xml:space="preserve">      2 857 966 </w:t>
            </w:r>
          </w:p>
        </w:tc>
        <w:tc>
          <w:tcPr>
            <w:tcW w:w="509" w:type="pct"/>
            <w:tcBorders>
              <w:top w:val="nil"/>
              <w:left w:val="nil"/>
              <w:bottom w:val="nil"/>
              <w:right w:val="nil"/>
            </w:tcBorders>
            <w:shd w:val="clear" w:color="auto" w:fill="auto"/>
            <w:noWrap/>
            <w:vAlign w:val="bottom"/>
            <w:hideMark/>
          </w:tcPr>
          <w:p w14:paraId="7B53657B" w14:textId="7919C4E4" w:rsidR="00F26E30" w:rsidRPr="00B362E9" w:rsidRDefault="00F26E30" w:rsidP="00F26E30">
            <w:pPr>
              <w:rPr>
                <w:rFonts w:ascii="Cambria" w:hAnsi="Cambria" w:cs="Arial"/>
                <w:color w:val="000000"/>
                <w:sz w:val="16"/>
                <w:szCs w:val="16"/>
              </w:rPr>
            </w:pPr>
            <w:r>
              <w:rPr>
                <w:rFonts w:ascii="Cambria" w:hAnsi="Cambria"/>
                <w:color w:val="000000"/>
                <w:sz w:val="16"/>
              </w:rPr>
              <w:t xml:space="preserve">    4 576 623 </w:t>
            </w:r>
          </w:p>
        </w:tc>
        <w:tc>
          <w:tcPr>
            <w:tcW w:w="509" w:type="pct"/>
            <w:tcBorders>
              <w:top w:val="nil"/>
              <w:left w:val="nil"/>
              <w:bottom w:val="nil"/>
              <w:right w:val="nil"/>
            </w:tcBorders>
            <w:shd w:val="clear" w:color="auto" w:fill="auto"/>
            <w:noWrap/>
            <w:vAlign w:val="bottom"/>
            <w:hideMark/>
          </w:tcPr>
          <w:p w14:paraId="49691F10" w14:textId="5347DEA7" w:rsidR="00F26E30" w:rsidRPr="00B362E9" w:rsidRDefault="00F26E30" w:rsidP="00F26E30">
            <w:pPr>
              <w:rPr>
                <w:rFonts w:ascii="Cambria" w:hAnsi="Cambria" w:cs="Arial"/>
                <w:color w:val="000000"/>
                <w:sz w:val="16"/>
                <w:szCs w:val="16"/>
              </w:rPr>
            </w:pPr>
            <w:r>
              <w:rPr>
                <w:rFonts w:ascii="Cambria" w:hAnsi="Cambria"/>
                <w:color w:val="000000"/>
                <w:sz w:val="16"/>
              </w:rPr>
              <w:t> </w:t>
            </w:r>
          </w:p>
        </w:tc>
        <w:tc>
          <w:tcPr>
            <w:tcW w:w="509" w:type="pct"/>
            <w:tcBorders>
              <w:top w:val="nil"/>
              <w:left w:val="nil"/>
              <w:bottom w:val="nil"/>
              <w:right w:val="nil"/>
            </w:tcBorders>
            <w:shd w:val="clear" w:color="auto" w:fill="auto"/>
            <w:noWrap/>
            <w:vAlign w:val="bottom"/>
            <w:hideMark/>
          </w:tcPr>
          <w:p w14:paraId="60D97A8F" w14:textId="2EC8D49F" w:rsidR="00F26E30" w:rsidRPr="00B362E9" w:rsidRDefault="00F26E30" w:rsidP="00F26E30">
            <w:pPr>
              <w:rPr>
                <w:rFonts w:ascii="Cambria" w:hAnsi="Cambria" w:cs="Arial"/>
                <w:color w:val="000000"/>
                <w:sz w:val="16"/>
                <w:szCs w:val="16"/>
              </w:rPr>
            </w:pPr>
            <w:r>
              <w:rPr>
                <w:rFonts w:ascii="Cambria" w:hAnsi="Cambria"/>
                <w:color w:val="000000"/>
                <w:sz w:val="16"/>
              </w:rPr>
              <w:t> </w:t>
            </w:r>
          </w:p>
        </w:tc>
        <w:tc>
          <w:tcPr>
            <w:tcW w:w="514" w:type="pct"/>
            <w:tcBorders>
              <w:top w:val="nil"/>
              <w:left w:val="nil"/>
              <w:bottom w:val="nil"/>
              <w:right w:val="nil"/>
            </w:tcBorders>
            <w:shd w:val="clear" w:color="auto" w:fill="auto"/>
            <w:noWrap/>
            <w:vAlign w:val="bottom"/>
            <w:hideMark/>
          </w:tcPr>
          <w:p w14:paraId="123FA04F" w14:textId="10B12829" w:rsidR="00F26E30" w:rsidRPr="00B362E9" w:rsidRDefault="00F26E30" w:rsidP="00F26E30">
            <w:pPr>
              <w:rPr>
                <w:rFonts w:ascii="Cambria" w:hAnsi="Cambria" w:cs="Arial"/>
                <w:color w:val="000000"/>
                <w:sz w:val="16"/>
                <w:szCs w:val="16"/>
              </w:rPr>
            </w:pPr>
            <w:r>
              <w:rPr>
                <w:rFonts w:ascii="Cambria" w:hAnsi="Cambria"/>
                <w:color w:val="000000"/>
                <w:sz w:val="16"/>
              </w:rPr>
              <w:t> </w:t>
            </w:r>
          </w:p>
        </w:tc>
        <w:tc>
          <w:tcPr>
            <w:tcW w:w="514" w:type="pct"/>
            <w:tcBorders>
              <w:top w:val="nil"/>
              <w:left w:val="nil"/>
              <w:bottom w:val="nil"/>
              <w:right w:val="nil"/>
            </w:tcBorders>
            <w:shd w:val="clear" w:color="auto" w:fill="auto"/>
            <w:noWrap/>
            <w:vAlign w:val="bottom"/>
            <w:hideMark/>
          </w:tcPr>
          <w:p w14:paraId="2DF5C0CE" w14:textId="7D4A4FA9" w:rsidR="00F26E30" w:rsidRPr="00B362E9" w:rsidRDefault="00F26E30" w:rsidP="00F26E30">
            <w:pPr>
              <w:rPr>
                <w:rFonts w:ascii="Cambria" w:hAnsi="Cambria" w:cs="Arial"/>
                <w:color w:val="000000"/>
                <w:sz w:val="16"/>
                <w:szCs w:val="16"/>
              </w:rPr>
            </w:pPr>
            <w:r>
              <w:rPr>
                <w:rFonts w:ascii="Cambria" w:hAnsi="Cambria"/>
                <w:color w:val="000000"/>
                <w:sz w:val="16"/>
              </w:rPr>
              <w:t> </w:t>
            </w:r>
          </w:p>
        </w:tc>
        <w:tc>
          <w:tcPr>
            <w:tcW w:w="576" w:type="pct"/>
            <w:tcBorders>
              <w:top w:val="nil"/>
              <w:left w:val="nil"/>
              <w:bottom w:val="nil"/>
              <w:right w:val="nil"/>
            </w:tcBorders>
            <w:shd w:val="clear" w:color="000000" w:fill="FFFFFF"/>
            <w:noWrap/>
            <w:vAlign w:val="bottom"/>
            <w:hideMark/>
          </w:tcPr>
          <w:p w14:paraId="47F26AF7" w14:textId="52FC0520" w:rsidR="00F26E30" w:rsidRPr="00B362E9" w:rsidRDefault="00F26E30" w:rsidP="00F26E30">
            <w:pPr>
              <w:rPr>
                <w:rFonts w:ascii="Cambria" w:hAnsi="Cambria" w:cs="Arial"/>
                <w:color w:val="000000"/>
                <w:sz w:val="16"/>
                <w:szCs w:val="16"/>
              </w:rPr>
            </w:pPr>
            <w:r>
              <w:rPr>
                <w:rFonts w:ascii="Cambria" w:hAnsi="Cambria"/>
                <w:color w:val="000000"/>
                <w:sz w:val="16"/>
              </w:rPr>
              <w:t xml:space="preserve">       7 434 588 </w:t>
            </w:r>
          </w:p>
        </w:tc>
      </w:tr>
      <w:tr w:rsidR="00F26E30" w:rsidRPr="00B362E9" w14:paraId="4EBE00B2" w14:textId="77777777" w:rsidTr="00B362E9">
        <w:trPr>
          <w:trHeight w:val="240"/>
        </w:trPr>
        <w:tc>
          <w:tcPr>
            <w:tcW w:w="1313" w:type="pct"/>
            <w:tcBorders>
              <w:top w:val="nil"/>
              <w:left w:val="nil"/>
              <w:bottom w:val="nil"/>
              <w:right w:val="nil"/>
            </w:tcBorders>
            <w:shd w:val="clear" w:color="auto" w:fill="auto"/>
            <w:noWrap/>
            <w:vAlign w:val="bottom"/>
            <w:hideMark/>
          </w:tcPr>
          <w:p w14:paraId="6C0A53B6" w14:textId="77777777" w:rsidR="00F26E30" w:rsidRPr="00B362E9" w:rsidRDefault="00F26E30" w:rsidP="00F26E30">
            <w:pPr>
              <w:rPr>
                <w:rFonts w:ascii="Cambria" w:hAnsi="Cambria" w:cs="Arial"/>
                <w:color w:val="000000"/>
                <w:sz w:val="16"/>
                <w:szCs w:val="16"/>
              </w:rPr>
            </w:pPr>
            <w:r>
              <w:rPr>
                <w:rFonts w:ascii="Cambria" w:hAnsi="Cambria"/>
                <w:color w:val="000000"/>
                <w:sz w:val="16"/>
              </w:rPr>
              <w:t>Autre passif à long terme</w:t>
            </w:r>
          </w:p>
        </w:tc>
        <w:tc>
          <w:tcPr>
            <w:tcW w:w="558" w:type="pct"/>
            <w:tcBorders>
              <w:top w:val="nil"/>
              <w:left w:val="nil"/>
              <w:bottom w:val="nil"/>
              <w:right w:val="nil"/>
            </w:tcBorders>
            <w:shd w:val="clear" w:color="auto" w:fill="auto"/>
            <w:noWrap/>
            <w:vAlign w:val="bottom"/>
            <w:hideMark/>
          </w:tcPr>
          <w:p w14:paraId="633A69DF" w14:textId="0137A92D" w:rsidR="00F26E30" w:rsidRPr="00B362E9" w:rsidRDefault="00F26E30" w:rsidP="00F26E30">
            <w:pPr>
              <w:rPr>
                <w:rFonts w:ascii="Cambria" w:hAnsi="Cambria" w:cs="Arial"/>
                <w:color w:val="000000"/>
                <w:sz w:val="16"/>
                <w:szCs w:val="16"/>
              </w:rPr>
            </w:pPr>
            <w:r>
              <w:rPr>
                <w:rFonts w:ascii="Cambria" w:hAnsi="Cambria"/>
                <w:color w:val="000000"/>
                <w:sz w:val="16"/>
              </w:rPr>
              <w:t> </w:t>
            </w:r>
          </w:p>
        </w:tc>
        <w:tc>
          <w:tcPr>
            <w:tcW w:w="509" w:type="pct"/>
            <w:tcBorders>
              <w:top w:val="nil"/>
              <w:left w:val="nil"/>
              <w:bottom w:val="nil"/>
              <w:right w:val="nil"/>
            </w:tcBorders>
            <w:shd w:val="clear" w:color="auto" w:fill="auto"/>
            <w:noWrap/>
            <w:vAlign w:val="bottom"/>
            <w:hideMark/>
          </w:tcPr>
          <w:p w14:paraId="52FC7A7C" w14:textId="74CC2D3B" w:rsidR="00F26E30" w:rsidRPr="00B362E9" w:rsidRDefault="00F26E30" w:rsidP="00F26E30">
            <w:pPr>
              <w:rPr>
                <w:rFonts w:ascii="Cambria" w:hAnsi="Cambria" w:cs="Arial"/>
                <w:color w:val="000000"/>
                <w:sz w:val="16"/>
                <w:szCs w:val="16"/>
              </w:rPr>
            </w:pPr>
            <w:r>
              <w:rPr>
                <w:rFonts w:ascii="Cambria" w:hAnsi="Cambria"/>
                <w:color w:val="000000"/>
                <w:sz w:val="16"/>
              </w:rPr>
              <w:t xml:space="preserve">       474 116 </w:t>
            </w:r>
          </w:p>
        </w:tc>
        <w:tc>
          <w:tcPr>
            <w:tcW w:w="509" w:type="pct"/>
            <w:tcBorders>
              <w:top w:val="nil"/>
              <w:left w:val="nil"/>
              <w:bottom w:val="nil"/>
              <w:right w:val="nil"/>
            </w:tcBorders>
            <w:shd w:val="clear" w:color="auto" w:fill="auto"/>
            <w:noWrap/>
            <w:vAlign w:val="bottom"/>
            <w:hideMark/>
          </w:tcPr>
          <w:p w14:paraId="3AF3C528" w14:textId="344D318D" w:rsidR="00F26E30" w:rsidRPr="00B362E9" w:rsidRDefault="00F26E30" w:rsidP="00F26E30">
            <w:pPr>
              <w:rPr>
                <w:rFonts w:ascii="Cambria" w:hAnsi="Cambria" w:cs="Arial"/>
                <w:color w:val="000000"/>
                <w:sz w:val="16"/>
                <w:szCs w:val="16"/>
              </w:rPr>
            </w:pPr>
            <w:r>
              <w:rPr>
                <w:rFonts w:ascii="Cambria" w:hAnsi="Cambria"/>
                <w:color w:val="000000"/>
                <w:sz w:val="16"/>
              </w:rPr>
              <w:t xml:space="preserve">       401 116 </w:t>
            </w:r>
          </w:p>
        </w:tc>
        <w:tc>
          <w:tcPr>
            <w:tcW w:w="509" w:type="pct"/>
            <w:tcBorders>
              <w:top w:val="nil"/>
              <w:left w:val="nil"/>
              <w:bottom w:val="nil"/>
              <w:right w:val="nil"/>
            </w:tcBorders>
            <w:shd w:val="clear" w:color="auto" w:fill="auto"/>
            <w:noWrap/>
            <w:vAlign w:val="bottom"/>
            <w:hideMark/>
          </w:tcPr>
          <w:p w14:paraId="34DF6EC4" w14:textId="1A86AC9F" w:rsidR="00F26E30" w:rsidRPr="00B362E9" w:rsidRDefault="00F26E30" w:rsidP="00F26E30">
            <w:pPr>
              <w:rPr>
                <w:rFonts w:ascii="Cambria" w:hAnsi="Cambria" w:cs="Arial"/>
                <w:color w:val="000000"/>
                <w:sz w:val="16"/>
                <w:szCs w:val="16"/>
              </w:rPr>
            </w:pPr>
            <w:r>
              <w:rPr>
                <w:rFonts w:ascii="Cambria" w:hAnsi="Cambria"/>
                <w:color w:val="000000"/>
                <w:sz w:val="16"/>
              </w:rPr>
              <w:t xml:space="preserve">       403 126 </w:t>
            </w:r>
          </w:p>
        </w:tc>
        <w:tc>
          <w:tcPr>
            <w:tcW w:w="514" w:type="pct"/>
            <w:tcBorders>
              <w:top w:val="nil"/>
              <w:left w:val="nil"/>
              <w:bottom w:val="nil"/>
              <w:right w:val="nil"/>
            </w:tcBorders>
            <w:shd w:val="clear" w:color="auto" w:fill="auto"/>
            <w:noWrap/>
            <w:vAlign w:val="bottom"/>
            <w:hideMark/>
          </w:tcPr>
          <w:p w14:paraId="7AA929DE" w14:textId="7ADE4D25" w:rsidR="00F26E30" w:rsidRPr="00B362E9" w:rsidRDefault="00F26E30" w:rsidP="00F26E30">
            <w:pPr>
              <w:rPr>
                <w:rFonts w:ascii="Cambria" w:hAnsi="Cambria" w:cs="Arial"/>
                <w:color w:val="000000"/>
                <w:sz w:val="16"/>
                <w:szCs w:val="16"/>
              </w:rPr>
            </w:pPr>
            <w:r>
              <w:rPr>
                <w:rFonts w:ascii="Cambria" w:hAnsi="Cambria"/>
                <w:color w:val="000000"/>
                <w:sz w:val="16"/>
              </w:rPr>
              <w:t xml:space="preserve">       202 320 </w:t>
            </w:r>
          </w:p>
        </w:tc>
        <w:tc>
          <w:tcPr>
            <w:tcW w:w="514" w:type="pct"/>
            <w:tcBorders>
              <w:top w:val="nil"/>
              <w:left w:val="nil"/>
              <w:bottom w:val="nil"/>
              <w:right w:val="nil"/>
            </w:tcBorders>
            <w:shd w:val="clear" w:color="auto" w:fill="auto"/>
            <w:noWrap/>
            <w:vAlign w:val="bottom"/>
            <w:hideMark/>
          </w:tcPr>
          <w:p w14:paraId="46B83397" w14:textId="3A01B59F" w:rsidR="00F26E30" w:rsidRPr="00B362E9" w:rsidRDefault="00F26E30" w:rsidP="00F26E30">
            <w:pPr>
              <w:rPr>
                <w:rFonts w:ascii="Cambria" w:hAnsi="Cambria" w:cs="Arial"/>
                <w:color w:val="000000"/>
                <w:sz w:val="16"/>
                <w:szCs w:val="16"/>
              </w:rPr>
            </w:pPr>
            <w:r>
              <w:rPr>
                <w:rFonts w:ascii="Cambria" w:hAnsi="Cambria"/>
                <w:color w:val="000000"/>
                <w:sz w:val="16"/>
              </w:rPr>
              <w:t> </w:t>
            </w:r>
          </w:p>
        </w:tc>
        <w:tc>
          <w:tcPr>
            <w:tcW w:w="576" w:type="pct"/>
            <w:tcBorders>
              <w:top w:val="nil"/>
              <w:left w:val="nil"/>
              <w:bottom w:val="nil"/>
              <w:right w:val="nil"/>
            </w:tcBorders>
            <w:shd w:val="clear" w:color="000000" w:fill="FFFFFF"/>
            <w:noWrap/>
            <w:vAlign w:val="bottom"/>
            <w:hideMark/>
          </w:tcPr>
          <w:p w14:paraId="23A01122" w14:textId="3F459C56" w:rsidR="00F26E30" w:rsidRPr="00B362E9" w:rsidRDefault="00F26E30" w:rsidP="00F26E30">
            <w:pPr>
              <w:rPr>
                <w:rFonts w:ascii="Cambria" w:hAnsi="Cambria" w:cs="Arial"/>
                <w:color w:val="000000"/>
                <w:sz w:val="16"/>
                <w:szCs w:val="16"/>
              </w:rPr>
            </w:pPr>
            <w:r>
              <w:rPr>
                <w:rFonts w:ascii="Cambria" w:hAnsi="Cambria"/>
                <w:color w:val="000000"/>
                <w:sz w:val="16"/>
              </w:rPr>
              <w:t xml:space="preserve">       1 480 678  </w:t>
            </w:r>
          </w:p>
        </w:tc>
      </w:tr>
      <w:tr w:rsidR="00F26E30" w:rsidRPr="00B362E9" w14:paraId="5C8E3EE8" w14:textId="77777777" w:rsidTr="00B362E9">
        <w:trPr>
          <w:trHeight w:val="240"/>
        </w:trPr>
        <w:tc>
          <w:tcPr>
            <w:tcW w:w="1313" w:type="pct"/>
            <w:tcBorders>
              <w:top w:val="nil"/>
              <w:left w:val="nil"/>
              <w:bottom w:val="nil"/>
              <w:right w:val="nil"/>
            </w:tcBorders>
            <w:shd w:val="clear" w:color="000000" w:fill="FFFFFF"/>
            <w:noWrap/>
            <w:vAlign w:val="bottom"/>
            <w:hideMark/>
          </w:tcPr>
          <w:p w14:paraId="6A2D811B" w14:textId="77777777" w:rsidR="00F26E30" w:rsidRPr="00B362E9" w:rsidRDefault="00F26E30" w:rsidP="00F26E30">
            <w:pPr>
              <w:rPr>
                <w:rFonts w:ascii="Cambria" w:hAnsi="Cambria" w:cs="Arial"/>
                <w:color w:val="000000"/>
                <w:sz w:val="16"/>
                <w:szCs w:val="16"/>
              </w:rPr>
            </w:pPr>
            <w:r>
              <w:rPr>
                <w:rFonts w:ascii="Cambria" w:hAnsi="Cambria"/>
                <w:color w:val="000000"/>
                <w:sz w:val="16"/>
              </w:rPr>
              <w:t>Dettes commerciales</w:t>
            </w:r>
          </w:p>
        </w:tc>
        <w:tc>
          <w:tcPr>
            <w:tcW w:w="558" w:type="pct"/>
            <w:tcBorders>
              <w:top w:val="nil"/>
              <w:left w:val="nil"/>
              <w:bottom w:val="nil"/>
              <w:right w:val="nil"/>
            </w:tcBorders>
            <w:shd w:val="clear" w:color="auto" w:fill="auto"/>
            <w:noWrap/>
            <w:vAlign w:val="bottom"/>
            <w:hideMark/>
          </w:tcPr>
          <w:p w14:paraId="6EBEDDD8" w14:textId="3C42512E" w:rsidR="00F26E30" w:rsidRPr="00B362E9" w:rsidRDefault="00F26E30" w:rsidP="00F26E30">
            <w:pPr>
              <w:rPr>
                <w:rFonts w:ascii="Cambria" w:hAnsi="Cambria" w:cs="Arial"/>
                <w:color w:val="000000"/>
                <w:sz w:val="16"/>
                <w:szCs w:val="16"/>
              </w:rPr>
            </w:pPr>
            <w:r>
              <w:rPr>
                <w:rFonts w:ascii="Cambria" w:hAnsi="Cambria"/>
                <w:color w:val="000000"/>
                <w:sz w:val="16"/>
              </w:rPr>
              <w:t xml:space="preserve">      4 148 683 </w:t>
            </w:r>
          </w:p>
        </w:tc>
        <w:tc>
          <w:tcPr>
            <w:tcW w:w="509" w:type="pct"/>
            <w:tcBorders>
              <w:top w:val="nil"/>
              <w:left w:val="nil"/>
              <w:bottom w:val="nil"/>
              <w:right w:val="nil"/>
            </w:tcBorders>
            <w:shd w:val="clear" w:color="auto" w:fill="auto"/>
            <w:noWrap/>
            <w:vAlign w:val="bottom"/>
            <w:hideMark/>
          </w:tcPr>
          <w:p w14:paraId="2B519D08" w14:textId="12F0A274"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09" w:type="pct"/>
            <w:tcBorders>
              <w:top w:val="nil"/>
              <w:left w:val="nil"/>
              <w:bottom w:val="nil"/>
              <w:right w:val="nil"/>
            </w:tcBorders>
            <w:shd w:val="clear" w:color="auto" w:fill="auto"/>
            <w:noWrap/>
            <w:vAlign w:val="bottom"/>
            <w:hideMark/>
          </w:tcPr>
          <w:p w14:paraId="75021598" w14:textId="4F382366"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09" w:type="pct"/>
            <w:tcBorders>
              <w:top w:val="nil"/>
              <w:left w:val="nil"/>
              <w:bottom w:val="nil"/>
              <w:right w:val="nil"/>
            </w:tcBorders>
            <w:shd w:val="clear" w:color="auto" w:fill="auto"/>
            <w:noWrap/>
            <w:vAlign w:val="bottom"/>
            <w:hideMark/>
          </w:tcPr>
          <w:p w14:paraId="6C035251" w14:textId="65915E83"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14" w:type="pct"/>
            <w:tcBorders>
              <w:top w:val="nil"/>
              <w:left w:val="nil"/>
              <w:bottom w:val="nil"/>
              <w:right w:val="nil"/>
            </w:tcBorders>
            <w:shd w:val="clear" w:color="auto" w:fill="auto"/>
            <w:noWrap/>
            <w:vAlign w:val="bottom"/>
            <w:hideMark/>
          </w:tcPr>
          <w:p w14:paraId="5679CF0E" w14:textId="0112CCD2"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14" w:type="pct"/>
            <w:tcBorders>
              <w:top w:val="nil"/>
              <w:left w:val="nil"/>
              <w:bottom w:val="nil"/>
              <w:right w:val="nil"/>
            </w:tcBorders>
            <w:shd w:val="clear" w:color="auto" w:fill="auto"/>
            <w:noWrap/>
            <w:vAlign w:val="bottom"/>
            <w:hideMark/>
          </w:tcPr>
          <w:p w14:paraId="1A094001" w14:textId="72E513AB"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76" w:type="pct"/>
            <w:tcBorders>
              <w:top w:val="nil"/>
              <w:left w:val="nil"/>
              <w:bottom w:val="nil"/>
              <w:right w:val="nil"/>
            </w:tcBorders>
            <w:shd w:val="clear" w:color="000000" w:fill="FFFFFF"/>
            <w:noWrap/>
            <w:vAlign w:val="bottom"/>
            <w:hideMark/>
          </w:tcPr>
          <w:p w14:paraId="6FE919C3" w14:textId="3611E97C" w:rsidR="00F26E30" w:rsidRPr="00B362E9" w:rsidRDefault="00F26E30" w:rsidP="00F26E30">
            <w:pPr>
              <w:rPr>
                <w:rFonts w:ascii="Cambria" w:hAnsi="Cambria" w:cs="Arial"/>
                <w:color w:val="000000"/>
                <w:sz w:val="16"/>
                <w:szCs w:val="16"/>
              </w:rPr>
            </w:pPr>
            <w:r>
              <w:rPr>
                <w:rFonts w:ascii="Cambria" w:hAnsi="Cambria"/>
                <w:color w:val="000000"/>
                <w:sz w:val="16"/>
              </w:rPr>
              <w:t xml:space="preserve">       4 148 683 </w:t>
            </w:r>
          </w:p>
        </w:tc>
      </w:tr>
      <w:tr w:rsidR="00F26E30" w:rsidRPr="00B362E9" w14:paraId="3AACE6D0" w14:textId="77777777" w:rsidTr="00B362E9">
        <w:trPr>
          <w:trHeight w:val="240"/>
        </w:trPr>
        <w:tc>
          <w:tcPr>
            <w:tcW w:w="1313" w:type="pct"/>
            <w:tcBorders>
              <w:top w:val="nil"/>
              <w:left w:val="nil"/>
              <w:bottom w:val="nil"/>
              <w:right w:val="nil"/>
            </w:tcBorders>
            <w:shd w:val="clear" w:color="000000" w:fill="FFFFFF"/>
            <w:noWrap/>
            <w:vAlign w:val="bottom"/>
            <w:hideMark/>
          </w:tcPr>
          <w:p w14:paraId="137052A6" w14:textId="77777777" w:rsidR="00F26E30" w:rsidRPr="00B362E9" w:rsidRDefault="00F26E30" w:rsidP="00F26E30">
            <w:pPr>
              <w:rPr>
                <w:rFonts w:ascii="Cambria" w:hAnsi="Cambria" w:cs="Arial"/>
                <w:color w:val="000000"/>
                <w:sz w:val="16"/>
                <w:szCs w:val="16"/>
              </w:rPr>
            </w:pPr>
            <w:r>
              <w:rPr>
                <w:rFonts w:ascii="Cambria" w:hAnsi="Cambria"/>
                <w:color w:val="000000"/>
                <w:sz w:val="16"/>
              </w:rPr>
              <w:t>Dettes pour obligations contractuelles</w:t>
            </w:r>
          </w:p>
        </w:tc>
        <w:tc>
          <w:tcPr>
            <w:tcW w:w="558" w:type="pct"/>
            <w:tcBorders>
              <w:top w:val="nil"/>
              <w:left w:val="nil"/>
              <w:bottom w:val="nil"/>
              <w:right w:val="nil"/>
            </w:tcBorders>
            <w:shd w:val="clear" w:color="auto" w:fill="auto"/>
            <w:noWrap/>
            <w:vAlign w:val="bottom"/>
            <w:hideMark/>
          </w:tcPr>
          <w:p w14:paraId="571F57EF" w14:textId="6D616549" w:rsidR="00F26E30" w:rsidRPr="00B362E9" w:rsidRDefault="00F26E30" w:rsidP="00F26E30">
            <w:pPr>
              <w:rPr>
                <w:rFonts w:ascii="Cambria" w:hAnsi="Cambria" w:cs="Arial"/>
                <w:color w:val="000000"/>
                <w:sz w:val="16"/>
                <w:szCs w:val="16"/>
              </w:rPr>
            </w:pPr>
            <w:r>
              <w:rPr>
                <w:rFonts w:ascii="Cambria" w:hAnsi="Cambria"/>
                <w:color w:val="000000"/>
                <w:sz w:val="16"/>
              </w:rPr>
              <w:t xml:space="preserve">            26 143 </w:t>
            </w:r>
          </w:p>
        </w:tc>
        <w:tc>
          <w:tcPr>
            <w:tcW w:w="509" w:type="pct"/>
            <w:tcBorders>
              <w:top w:val="nil"/>
              <w:left w:val="nil"/>
              <w:bottom w:val="nil"/>
              <w:right w:val="nil"/>
            </w:tcBorders>
            <w:shd w:val="clear" w:color="auto" w:fill="auto"/>
            <w:noWrap/>
            <w:vAlign w:val="bottom"/>
            <w:hideMark/>
          </w:tcPr>
          <w:p w14:paraId="687D5D6A" w14:textId="249B06EC" w:rsidR="00F26E30" w:rsidRPr="00B362E9" w:rsidRDefault="00F26E30" w:rsidP="00F26E30">
            <w:pPr>
              <w:rPr>
                <w:rFonts w:ascii="Cambria" w:hAnsi="Cambria" w:cs="Arial"/>
                <w:color w:val="000000"/>
                <w:sz w:val="16"/>
                <w:szCs w:val="16"/>
              </w:rPr>
            </w:pPr>
            <w:r>
              <w:rPr>
                <w:rFonts w:ascii="Cambria" w:hAnsi="Cambria"/>
                <w:color w:val="000000"/>
                <w:sz w:val="16"/>
              </w:rPr>
              <w:t xml:space="preserve">       719 037 </w:t>
            </w:r>
          </w:p>
        </w:tc>
        <w:tc>
          <w:tcPr>
            <w:tcW w:w="509" w:type="pct"/>
            <w:tcBorders>
              <w:top w:val="nil"/>
              <w:left w:val="nil"/>
              <w:bottom w:val="nil"/>
              <w:right w:val="nil"/>
            </w:tcBorders>
            <w:shd w:val="clear" w:color="auto" w:fill="auto"/>
            <w:noWrap/>
            <w:vAlign w:val="bottom"/>
            <w:hideMark/>
          </w:tcPr>
          <w:p w14:paraId="2C75936F" w14:textId="4AFFD7BA"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09" w:type="pct"/>
            <w:tcBorders>
              <w:top w:val="nil"/>
              <w:left w:val="nil"/>
              <w:bottom w:val="nil"/>
              <w:right w:val="nil"/>
            </w:tcBorders>
            <w:shd w:val="clear" w:color="auto" w:fill="auto"/>
            <w:noWrap/>
            <w:vAlign w:val="bottom"/>
            <w:hideMark/>
          </w:tcPr>
          <w:p w14:paraId="35A5E0B1" w14:textId="317177E5"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14" w:type="pct"/>
            <w:tcBorders>
              <w:top w:val="nil"/>
              <w:left w:val="nil"/>
              <w:bottom w:val="nil"/>
              <w:right w:val="nil"/>
            </w:tcBorders>
            <w:shd w:val="clear" w:color="auto" w:fill="auto"/>
            <w:noWrap/>
            <w:vAlign w:val="bottom"/>
            <w:hideMark/>
          </w:tcPr>
          <w:p w14:paraId="37A9B833" w14:textId="5BBAB01F"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14" w:type="pct"/>
            <w:tcBorders>
              <w:top w:val="nil"/>
              <w:left w:val="nil"/>
              <w:bottom w:val="nil"/>
              <w:right w:val="nil"/>
            </w:tcBorders>
            <w:shd w:val="clear" w:color="auto" w:fill="auto"/>
            <w:noWrap/>
            <w:vAlign w:val="bottom"/>
            <w:hideMark/>
          </w:tcPr>
          <w:p w14:paraId="050C4476" w14:textId="327C6D9C"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76" w:type="pct"/>
            <w:tcBorders>
              <w:top w:val="nil"/>
              <w:left w:val="nil"/>
              <w:bottom w:val="nil"/>
              <w:right w:val="nil"/>
            </w:tcBorders>
            <w:shd w:val="clear" w:color="000000" w:fill="FFFFFF"/>
            <w:noWrap/>
            <w:vAlign w:val="bottom"/>
            <w:hideMark/>
          </w:tcPr>
          <w:p w14:paraId="42AB24BB" w14:textId="2A6C41A3" w:rsidR="00F26E30" w:rsidRPr="00B362E9" w:rsidRDefault="00F26E30" w:rsidP="00F26E30">
            <w:pPr>
              <w:rPr>
                <w:rFonts w:ascii="Cambria" w:hAnsi="Cambria" w:cs="Arial"/>
                <w:color w:val="000000"/>
                <w:sz w:val="16"/>
                <w:szCs w:val="16"/>
              </w:rPr>
            </w:pPr>
            <w:r>
              <w:rPr>
                <w:rFonts w:ascii="Cambria" w:hAnsi="Cambria"/>
                <w:color w:val="000000"/>
                <w:sz w:val="16"/>
              </w:rPr>
              <w:t xml:space="preserve">          745 180 </w:t>
            </w:r>
          </w:p>
        </w:tc>
      </w:tr>
      <w:tr w:rsidR="00F26E30" w:rsidRPr="00B362E9" w14:paraId="2DC7BE1C" w14:textId="77777777" w:rsidTr="00B362E9">
        <w:trPr>
          <w:trHeight w:val="240"/>
        </w:trPr>
        <w:tc>
          <w:tcPr>
            <w:tcW w:w="1313" w:type="pct"/>
            <w:tcBorders>
              <w:top w:val="nil"/>
              <w:left w:val="nil"/>
              <w:bottom w:val="nil"/>
              <w:right w:val="nil"/>
            </w:tcBorders>
            <w:shd w:val="clear" w:color="000000" w:fill="FFFFFF"/>
            <w:noWrap/>
            <w:vAlign w:val="bottom"/>
            <w:hideMark/>
          </w:tcPr>
          <w:p w14:paraId="161F7AFA" w14:textId="77777777" w:rsidR="00F26E30" w:rsidRPr="00B362E9" w:rsidRDefault="00F26E30" w:rsidP="00F26E30">
            <w:pPr>
              <w:rPr>
                <w:rFonts w:ascii="Cambria" w:hAnsi="Cambria" w:cs="Arial"/>
                <w:color w:val="000000"/>
                <w:sz w:val="16"/>
                <w:szCs w:val="16"/>
              </w:rPr>
            </w:pPr>
            <w:r>
              <w:rPr>
                <w:rFonts w:ascii="Cambria" w:hAnsi="Cambria"/>
                <w:color w:val="000000"/>
                <w:sz w:val="16"/>
              </w:rPr>
              <w:t>Dettes fiscales</w:t>
            </w:r>
          </w:p>
        </w:tc>
        <w:tc>
          <w:tcPr>
            <w:tcW w:w="558" w:type="pct"/>
            <w:tcBorders>
              <w:top w:val="nil"/>
              <w:left w:val="nil"/>
              <w:bottom w:val="nil"/>
              <w:right w:val="nil"/>
            </w:tcBorders>
            <w:shd w:val="clear" w:color="auto" w:fill="auto"/>
            <w:noWrap/>
            <w:vAlign w:val="bottom"/>
            <w:hideMark/>
          </w:tcPr>
          <w:p w14:paraId="50BD9240" w14:textId="3503D99A" w:rsidR="00F26E30" w:rsidRPr="00B362E9" w:rsidRDefault="00F26E30" w:rsidP="00F26E30">
            <w:pPr>
              <w:rPr>
                <w:rFonts w:ascii="Cambria" w:hAnsi="Cambria" w:cs="Arial"/>
                <w:color w:val="000000"/>
                <w:sz w:val="16"/>
                <w:szCs w:val="16"/>
              </w:rPr>
            </w:pPr>
            <w:r>
              <w:rPr>
                <w:rFonts w:ascii="Cambria" w:hAnsi="Cambria"/>
                <w:color w:val="000000"/>
                <w:sz w:val="16"/>
              </w:rPr>
              <w:t xml:space="preserve">      4 168 909 </w:t>
            </w:r>
          </w:p>
        </w:tc>
        <w:tc>
          <w:tcPr>
            <w:tcW w:w="509" w:type="pct"/>
            <w:tcBorders>
              <w:top w:val="nil"/>
              <w:left w:val="nil"/>
              <w:bottom w:val="nil"/>
              <w:right w:val="nil"/>
            </w:tcBorders>
            <w:shd w:val="clear" w:color="auto" w:fill="auto"/>
            <w:noWrap/>
            <w:vAlign w:val="bottom"/>
            <w:hideMark/>
          </w:tcPr>
          <w:p w14:paraId="13A07B64" w14:textId="29DA139E"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09" w:type="pct"/>
            <w:tcBorders>
              <w:top w:val="nil"/>
              <w:left w:val="nil"/>
              <w:bottom w:val="nil"/>
              <w:right w:val="nil"/>
            </w:tcBorders>
            <w:shd w:val="clear" w:color="auto" w:fill="auto"/>
            <w:noWrap/>
            <w:vAlign w:val="bottom"/>
            <w:hideMark/>
          </w:tcPr>
          <w:p w14:paraId="0EAA7283" w14:textId="69355367"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09" w:type="pct"/>
            <w:tcBorders>
              <w:top w:val="nil"/>
              <w:left w:val="nil"/>
              <w:bottom w:val="nil"/>
              <w:right w:val="nil"/>
            </w:tcBorders>
            <w:shd w:val="clear" w:color="auto" w:fill="auto"/>
            <w:noWrap/>
            <w:vAlign w:val="bottom"/>
            <w:hideMark/>
          </w:tcPr>
          <w:p w14:paraId="3BF7D47F" w14:textId="12492CC0"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14" w:type="pct"/>
            <w:tcBorders>
              <w:top w:val="nil"/>
              <w:left w:val="nil"/>
              <w:bottom w:val="nil"/>
              <w:right w:val="nil"/>
            </w:tcBorders>
            <w:shd w:val="clear" w:color="auto" w:fill="auto"/>
            <w:noWrap/>
            <w:vAlign w:val="bottom"/>
            <w:hideMark/>
          </w:tcPr>
          <w:p w14:paraId="2D9FDBDD" w14:textId="5473D61B"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14" w:type="pct"/>
            <w:tcBorders>
              <w:top w:val="nil"/>
              <w:left w:val="nil"/>
              <w:bottom w:val="nil"/>
              <w:right w:val="nil"/>
            </w:tcBorders>
            <w:shd w:val="clear" w:color="auto" w:fill="auto"/>
            <w:noWrap/>
            <w:vAlign w:val="bottom"/>
            <w:hideMark/>
          </w:tcPr>
          <w:p w14:paraId="68C26AF3" w14:textId="719C58F0"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76" w:type="pct"/>
            <w:tcBorders>
              <w:top w:val="nil"/>
              <w:left w:val="nil"/>
              <w:bottom w:val="nil"/>
              <w:right w:val="nil"/>
            </w:tcBorders>
            <w:shd w:val="clear" w:color="000000" w:fill="FFFFFF"/>
            <w:noWrap/>
            <w:vAlign w:val="bottom"/>
            <w:hideMark/>
          </w:tcPr>
          <w:p w14:paraId="058DD8ED" w14:textId="0765B6CE" w:rsidR="00F26E30" w:rsidRPr="00B362E9" w:rsidRDefault="00F26E30" w:rsidP="00F26E30">
            <w:pPr>
              <w:rPr>
                <w:rFonts w:ascii="Cambria" w:hAnsi="Cambria" w:cs="Arial"/>
                <w:color w:val="000000"/>
                <w:sz w:val="16"/>
                <w:szCs w:val="16"/>
              </w:rPr>
            </w:pPr>
            <w:r>
              <w:rPr>
                <w:rFonts w:ascii="Cambria" w:hAnsi="Cambria"/>
                <w:color w:val="000000"/>
                <w:sz w:val="16"/>
              </w:rPr>
              <w:t xml:space="preserve">       4 168 909 </w:t>
            </w:r>
          </w:p>
        </w:tc>
      </w:tr>
      <w:tr w:rsidR="00F26E30" w:rsidRPr="00B362E9" w14:paraId="3A004BC2" w14:textId="77777777" w:rsidTr="00B362E9">
        <w:trPr>
          <w:trHeight w:val="240"/>
        </w:trPr>
        <w:tc>
          <w:tcPr>
            <w:tcW w:w="1313" w:type="pct"/>
            <w:tcBorders>
              <w:top w:val="nil"/>
              <w:left w:val="nil"/>
              <w:bottom w:val="nil"/>
              <w:right w:val="nil"/>
            </w:tcBorders>
            <w:shd w:val="clear" w:color="000000" w:fill="FFFFFF"/>
            <w:noWrap/>
            <w:vAlign w:val="bottom"/>
            <w:hideMark/>
          </w:tcPr>
          <w:p w14:paraId="62D512FC" w14:textId="77777777" w:rsidR="00F26E30" w:rsidRPr="00B362E9" w:rsidRDefault="00F26E30" w:rsidP="00F26E30">
            <w:pPr>
              <w:rPr>
                <w:rFonts w:ascii="Cambria" w:hAnsi="Cambria" w:cs="Arial"/>
                <w:color w:val="000000"/>
                <w:sz w:val="16"/>
                <w:szCs w:val="16"/>
              </w:rPr>
            </w:pPr>
            <w:r>
              <w:rPr>
                <w:rFonts w:ascii="Cambria" w:hAnsi="Cambria"/>
                <w:color w:val="000000"/>
                <w:sz w:val="16"/>
              </w:rPr>
              <w:t>Autres dettes et engagements à court terme</w:t>
            </w:r>
          </w:p>
        </w:tc>
        <w:tc>
          <w:tcPr>
            <w:tcW w:w="558" w:type="pct"/>
            <w:tcBorders>
              <w:top w:val="nil"/>
              <w:left w:val="nil"/>
              <w:bottom w:val="nil"/>
              <w:right w:val="nil"/>
            </w:tcBorders>
            <w:shd w:val="clear" w:color="auto" w:fill="auto"/>
            <w:noWrap/>
            <w:vAlign w:val="bottom"/>
            <w:hideMark/>
          </w:tcPr>
          <w:p w14:paraId="23462D15" w14:textId="2311D062" w:rsidR="00F26E30" w:rsidRPr="00B362E9" w:rsidRDefault="00F26E30" w:rsidP="00F26E30">
            <w:pPr>
              <w:rPr>
                <w:rFonts w:ascii="Cambria" w:hAnsi="Cambria" w:cs="Arial"/>
                <w:color w:val="000000"/>
                <w:sz w:val="16"/>
                <w:szCs w:val="16"/>
              </w:rPr>
            </w:pPr>
            <w:r>
              <w:rPr>
                <w:rFonts w:ascii="Cambria" w:hAnsi="Cambria"/>
                <w:color w:val="000000"/>
                <w:sz w:val="16"/>
              </w:rPr>
              <w:t xml:space="preserve">      3 331 419 </w:t>
            </w:r>
          </w:p>
        </w:tc>
        <w:tc>
          <w:tcPr>
            <w:tcW w:w="509" w:type="pct"/>
            <w:tcBorders>
              <w:top w:val="nil"/>
              <w:left w:val="nil"/>
              <w:bottom w:val="nil"/>
              <w:right w:val="nil"/>
            </w:tcBorders>
            <w:shd w:val="clear" w:color="auto" w:fill="auto"/>
            <w:noWrap/>
            <w:vAlign w:val="bottom"/>
            <w:hideMark/>
          </w:tcPr>
          <w:p w14:paraId="563C48CF" w14:textId="649FF3AB"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09" w:type="pct"/>
            <w:tcBorders>
              <w:top w:val="nil"/>
              <w:left w:val="nil"/>
              <w:bottom w:val="nil"/>
              <w:right w:val="nil"/>
            </w:tcBorders>
            <w:shd w:val="clear" w:color="auto" w:fill="auto"/>
            <w:noWrap/>
            <w:vAlign w:val="bottom"/>
            <w:hideMark/>
          </w:tcPr>
          <w:p w14:paraId="61C2004B" w14:textId="15ADD18E"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09" w:type="pct"/>
            <w:tcBorders>
              <w:top w:val="nil"/>
              <w:left w:val="nil"/>
              <w:bottom w:val="nil"/>
              <w:right w:val="nil"/>
            </w:tcBorders>
            <w:shd w:val="clear" w:color="auto" w:fill="auto"/>
            <w:noWrap/>
            <w:vAlign w:val="bottom"/>
            <w:hideMark/>
          </w:tcPr>
          <w:p w14:paraId="6A9227F1" w14:textId="4C499EA3"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14" w:type="pct"/>
            <w:tcBorders>
              <w:top w:val="nil"/>
              <w:left w:val="nil"/>
              <w:bottom w:val="nil"/>
              <w:right w:val="nil"/>
            </w:tcBorders>
            <w:shd w:val="clear" w:color="auto" w:fill="auto"/>
            <w:noWrap/>
            <w:vAlign w:val="bottom"/>
            <w:hideMark/>
          </w:tcPr>
          <w:p w14:paraId="04133B92" w14:textId="1FE1D76B"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14" w:type="pct"/>
            <w:tcBorders>
              <w:top w:val="nil"/>
              <w:left w:val="nil"/>
              <w:bottom w:val="nil"/>
              <w:right w:val="nil"/>
            </w:tcBorders>
            <w:shd w:val="clear" w:color="auto" w:fill="auto"/>
            <w:noWrap/>
            <w:vAlign w:val="bottom"/>
            <w:hideMark/>
          </w:tcPr>
          <w:p w14:paraId="70E0FC8B" w14:textId="6750EE0D" w:rsidR="00F26E30" w:rsidRPr="00B362E9" w:rsidRDefault="00F26E30" w:rsidP="00F26E30">
            <w:pPr>
              <w:rPr>
                <w:rFonts w:ascii="Cambria" w:hAnsi="Cambria" w:cs="Arial"/>
                <w:color w:val="000000"/>
                <w:sz w:val="16"/>
                <w:szCs w:val="16"/>
              </w:rPr>
            </w:pPr>
            <w:r>
              <w:rPr>
                <w:rFonts w:ascii="Cambria" w:hAnsi="Cambria"/>
                <w:color w:val="000000"/>
                <w:sz w:val="16"/>
              </w:rPr>
              <w:t xml:space="preserve">                  -    </w:t>
            </w:r>
          </w:p>
        </w:tc>
        <w:tc>
          <w:tcPr>
            <w:tcW w:w="576" w:type="pct"/>
            <w:tcBorders>
              <w:top w:val="nil"/>
              <w:left w:val="nil"/>
              <w:bottom w:val="nil"/>
              <w:right w:val="nil"/>
            </w:tcBorders>
            <w:shd w:val="clear" w:color="000000" w:fill="FFFFFF"/>
            <w:noWrap/>
            <w:vAlign w:val="bottom"/>
            <w:hideMark/>
          </w:tcPr>
          <w:p w14:paraId="02455CA8" w14:textId="1569B931" w:rsidR="00F26E30" w:rsidRPr="00B362E9" w:rsidRDefault="00F26E30" w:rsidP="00F26E30">
            <w:pPr>
              <w:rPr>
                <w:rFonts w:ascii="Cambria" w:hAnsi="Cambria" w:cs="Arial"/>
                <w:color w:val="000000"/>
                <w:sz w:val="16"/>
                <w:szCs w:val="16"/>
              </w:rPr>
            </w:pPr>
            <w:r>
              <w:rPr>
                <w:rFonts w:ascii="Cambria" w:hAnsi="Cambria"/>
                <w:color w:val="000000"/>
                <w:sz w:val="16"/>
              </w:rPr>
              <w:t xml:space="preserve">       3 331 419 </w:t>
            </w:r>
          </w:p>
        </w:tc>
      </w:tr>
      <w:tr w:rsidR="00F26E30" w:rsidRPr="009E50B5" w14:paraId="67FD42CA" w14:textId="77777777" w:rsidTr="00F26E30">
        <w:trPr>
          <w:trHeight w:val="255"/>
        </w:trPr>
        <w:tc>
          <w:tcPr>
            <w:tcW w:w="1313" w:type="pct"/>
            <w:tcBorders>
              <w:top w:val="nil"/>
              <w:left w:val="nil"/>
              <w:bottom w:val="nil"/>
              <w:right w:val="nil"/>
            </w:tcBorders>
            <w:shd w:val="clear" w:color="auto" w:fill="auto"/>
            <w:noWrap/>
            <w:vAlign w:val="bottom"/>
            <w:hideMark/>
          </w:tcPr>
          <w:p w14:paraId="38672A32" w14:textId="77777777" w:rsidR="00F26E30" w:rsidRPr="00B362E9" w:rsidRDefault="00F26E30" w:rsidP="00F26E30">
            <w:pPr>
              <w:rPr>
                <w:rFonts w:ascii="Cambria" w:hAnsi="Cambria" w:cs="Arial"/>
                <w:b/>
                <w:bCs/>
                <w:color w:val="000000"/>
                <w:sz w:val="16"/>
                <w:szCs w:val="16"/>
              </w:rPr>
            </w:pPr>
            <w:r>
              <w:rPr>
                <w:rFonts w:ascii="Cambria" w:hAnsi="Cambria"/>
                <w:b/>
                <w:color w:val="000000"/>
                <w:sz w:val="16"/>
              </w:rPr>
              <w:t xml:space="preserve">Total </w:t>
            </w:r>
          </w:p>
        </w:tc>
        <w:tc>
          <w:tcPr>
            <w:tcW w:w="558" w:type="pct"/>
            <w:tcBorders>
              <w:top w:val="single" w:sz="4" w:space="0" w:color="auto"/>
              <w:left w:val="nil"/>
              <w:bottom w:val="single" w:sz="8" w:space="0" w:color="auto"/>
              <w:right w:val="nil"/>
            </w:tcBorders>
            <w:shd w:val="clear" w:color="auto" w:fill="auto"/>
            <w:noWrap/>
            <w:vAlign w:val="bottom"/>
            <w:hideMark/>
          </w:tcPr>
          <w:p w14:paraId="68CA8D0A" w14:textId="4E3A053E" w:rsidR="00F26E30" w:rsidRPr="00B362E9" w:rsidRDefault="00F26E30" w:rsidP="00F26E30">
            <w:pPr>
              <w:rPr>
                <w:rFonts w:ascii="Cambria" w:hAnsi="Cambria" w:cs="Arial"/>
                <w:b/>
                <w:bCs/>
                <w:color w:val="000000"/>
                <w:sz w:val="16"/>
                <w:szCs w:val="16"/>
              </w:rPr>
            </w:pPr>
            <w:r>
              <w:rPr>
                <w:rFonts w:ascii="Cambria" w:hAnsi="Cambria"/>
                <w:b/>
                <w:color w:val="000000"/>
                <w:sz w:val="16"/>
              </w:rPr>
              <w:t xml:space="preserve">   16 994 149 </w:t>
            </w:r>
          </w:p>
        </w:tc>
        <w:tc>
          <w:tcPr>
            <w:tcW w:w="509" w:type="pct"/>
            <w:tcBorders>
              <w:top w:val="single" w:sz="4" w:space="0" w:color="auto"/>
              <w:left w:val="nil"/>
              <w:bottom w:val="single" w:sz="8" w:space="0" w:color="auto"/>
              <w:right w:val="nil"/>
            </w:tcBorders>
            <w:shd w:val="clear" w:color="auto" w:fill="auto"/>
            <w:noWrap/>
            <w:vAlign w:val="bottom"/>
            <w:hideMark/>
          </w:tcPr>
          <w:p w14:paraId="3D91A069" w14:textId="3846BC40" w:rsidR="00F26E30" w:rsidRPr="00B362E9" w:rsidRDefault="00F26E30" w:rsidP="00F26E30">
            <w:pPr>
              <w:rPr>
                <w:rFonts w:ascii="Cambria" w:hAnsi="Cambria" w:cs="Arial"/>
                <w:b/>
                <w:bCs/>
                <w:color w:val="000000"/>
                <w:sz w:val="16"/>
                <w:szCs w:val="16"/>
              </w:rPr>
            </w:pPr>
            <w:r>
              <w:rPr>
                <w:rFonts w:ascii="Cambria" w:hAnsi="Cambria"/>
                <w:b/>
                <w:color w:val="000000"/>
                <w:sz w:val="16"/>
              </w:rPr>
              <w:t xml:space="preserve">   7 133 906 </w:t>
            </w:r>
          </w:p>
        </w:tc>
        <w:tc>
          <w:tcPr>
            <w:tcW w:w="509" w:type="pct"/>
            <w:tcBorders>
              <w:top w:val="single" w:sz="4" w:space="0" w:color="auto"/>
              <w:left w:val="nil"/>
              <w:bottom w:val="single" w:sz="8" w:space="0" w:color="auto"/>
              <w:right w:val="nil"/>
            </w:tcBorders>
            <w:shd w:val="clear" w:color="auto" w:fill="auto"/>
            <w:noWrap/>
            <w:vAlign w:val="bottom"/>
            <w:hideMark/>
          </w:tcPr>
          <w:p w14:paraId="16C3A594" w14:textId="725BB826" w:rsidR="00F26E30" w:rsidRPr="00B362E9" w:rsidRDefault="00F26E30" w:rsidP="00F26E30">
            <w:pPr>
              <w:rPr>
                <w:rFonts w:ascii="Cambria" w:hAnsi="Cambria" w:cs="Arial"/>
                <w:b/>
                <w:bCs/>
                <w:color w:val="000000"/>
                <w:sz w:val="16"/>
                <w:szCs w:val="16"/>
              </w:rPr>
            </w:pPr>
            <w:r>
              <w:rPr>
                <w:rFonts w:ascii="Cambria" w:hAnsi="Cambria"/>
                <w:b/>
                <w:color w:val="000000"/>
                <w:sz w:val="16"/>
              </w:rPr>
              <w:t xml:space="preserve">   1 027 633 </w:t>
            </w:r>
          </w:p>
        </w:tc>
        <w:tc>
          <w:tcPr>
            <w:tcW w:w="509" w:type="pct"/>
            <w:tcBorders>
              <w:top w:val="single" w:sz="4" w:space="0" w:color="auto"/>
              <w:left w:val="nil"/>
              <w:bottom w:val="single" w:sz="8" w:space="0" w:color="auto"/>
              <w:right w:val="nil"/>
            </w:tcBorders>
            <w:shd w:val="clear" w:color="auto" w:fill="auto"/>
            <w:noWrap/>
            <w:vAlign w:val="bottom"/>
            <w:hideMark/>
          </w:tcPr>
          <w:p w14:paraId="6AB3D28A" w14:textId="7BACF3AF" w:rsidR="00F26E30" w:rsidRPr="00B362E9" w:rsidRDefault="00F26E30" w:rsidP="00F26E30">
            <w:pPr>
              <w:rPr>
                <w:rFonts w:ascii="Cambria" w:hAnsi="Cambria" w:cs="Arial"/>
                <w:b/>
                <w:bCs/>
                <w:color w:val="000000"/>
                <w:sz w:val="16"/>
                <w:szCs w:val="16"/>
              </w:rPr>
            </w:pPr>
            <w:r>
              <w:rPr>
                <w:rFonts w:ascii="Cambria" w:hAnsi="Cambria"/>
                <w:b/>
                <w:color w:val="000000"/>
                <w:sz w:val="16"/>
              </w:rPr>
              <w:t xml:space="preserve">   1 040 535 </w:t>
            </w:r>
          </w:p>
        </w:tc>
        <w:tc>
          <w:tcPr>
            <w:tcW w:w="514" w:type="pct"/>
            <w:tcBorders>
              <w:top w:val="single" w:sz="4" w:space="0" w:color="auto"/>
              <w:left w:val="nil"/>
              <w:bottom w:val="single" w:sz="8" w:space="0" w:color="auto"/>
              <w:right w:val="nil"/>
            </w:tcBorders>
            <w:shd w:val="clear" w:color="auto" w:fill="auto"/>
            <w:noWrap/>
            <w:vAlign w:val="bottom"/>
            <w:hideMark/>
          </w:tcPr>
          <w:p w14:paraId="0FA0E5AE" w14:textId="6065D762" w:rsidR="00F26E30" w:rsidRPr="00B362E9" w:rsidRDefault="00F26E30" w:rsidP="00F26E30">
            <w:pPr>
              <w:rPr>
                <w:rFonts w:ascii="Cambria" w:hAnsi="Cambria" w:cs="Arial"/>
                <w:b/>
                <w:bCs/>
                <w:color w:val="000000"/>
                <w:sz w:val="16"/>
                <w:szCs w:val="16"/>
              </w:rPr>
            </w:pPr>
            <w:r>
              <w:rPr>
                <w:rFonts w:ascii="Cambria" w:hAnsi="Cambria"/>
                <w:b/>
                <w:color w:val="000000"/>
                <w:sz w:val="16"/>
              </w:rPr>
              <w:t xml:space="preserve">       846 321 </w:t>
            </w:r>
          </w:p>
        </w:tc>
        <w:tc>
          <w:tcPr>
            <w:tcW w:w="514" w:type="pct"/>
            <w:tcBorders>
              <w:top w:val="single" w:sz="4" w:space="0" w:color="auto"/>
              <w:left w:val="nil"/>
              <w:bottom w:val="single" w:sz="8" w:space="0" w:color="auto"/>
              <w:right w:val="nil"/>
            </w:tcBorders>
            <w:shd w:val="clear" w:color="auto" w:fill="auto"/>
            <w:noWrap/>
            <w:vAlign w:val="bottom"/>
            <w:hideMark/>
          </w:tcPr>
          <w:p w14:paraId="2A980D1E" w14:textId="55335D0E" w:rsidR="00F26E30" w:rsidRPr="00B362E9" w:rsidRDefault="00F26E30" w:rsidP="00F26E30">
            <w:pPr>
              <w:rPr>
                <w:rFonts w:ascii="Cambria" w:hAnsi="Cambria" w:cs="Arial"/>
                <w:b/>
                <w:bCs/>
                <w:color w:val="000000"/>
                <w:sz w:val="16"/>
                <w:szCs w:val="16"/>
              </w:rPr>
            </w:pPr>
            <w:r>
              <w:rPr>
                <w:rFonts w:ascii="Cambria" w:hAnsi="Cambria"/>
                <w:b/>
                <w:color w:val="000000"/>
                <w:sz w:val="16"/>
              </w:rPr>
              <w:t xml:space="preserve">       206 615 </w:t>
            </w:r>
          </w:p>
        </w:tc>
        <w:tc>
          <w:tcPr>
            <w:tcW w:w="576" w:type="pct"/>
            <w:tcBorders>
              <w:top w:val="single" w:sz="4" w:space="0" w:color="auto"/>
              <w:left w:val="nil"/>
              <w:bottom w:val="single" w:sz="8" w:space="0" w:color="auto"/>
              <w:right w:val="nil"/>
            </w:tcBorders>
            <w:shd w:val="clear" w:color="auto" w:fill="auto"/>
            <w:noWrap/>
            <w:vAlign w:val="bottom"/>
            <w:hideMark/>
          </w:tcPr>
          <w:p w14:paraId="263C07A0" w14:textId="5D6D0EE9" w:rsidR="00F26E30" w:rsidRPr="00F26E30" w:rsidRDefault="00F26E30" w:rsidP="00F26E30">
            <w:pPr>
              <w:rPr>
                <w:rFonts w:ascii="Cambria" w:hAnsi="Cambria" w:cs="Arial"/>
                <w:b/>
                <w:bCs/>
                <w:color w:val="000000"/>
                <w:sz w:val="16"/>
                <w:szCs w:val="16"/>
              </w:rPr>
            </w:pPr>
            <w:r>
              <w:rPr>
                <w:rFonts w:ascii="Cambria" w:hAnsi="Cambria"/>
                <w:b/>
                <w:color w:val="000000"/>
                <w:sz w:val="16"/>
              </w:rPr>
              <w:t xml:space="preserve">    27 249 160 </w:t>
            </w:r>
          </w:p>
        </w:tc>
      </w:tr>
    </w:tbl>
    <w:p w14:paraId="728572BE" w14:textId="07E42390" w:rsidR="00AB3209" w:rsidRDefault="00AB3209" w:rsidP="00552D59">
      <w:pPr>
        <w:spacing w:after="200" w:line="276" w:lineRule="auto"/>
        <w:jc w:val="both"/>
        <w:rPr>
          <w:rFonts w:ascii="Cambria" w:hAnsi="Cambria"/>
          <w:sz w:val="22"/>
          <w:szCs w:val="22"/>
        </w:rPr>
      </w:pPr>
    </w:p>
    <w:p w14:paraId="56350EF9" w14:textId="4C8C411F" w:rsidR="00717185" w:rsidRDefault="00717185">
      <w:pPr>
        <w:rPr>
          <w:rFonts w:ascii="Cambria" w:hAnsi="Cambria"/>
          <w:sz w:val="22"/>
          <w:szCs w:val="22"/>
        </w:rPr>
      </w:pPr>
      <w:r>
        <w:br w:type="page"/>
      </w:r>
    </w:p>
    <w:tbl>
      <w:tblPr>
        <w:tblW w:w="5000" w:type="pct"/>
        <w:tblCellMar>
          <w:left w:w="70" w:type="dxa"/>
          <w:right w:w="70" w:type="dxa"/>
        </w:tblCellMar>
        <w:tblLook w:val="04A0" w:firstRow="1" w:lastRow="0" w:firstColumn="1" w:lastColumn="0" w:noHBand="0" w:noVBand="1"/>
      </w:tblPr>
      <w:tblGrid>
        <w:gridCol w:w="2928"/>
        <w:gridCol w:w="1016"/>
        <w:gridCol w:w="927"/>
        <w:gridCol w:w="927"/>
        <w:gridCol w:w="927"/>
        <w:gridCol w:w="927"/>
        <w:gridCol w:w="937"/>
        <w:gridCol w:w="1049"/>
      </w:tblGrid>
      <w:tr w:rsidR="009E50B5" w:rsidRPr="009E50B5" w14:paraId="0C9C7EB1" w14:textId="77777777" w:rsidTr="00717185">
        <w:trPr>
          <w:trHeight w:val="495"/>
        </w:trPr>
        <w:tc>
          <w:tcPr>
            <w:tcW w:w="1365" w:type="pct"/>
            <w:tcBorders>
              <w:top w:val="single" w:sz="4" w:space="0" w:color="0070C0"/>
              <w:left w:val="nil"/>
              <w:bottom w:val="single" w:sz="8" w:space="0" w:color="0070C0"/>
              <w:right w:val="nil"/>
            </w:tcBorders>
            <w:shd w:val="clear" w:color="auto" w:fill="auto"/>
            <w:noWrap/>
            <w:vAlign w:val="bottom"/>
            <w:hideMark/>
          </w:tcPr>
          <w:p w14:paraId="79A50CBB" w14:textId="77777777" w:rsidR="009E50B5" w:rsidRPr="009E50B5" w:rsidRDefault="009E50B5" w:rsidP="00454EE7">
            <w:pPr>
              <w:spacing w:line="18" w:lineRule="atLeast"/>
              <w:rPr>
                <w:rFonts w:ascii="Cambria" w:hAnsi="Cambria" w:cs="Arial"/>
                <w:color w:val="000000"/>
                <w:sz w:val="16"/>
                <w:szCs w:val="16"/>
              </w:rPr>
            </w:pPr>
            <w:r>
              <w:rPr>
                <w:rFonts w:ascii="Cambria" w:hAnsi="Cambria"/>
                <w:color w:val="000000"/>
                <w:sz w:val="16"/>
              </w:rPr>
              <w:lastRenderedPageBreak/>
              <w:t>(</w:t>
            </w:r>
            <w:proofErr w:type="gramStart"/>
            <w:r>
              <w:rPr>
                <w:rFonts w:ascii="Cambria" w:hAnsi="Cambria"/>
                <w:color w:val="000000"/>
                <w:sz w:val="16"/>
              </w:rPr>
              <w:t>en</w:t>
            </w:r>
            <w:proofErr w:type="gramEnd"/>
            <w:r>
              <w:rPr>
                <w:rFonts w:ascii="Cambria" w:hAnsi="Cambria"/>
                <w:color w:val="000000"/>
                <w:sz w:val="16"/>
              </w:rPr>
              <w:t xml:space="preserve"> euros)</w:t>
            </w:r>
          </w:p>
        </w:tc>
        <w:tc>
          <w:tcPr>
            <w:tcW w:w="551" w:type="pct"/>
            <w:tcBorders>
              <w:top w:val="single" w:sz="4" w:space="0" w:color="0070C0"/>
              <w:left w:val="nil"/>
              <w:bottom w:val="single" w:sz="8" w:space="0" w:color="0070C0"/>
              <w:right w:val="nil"/>
            </w:tcBorders>
            <w:shd w:val="clear" w:color="auto" w:fill="auto"/>
            <w:vAlign w:val="bottom"/>
            <w:hideMark/>
          </w:tcPr>
          <w:p w14:paraId="4BE660C9" w14:textId="77777777" w:rsidR="009E50B5" w:rsidRPr="009E50B5" w:rsidRDefault="009E50B5" w:rsidP="00454EE7">
            <w:pPr>
              <w:spacing w:line="18" w:lineRule="atLeast"/>
              <w:jc w:val="center"/>
              <w:rPr>
                <w:rFonts w:ascii="Cambria" w:hAnsi="Cambria" w:cs="Arial"/>
                <w:b/>
                <w:bCs/>
                <w:color w:val="000000"/>
                <w:sz w:val="16"/>
                <w:szCs w:val="16"/>
              </w:rPr>
            </w:pPr>
            <w:r>
              <w:rPr>
                <w:rFonts w:ascii="Cambria" w:hAnsi="Cambria"/>
                <w:b/>
                <w:color w:val="000000"/>
                <w:sz w:val="16"/>
              </w:rPr>
              <w:t>&lt;1 an</w:t>
            </w:r>
          </w:p>
        </w:tc>
        <w:tc>
          <w:tcPr>
            <w:tcW w:w="502" w:type="pct"/>
            <w:tcBorders>
              <w:top w:val="single" w:sz="4" w:space="0" w:color="0070C0"/>
              <w:left w:val="nil"/>
              <w:bottom w:val="single" w:sz="8" w:space="0" w:color="0070C0"/>
              <w:right w:val="nil"/>
            </w:tcBorders>
            <w:shd w:val="clear" w:color="auto" w:fill="auto"/>
            <w:vAlign w:val="bottom"/>
            <w:hideMark/>
          </w:tcPr>
          <w:p w14:paraId="601BECCA" w14:textId="77777777" w:rsidR="009E50B5" w:rsidRPr="009E50B5" w:rsidRDefault="009E50B5" w:rsidP="00454EE7">
            <w:pPr>
              <w:spacing w:line="18" w:lineRule="atLeast"/>
              <w:jc w:val="center"/>
              <w:rPr>
                <w:rFonts w:ascii="Cambria" w:hAnsi="Cambria" w:cs="Arial"/>
                <w:b/>
                <w:bCs/>
                <w:color w:val="000000"/>
                <w:sz w:val="16"/>
                <w:szCs w:val="16"/>
              </w:rPr>
            </w:pPr>
            <w:r>
              <w:rPr>
                <w:rFonts w:ascii="Cambria" w:hAnsi="Cambria"/>
                <w:b/>
                <w:color w:val="000000"/>
                <w:sz w:val="16"/>
              </w:rPr>
              <w:t>1-2 ans</w:t>
            </w:r>
          </w:p>
        </w:tc>
        <w:tc>
          <w:tcPr>
            <w:tcW w:w="502" w:type="pct"/>
            <w:tcBorders>
              <w:top w:val="single" w:sz="4" w:space="0" w:color="0070C0"/>
              <w:left w:val="nil"/>
              <w:bottom w:val="single" w:sz="8" w:space="0" w:color="0070C0"/>
              <w:right w:val="nil"/>
            </w:tcBorders>
            <w:shd w:val="clear" w:color="auto" w:fill="auto"/>
            <w:vAlign w:val="bottom"/>
            <w:hideMark/>
          </w:tcPr>
          <w:p w14:paraId="2A57DF32" w14:textId="77777777" w:rsidR="009E50B5" w:rsidRPr="009E50B5" w:rsidRDefault="009E50B5" w:rsidP="00454EE7">
            <w:pPr>
              <w:spacing w:line="18" w:lineRule="atLeast"/>
              <w:jc w:val="center"/>
              <w:rPr>
                <w:rFonts w:ascii="Cambria" w:hAnsi="Cambria" w:cs="Arial"/>
                <w:b/>
                <w:bCs/>
                <w:color w:val="000000"/>
                <w:sz w:val="16"/>
                <w:szCs w:val="16"/>
              </w:rPr>
            </w:pPr>
            <w:r>
              <w:rPr>
                <w:rFonts w:ascii="Cambria" w:hAnsi="Cambria"/>
                <w:b/>
                <w:color w:val="000000"/>
                <w:sz w:val="16"/>
              </w:rPr>
              <w:t>2-3 ans</w:t>
            </w:r>
          </w:p>
        </w:tc>
        <w:tc>
          <w:tcPr>
            <w:tcW w:w="502" w:type="pct"/>
            <w:tcBorders>
              <w:top w:val="single" w:sz="4" w:space="0" w:color="0070C0"/>
              <w:left w:val="nil"/>
              <w:bottom w:val="single" w:sz="8" w:space="0" w:color="0070C0"/>
              <w:right w:val="nil"/>
            </w:tcBorders>
            <w:shd w:val="clear" w:color="auto" w:fill="auto"/>
            <w:vAlign w:val="bottom"/>
            <w:hideMark/>
          </w:tcPr>
          <w:p w14:paraId="081A4487" w14:textId="77777777" w:rsidR="009E50B5" w:rsidRPr="009E50B5" w:rsidRDefault="009E50B5" w:rsidP="00454EE7">
            <w:pPr>
              <w:spacing w:line="18" w:lineRule="atLeast"/>
              <w:jc w:val="center"/>
              <w:rPr>
                <w:rFonts w:ascii="Cambria" w:hAnsi="Cambria" w:cs="Arial"/>
                <w:b/>
                <w:bCs/>
                <w:color w:val="000000"/>
                <w:sz w:val="16"/>
                <w:szCs w:val="16"/>
              </w:rPr>
            </w:pPr>
            <w:r>
              <w:rPr>
                <w:rFonts w:ascii="Cambria" w:hAnsi="Cambria"/>
                <w:b/>
                <w:color w:val="000000"/>
                <w:sz w:val="16"/>
              </w:rPr>
              <w:t>3-4 ans</w:t>
            </w:r>
          </w:p>
        </w:tc>
        <w:tc>
          <w:tcPr>
            <w:tcW w:w="502" w:type="pct"/>
            <w:tcBorders>
              <w:top w:val="single" w:sz="4" w:space="0" w:color="0070C0"/>
              <w:left w:val="nil"/>
              <w:bottom w:val="single" w:sz="8" w:space="0" w:color="0070C0"/>
              <w:right w:val="nil"/>
            </w:tcBorders>
            <w:shd w:val="clear" w:color="auto" w:fill="auto"/>
            <w:vAlign w:val="bottom"/>
            <w:hideMark/>
          </w:tcPr>
          <w:p w14:paraId="72C3ADD5" w14:textId="77777777" w:rsidR="009E50B5" w:rsidRPr="009E50B5" w:rsidRDefault="009E50B5" w:rsidP="00454EE7">
            <w:pPr>
              <w:spacing w:line="18" w:lineRule="atLeast"/>
              <w:jc w:val="center"/>
              <w:rPr>
                <w:rFonts w:ascii="Cambria" w:hAnsi="Cambria" w:cs="Arial"/>
                <w:b/>
                <w:bCs/>
                <w:color w:val="000000"/>
                <w:sz w:val="16"/>
                <w:szCs w:val="16"/>
              </w:rPr>
            </w:pPr>
            <w:r>
              <w:rPr>
                <w:rFonts w:ascii="Cambria" w:hAnsi="Cambria"/>
                <w:b/>
                <w:color w:val="000000"/>
                <w:sz w:val="16"/>
              </w:rPr>
              <w:t>4-5 ans</w:t>
            </w:r>
          </w:p>
        </w:tc>
        <w:tc>
          <w:tcPr>
            <w:tcW w:w="507" w:type="pct"/>
            <w:tcBorders>
              <w:top w:val="single" w:sz="4" w:space="0" w:color="0070C0"/>
              <w:left w:val="nil"/>
              <w:bottom w:val="single" w:sz="8" w:space="0" w:color="0070C0"/>
              <w:right w:val="nil"/>
            </w:tcBorders>
            <w:shd w:val="clear" w:color="auto" w:fill="auto"/>
            <w:vAlign w:val="bottom"/>
            <w:hideMark/>
          </w:tcPr>
          <w:p w14:paraId="57F0A675" w14:textId="77777777" w:rsidR="009E50B5" w:rsidRPr="009E50B5" w:rsidRDefault="009E50B5" w:rsidP="00454EE7">
            <w:pPr>
              <w:spacing w:line="18" w:lineRule="atLeast"/>
              <w:jc w:val="center"/>
              <w:rPr>
                <w:rFonts w:ascii="Cambria" w:hAnsi="Cambria" w:cs="Arial"/>
                <w:b/>
                <w:bCs/>
                <w:color w:val="000000"/>
                <w:sz w:val="16"/>
                <w:szCs w:val="16"/>
              </w:rPr>
            </w:pPr>
            <w:r>
              <w:rPr>
                <w:rFonts w:ascii="Cambria" w:hAnsi="Cambria"/>
                <w:b/>
                <w:color w:val="000000"/>
                <w:sz w:val="16"/>
              </w:rPr>
              <w:t>&gt;5 ans</w:t>
            </w:r>
          </w:p>
        </w:tc>
        <w:tc>
          <w:tcPr>
            <w:tcW w:w="569" w:type="pct"/>
            <w:tcBorders>
              <w:top w:val="single" w:sz="4" w:space="0" w:color="0070C0"/>
              <w:left w:val="nil"/>
              <w:bottom w:val="single" w:sz="8" w:space="0" w:color="0070C0"/>
              <w:right w:val="nil"/>
            </w:tcBorders>
            <w:shd w:val="clear" w:color="auto" w:fill="auto"/>
            <w:vAlign w:val="bottom"/>
            <w:hideMark/>
          </w:tcPr>
          <w:p w14:paraId="462ECDDD" w14:textId="77777777" w:rsidR="009E50B5" w:rsidRPr="009E50B5" w:rsidRDefault="009E50B5" w:rsidP="00454EE7">
            <w:pPr>
              <w:spacing w:line="18" w:lineRule="atLeast"/>
              <w:jc w:val="center"/>
              <w:rPr>
                <w:rFonts w:ascii="Cambria" w:hAnsi="Cambria" w:cs="Arial"/>
                <w:b/>
                <w:bCs/>
                <w:color w:val="000000"/>
                <w:sz w:val="16"/>
                <w:szCs w:val="16"/>
              </w:rPr>
            </w:pPr>
            <w:r>
              <w:rPr>
                <w:rFonts w:ascii="Cambria" w:hAnsi="Cambria"/>
                <w:b/>
                <w:color w:val="000000"/>
                <w:sz w:val="16"/>
              </w:rPr>
              <w:t>Total</w:t>
            </w:r>
          </w:p>
        </w:tc>
      </w:tr>
      <w:tr w:rsidR="009E50B5" w:rsidRPr="009E50B5" w14:paraId="68742359" w14:textId="77777777" w:rsidTr="00717185">
        <w:trPr>
          <w:trHeight w:val="285"/>
        </w:trPr>
        <w:tc>
          <w:tcPr>
            <w:tcW w:w="1365" w:type="pct"/>
            <w:tcBorders>
              <w:top w:val="nil"/>
              <w:left w:val="nil"/>
              <w:bottom w:val="nil"/>
              <w:right w:val="nil"/>
            </w:tcBorders>
            <w:shd w:val="clear" w:color="auto" w:fill="auto"/>
            <w:noWrap/>
            <w:vAlign w:val="bottom"/>
            <w:hideMark/>
          </w:tcPr>
          <w:p w14:paraId="6AB4F2E3" w14:textId="77777777" w:rsidR="009E50B5" w:rsidRPr="009E50B5" w:rsidRDefault="009E50B5" w:rsidP="00454EE7">
            <w:pPr>
              <w:spacing w:line="18" w:lineRule="atLeast"/>
              <w:jc w:val="center"/>
              <w:rPr>
                <w:rFonts w:ascii="Cambria" w:hAnsi="Cambria" w:cs="Arial"/>
                <w:b/>
                <w:bCs/>
                <w:color w:val="000000"/>
                <w:sz w:val="16"/>
                <w:szCs w:val="16"/>
              </w:rPr>
            </w:pPr>
          </w:p>
        </w:tc>
        <w:tc>
          <w:tcPr>
            <w:tcW w:w="551" w:type="pct"/>
            <w:tcBorders>
              <w:top w:val="nil"/>
              <w:left w:val="nil"/>
              <w:bottom w:val="nil"/>
              <w:right w:val="nil"/>
            </w:tcBorders>
            <w:shd w:val="clear" w:color="auto" w:fill="auto"/>
            <w:noWrap/>
            <w:vAlign w:val="bottom"/>
            <w:hideMark/>
          </w:tcPr>
          <w:p w14:paraId="3AD6DD36" w14:textId="77777777" w:rsidR="009E50B5" w:rsidRPr="009E50B5" w:rsidRDefault="009E50B5"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5FF125ED" w14:textId="77777777" w:rsidR="009E50B5" w:rsidRPr="009E50B5" w:rsidRDefault="009E50B5"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4148CF9C" w14:textId="77777777" w:rsidR="009E50B5" w:rsidRPr="009E50B5" w:rsidRDefault="009E50B5"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21517DB3" w14:textId="77777777" w:rsidR="009E50B5" w:rsidRPr="009E50B5" w:rsidRDefault="009E50B5"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4E4FF054" w14:textId="77777777" w:rsidR="009E50B5" w:rsidRPr="009E50B5" w:rsidRDefault="009E50B5" w:rsidP="00454EE7">
            <w:pPr>
              <w:spacing w:line="18" w:lineRule="atLeast"/>
              <w:rPr>
                <w:sz w:val="16"/>
                <w:szCs w:val="16"/>
              </w:rPr>
            </w:pPr>
          </w:p>
        </w:tc>
        <w:tc>
          <w:tcPr>
            <w:tcW w:w="507" w:type="pct"/>
            <w:tcBorders>
              <w:top w:val="nil"/>
              <w:left w:val="nil"/>
              <w:bottom w:val="nil"/>
              <w:right w:val="nil"/>
            </w:tcBorders>
            <w:shd w:val="clear" w:color="auto" w:fill="auto"/>
            <w:noWrap/>
            <w:vAlign w:val="bottom"/>
            <w:hideMark/>
          </w:tcPr>
          <w:p w14:paraId="6BC3981C" w14:textId="77777777" w:rsidR="009E50B5" w:rsidRPr="009E50B5" w:rsidRDefault="009E50B5" w:rsidP="00454EE7">
            <w:pPr>
              <w:spacing w:line="18" w:lineRule="atLeast"/>
              <w:rPr>
                <w:sz w:val="16"/>
                <w:szCs w:val="16"/>
              </w:rPr>
            </w:pPr>
          </w:p>
        </w:tc>
        <w:tc>
          <w:tcPr>
            <w:tcW w:w="569" w:type="pct"/>
            <w:tcBorders>
              <w:top w:val="nil"/>
              <w:left w:val="nil"/>
              <w:bottom w:val="nil"/>
              <w:right w:val="nil"/>
            </w:tcBorders>
            <w:shd w:val="clear" w:color="auto" w:fill="auto"/>
            <w:noWrap/>
            <w:vAlign w:val="bottom"/>
            <w:hideMark/>
          </w:tcPr>
          <w:p w14:paraId="49AF62F5" w14:textId="77777777" w:rsidR="009E50B5" w:rsidRPr="009E50B5" w:rsidRDefault="009E50B5" w:rsidP="00454EE7">
            <w:pPr>
              <w:spacing w:line="18" w:lineRule="atLeast"/>
              <w:rPr>
                <w:sz w:val="16"/>
                <w:szCs w:val="16"/>
              </w:rPr>
            </w:pPr>
          </w:p>
        </w:tc>
      </w:tr>
      <w:tr w:rsidR="009E50B5" w:rsidRPr="009E50B5" w14:paraId="37B3A0AE" w14:textId="77777777" w:rsidTr="00717185">
        <w:trPr>
          <w:trHeight w:val="240"/>
        </w:trPr>
        <w:tc>
          <w:tcPr>
            <w:tcW w:w="1365" w:type="pct"/>
            <w:tcBorders>
              <w:top w:val="nil"/>
              <w:left w:val="nil"/>
              <w:bottom w:val="nil"/>
              <w:right w:val="nil"/>
            </w:tcBorders>
            <w:shd w:val="clear" w:color="auto" w:fill="auto"/>
            <w:noWrap/>
            <w:vAlign w:val="bottom"/>
            <w:hideMark/>
          </w:tcPr>
          <w:p w14:paraId="4A7CFF13" w14:textId="77777777" w:rsidR="009E50B5" w:rsidRPr="009E50B5" w:rsidRDefault="009E50B5" w:rsidP="00454EE7">
            <w:pPr>
              <w:spacing w:line="18" w:lineRule="atLeast"/>
              <w:rPr>
                <w:rFonts w:ascii="Cambria" w:hAnsi="Cambria" w:cs="Arial"/>
                <w:b/>
                <w:bCs/>
                <w:color w:val="000000"/>
                <w:sz w:val="16"/>
                <w:szCs w:val="16"/>
              </w:rPr>
            </w:pPr>
            <w:r>
              <w:rPr>
                <w:rFonts w:ascii="Cambria" w:hAnsi="Cambria"/>
                <w:b/>
                <w:color w:val="000000"/>
                <w:sz w:val="16"/>
              </w:rPr>
              <w:t>Bilan au 31 décembre 2020</w:t>
            </w:r>
          </w:p>
        </w:tc>
        <w:tc>
          <w:tcPr>
            <w:tcW w:w="551" w:type="pct"/>
            <w:tcBorders>
              <w:top w:val="nil"/>
              <w:left w:val="nil"/>
              <w:bottom w:val="nil"/>
              <w:right w:val="nil"/>
            </w:tcBorders>
            <w:shd w:val="clear" w:color="auto" w:fill="auto"/>
            <w:noWrap/>
            <w:vAlign w:val="bottom"/>
            <w:hideMark/>
          </w:tcPr>
          <w:p w14:paraId="38524B67" w14:textId="77777777" w:rsidR="009E50B5" w:rsidRPr="009E50B5" w:rsidRDefault="009E50B5" w:rsidP="00454EE7">
            <w:pPr>
              <w:spacing w:line="18" w:lineRule="atLeast"/>
              <w:rPr>
                <w:rFonts w:ascii="Cambria" w:hAnsi="Cambria" w:cs="Arial"/>
                <w:b/>
                <w:bCs/>
                <w:color w:val="000000"/>
                <w:sz w:val="16"/>
                <w:szCs w:val="16"/>
              </w:rPr>
            </w:pPr>
          </w:p>
        </w:tc>
        <w:tc>
          <w:tcPr>
            <w:tcW w:w="502" w:type="pct"/>
            <w:tcBorders>
              <w:top w:val="nil"/>
              <w:left w:val="nil"/>
              <w:bottom w:val="nil"/>
              <w:right w:val="nil"/>
            </w:tcBorders>
            <w:shd w:val="clear" w:color="auto" w:fill="auto"/>
            <w:noWrap/>
            <w:vAlign w:val="bottom"/>
            <w:hideMark/>
          </w:tcPr>
          <w:p w14:paraId="48237D8B" w14:textId="77777777" w:rsidR="009E50B5" w:rsidRPr="009E50B5" w:rsidRDefault="009E50B5"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14941025" w14:textId="77777777" w:rsidR="009E50B5" w:rsidRPr="009E50B5" w:rsidRDefault="009E50B5"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0F3C1C55" w14:textId="77777777" w:rsidR="009E50B5" w:rsidRPr="009E50B5" w:rsidRDefault="009E50B5"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1017A7E6" w14:textId="77777777" w:rsidR="009E50B5" w:rsidRPr="009E50B5" w:rsidRDefault="009E50B5" w:rsidP="00454EE7">
            <w:pPr>
              <w:spacing w:line="18" w:lineRule="atLeast"/>
              <w:rPr>
                <w:sz w:val="16"/>
                <w:szCs w:val="16"/>
              </w:rPr>
            </w:pPr>
          </w:p>
        </w:tc>
        <w:tc>
          <w:tcPr>
            <w:tcW w:w="507" w:type="pct"/>
            <w:tcBorders>
              <w:top w:val="nil"/>
              <w:left w:val="nil"/>
              <w:bottom w:val="nil"/>
              <w:right w:val="nil"/>
            </w:tcBorders>
            <w:shd w:val="clear" w:color="auto" w:fill="auto"/>
            <w:noWrap/>
            <w:vAlign w:val="bottom"/>
            <w:hideMark/>
          </w:tcPr>
          <w:p w14:paraId="7690CCD0" w14:textId="77777777" w:rsidR="009E50B5" w:rsidRPr="009E50B5" w:rsidRDefault="009E50B5" w:rsidP="00454EE7">
            <w:pPr>
              <w:spacing w:line="18" w:lineRule="atLeast"/>
              <w:rPr>
                <w:sz w:val="16"/>
                <w:szCs w:val="16"/>
              </w:rPr>
            </w:pPr>
          </w:p>
        </w:tc>
        <w:tc>
          <w:tcPr>
            <w:tcW w:w="569" w:type="pct"/>
            <w:tcBorders>
              <w:top w:val="nil"/>
              <w:left w:val="nil"/>
              <w:bottom w:val="nil"/>
              <w:right w:val="nil"/>
            </w:tcBorders>
            <w:shd w:val="clear" w:color="auto" w:fill="auto"/>
            <w:noWrap/>
            <w:vAlign w:val="bottom"/>
            <w:hideMark/>
          </w:tcPr>
          <w:p w14:paraId="2C0E327D" w14:textId="77777777" w:rsidR="009E50B5" w:rsidRPr="009E50B5" w:rsidRDefault="009E50B5" w:rsidP="00454EE7">
            <w:pPr>
              <w:spacing w:line="18" w:lineRule="atLeast"/>
              <w:rPr>
                <w:sz w:val="16"/>
                <w:szCs w:val="16"/>
              </w:rPr>
            </w:pPr>
          </w:p>
        </w:tc>
      </w:tr>
      <w:tr w:rsidR="00F26E30" w:rsidRPr="009E50B5" w14:paraId="6967148C" w14:textId="77777777" w:rsidTr="00717185">
        <w:trPr>
          <w:trHeight w:val="240"/>
        </w:trPr>
        <w:tc>
          <w:tcPr>
            <w:tcW w:w="1365" w:type="pct"/>
            <w:tcBorders>
              <w:top w:val="nil"/>
              <w:left w:val="nil"/>
              <w:bottom w:val="nil"/>
              <w:right w:val="nil"/>
            </w:tcBorders>
            <w:shd w:val="clear" w:color="auto" w:fill="auto"/>
            <w:noWrap/>
            <w:vAlign w:val="bottom"/>
            <w:hideMark/>
          </w:tcPr>
          <w:p w14:paraId="012800B1" w14:textId="77777777" w:rsidR="00F26E30" w:rsidRPr="009E50B5" w:rsidRDefault="00F26E30" w:rsidP="00454EE7">
            <w:pPr>
              <w:spacing w:line="18" w:lineRule="atLeast"/>
              <w:rPr>
                <w:rFonts w:ascii="Cambria" w:hAnsi="Cambria" w:cs="Arial"/>
                <w:color w:val="000000"/>
                <w:sz w:val="16"/>
                <w:szCs w:val="16"/>
              </w:rPr>
            </w:pPr>
            <w:r>
              <w:rPr>
                <w:rFonts w:ascii="Cambria" w:hAnsi="Cambria"/>
                <w:color w:val="000000"/>
                <w:sz w:val="16"/>
              </w:rPr>
              <w:t>Prêt de la BCC</w:t>
            </w:r>
          </w:p>
        </w:tc>
        <w:tc>
          <w:tcPr>
            <w:tcW w:w="551" w:type="pct"/>
            <w:tcBorders>
              <w:top w:val="nil"/>
              <w:left w:val="nil"/>
              <w:bottom w:val="nil"/>
              <w:right w:val="nil"/>
            </w:tcBorders>
            <w:shd w:val="clear" w:color="auto" w:fill="auto"/>
            <w:noWrap/>
            <w:vAlign w:val="bottom"/>
            <w:hideMark/>
          </w:tcPr>
          <w:p w14:paraId="76AF32BB" w14:textId="2A323D97"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103 206 </w:t>
            </w:r>
          </w:p>
        </w:tc>
        <w:tc>
          <w:tcPr>
            <w:tcW w:w="502" w:type="pct"/>
            <w:tcBorders>
              <w:top w:val="nil"/>
              <w:left w:val="nil"/>
              <w:bottom w:val="nil"/>
              <w:right w:val="nil"/>
            </w:tcBorders>
            <w:shd w:val="clear" w:color="auto" w:fill="auto"/>
            <w:noWrap/>
            <w:vAlign w:val="bottom"/>
            <w:hideMark/>
          </w:tcPr>
          <w:p w14:paraId="3A3A2520" w14:textId="72746571"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71 849 </w:t>
            </w:r>
          </w:p>
        </w:tc>
        <w:tc>
          <w:tcPr>
            <w:tcW w:w="502" w:type="pct"/>
            <w:tcBorders>
              <w:top w:val="nil"/>
              <w:left w:val="nil"/>
              <w:bottom w:val="nil"/>
              <w:right w:val="nil"/>
            </w:tcBorders>
            <w:shd w:val="clear" w:color="auto" w:fill="auto"/>
            <w:noWrap/>
            <w:vAlign w:val="bottom"/>
            <w:hideMark/>
          </w:tcPr>
          <w:p w14:paraId="63AEFEEF" w14:textId="77777777" w:rsidR="00F26E30" w:rsidRPr="00F26E30" w:rsidRDefault="00F26E30" w:rsidP="00454EE7">
            <w:pPr>
              <w:spacing w:line="18" w:lineRule="atLeast"/>
              <w:rPr>
                <w:rFonts w:ascii="Cambria" w:hAnsi="Cambria" w:cs="Arial"/>
                <w:color w:val="000000"/>
                <w:sz w:val="16"/>
                <w:szCs w:val="16"/>
              </w:rPr>
            </w:pPr>
          </w:p>
        </w:tc>
        <w:tc>
          <w:tcPr>
            <w:tcW w:w="502" w:type="pct"/>
            <w:tcBorders>
              <w:top w:val="nil"/>
              <w:left w:val="nil"/>
              <w:bottom w:val="nil"/>
              <w:right w:val="nil"/>
            </w:tcBorders>
            <w:shd w:val="clear" w:color="auto" w:fill="auto"/>
            <w:noWrap/>
            <w:vAlign w:val="bottom"/>
            <w:hideMark/>
          </w:tcPr>
          <w:p w14:paraId="4B770D83"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314E29A4" w14:textId="77777777" w:rsidR="00F26E30" w:rsidRPr="00F26E30" w:rsidRDefault="00F26E30" w:rsidP="00454EE7">
            <w:pPr>
              <w:spacing w:line="18" w:lineRule="atLeast"/>
              <w:rPr>
                <w:sz w:val="16"/>
                <w:szCs w:val="16"/>
              </w:rPr>
            </w:pPr>
          </w:p>
        </w:tc>
        <w:tc>
          <w:tcPr>
            <w:tcW w:w="507" w:type="pct"/>
            <w:tcBorders>
              <w:top w:val="nil"/>
              <w:left w:val="nil"/>
              <w:bottom w:val="nil"/>
              <w:right w:val="nil"/>
            </w:tcBorders>
            <w:shd w:val="clear" w:color="auto" w:fill="auto"/>
            <w:noWrap/>
            <w:vAlign w:val="bottom"/>
            <w:hideMark/>
          </w:tcPr>
          <w:p w14:paraId="1EA04442" w14:textId="77777777" w:rsidR="00F26E30" w:rsidRPr="00F26E30" w:rsidRDefault="00F26E30" w:rsidP="00454EE7">
            <w:pPr>
              <w:spacing w:line="18" w:lineRule="atLeast"/>
              <w:rPr>
                <w:sz w:val="16"/>
                <w:szCs w:val="16"/>
              </w:rPr>
            </w:pPr>
          </w:p>
        </w:tc>
        <w:tc>
          <w:tcPr>
            <w:tcW w:w="569" w:type="pct"/>
            <w:tcBorders>
              <w:top w:val="nil"/>
              <w:left w:val="nil"/>
              <w:bottom w:val="nil"/>
              <w:right w:val="nil"/>
            </w:tcBorders>
            <w:shd w:val="clear" w:color="auto" w:fill="auto"/>
            <w:noWrap/>
            <w:vAlign w:val="bottom"/>
            <w:hideMark/>
          </w:tcPr>
          <w:p w14:paraId="05675CFD" w14:textId="0D19F2BA"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175 055 </w:t>
            </w:r>
          </w:p>
        </w:tc>
      </w:tr>
      <w:tr w:rsidR="00F26E30" w:rsidRPr="009E50B5" w14:paraId="2E6FB4DA" w14:textId="77777777" w:rsidTr="00717185">
        <w:trPr>
          <w:trHeight w:val="240"/>
        </w:trPr>
        <w:tc>
          <w:tcPr>
            <w:tcW w:w="1365" w:type="pct"/>
            <w:tcBorders>
              <w:top w:val="nil"/>
              <w:left w:val="nil"/>
              <w:bottom w:val="nil"/>
              <w:right w:val="nil"/>
            </w:tcBorders>
            <w:shd w:val="clear" w:color="auto" w:fill="auto"/>
            <w:noWrap/>
            <w:vAlign w:val="bottom"/>
            <w:hideMark/>
          </w:tcPr>
          <w:p w14:paraId="328C395E" w14:textId="77777777" w:rsidR="00F26E30" w:rsidRPr="009E50B5" w:rsidRDefault="00F26E30" w:rsidP="00454EE7">
            <w:pPr>
              <w:spacing w:line="18" w:lineRule="atLeast"/>
              <w:rPr>
                <w:rFonts w:ascii="Cambria" w:hAnsi="Cambria" w:cs="Arial"/>
                <w:color w:val="000000"/>
                <w:sz w:val="16"/>
                <w:szCs w:val="16"/>
              </w:rPr>
            </w:pPr>
            <w:r>
              <w:rPr>
                <w:rFonts w:ascii="Cambria" w:hAnsi="Cambria"/>
                <w:color w:val="000000"/>
                <w:sz w:val="16"/>
              </w:rPr>
              <w:t>Prêt de la BPB</w:t>
            </w:r>
          </w:p>
        </w:tc>
        <w:tc>
          <w:tcPr>
            <w:tcW w:w="551" w:type="pct"/>
            <w:tcBorders>
              <w:top w:val="nil"/>
              <w:left w:val="nil"/>
              <w:bottom w:val="nil"/>
              <w:right w:val="nil"/>
            </w:tcBorders>
            <w:shd w:val="clear" w:color="auto" w:fill="auto"/>
            <w:noWrap/>
            <w:vAlign w:val="bottom"/>
            <w:hideMark/>
          </w:tcPr>
          <w:p w14:paraId="4881A450" w14:textId="7D73495B"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263 271 </w:t>
            </w:r>
          </w:p>
        </w:tc>
        <w:tc>
          <w:tcPr>
            <w:tcW w:w="502" w:type="pct"/>
            <w:tcBorders>
              <w:top w:val="nil"/>
              <w:left w:val="nil"/>
              <w:bottom w:val="nil"/>
              <w:right w:val="nil"/>
            </w:tcBorders>
            <w:shd w:val="clear" w:color="auto" w:fill="auto"/>
            <w:noWrap/>
            <w:vAlign w:val="bottom"/>
            <w:hideMark/>
          </w:tcPr>
          <w:p w14:paraId="308970BF" w14:textId="7AEC6942"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267 916 </w:t>
            </w:r>
          </w:p>
        </w:tc>
        <w:tc>
          <w:tcPr>
            <w:tcW w:w="502" w:type="pct"/>
            <w:tcBorders>
              <w:top w:val="nil"/>
              <w:left w:val="nil"/>
              <w:bottom w:val="nil"/>
              <w:right w:val="nil"/>
            </w:tcBorders>
            <w:shd w:val="clear" w:color="auto" w:fill="auto"/>
            <w:noWrap/>
            <w:vAlign w:val="bottom"/>
            <w:hideMark/>
          </w:tcPr>
          <w:p w14:paraId="23B72781" w14:textId="394F3ED7"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67 715 </w:t>
            </w:r>
          </w:p>
        </w:tc>
        <w:tc>
          <w:tcPr>
            <w:tcW w:w="502" w:type="pct"/>
            <w:tcBorders>
              <w:top w:val="nil"/>
              <w:left w:val="nil"/>
              <w:bottom w:val="nil"/>
              <w:right w:val="nil"/>
            </w:tcBorders>
            <w:shd w:val="clear" w:color="auto" w:fill="auto"/>
            <w:noWrap/>
            <w:vAlign w:val="bottom"/>
            <w:hideMark/>
          </w:tcPr>
          <w:p w14:paraId="44734AB7" w14:textId="77777777" w:rsidR="00F26E30" w:rsidRPr="00F26E30" w:rsidRDefault="00F26E30" w:rsidP="00454EE7">
            <w:pPr>
              <w:spacing w:line="18" w:lineRule="atLeast"/>
              <w:rPr>
                <w:rFonts w:ascii="Cambria" w:hAnsi="Cambria" w:cs="Arial"/>
                <w:color w:val="000000"/>
                <w:sz w:val="16"/>
                <w:szCs w:val="16"/>
              </w:rPr>
            </w:pPr>
          </w:p>
        </w:tc>
        <w:tc>
          <w:tcPr>
            <w:tcW w:w="502" w:type="pct"/>
            <w:tcBorders>
              <w:top w:val="nil"/>
              <w:left w:val="nil"/>
              <w:bottom w:val="nil"/>
              <w:right w:val="nil"/>
            </w:tcBorders>
            <w:shd w:val="clear" w:color="auto" w:fill="auto"/>
            <w:noWrap/>
            <w:vAlign w:val="bottom"/>
            <w:hideMark/>
          </w:tcPr>
          <w:p w14:paraId="160639EE" w14:textId="77777777" w:rsidR="00F26E30" w:rsidRPr="00F26E30" w:rsidRDefault="00F26E30" w:rsidP="00454EE7">
            <w:pPr>
              <w:spacing w:line="18" w:lineRule="atLeast"/>
              <w:rPr>
                <w:sz w:val="16"/>
                <w:szCs w:val="16"/>
              </w:rPr>
            </w:pPr>
          </w:p>
        </w:tc>
        <w:tc>
          <w:tcPr>
            <w:tcW w:w="507" w:type="pct"/>
            <w:tcBorders>
              <w:top w:val="nil"/>
              <w:left w:val="nil"/>
              <w:bottom w:val="nil"/>
              <w:right w:val="nil"/>
            </w:tcBorders>
            <w:shd w:val="clear" w:color="auto" w:fill="auto"/>
            <w:noWrap/>
            <w:vAlign w:val="bottom"/>
            <w:hideMark/>
          </w:tcPr>
          <w:p w14:paraId="07E92513" w14:textId="77777777" w:rsidR="00F26E30" w:rsidRPr="00F26E30" w:rsidRDefault="00F26E30" w:rsidP="00454EE7">
            <w:pPr>
              <w:spacing w:line="18" w:lineRule="atLeast"/>
              <w:rPr>
                <w:sz w:val="16"/>
                <w:szCs w:val="16"/>
              </w:rPr>
            </w:pPr>
          </w:p>
        </w:tc>
        <w:tc>
          <w:tcPr>
            <w:tcW w:w="569" w:type="pct"/>
            <w:tcBorders>
              <w:top w:val="nil"/>
              <w:left w:val="nil"/>
              <w:bottom w:val="nil"/>
              <w:right w:val="nil"/>
            </w:tcBorders>
            <w:shd w:val="clear" w:color="auto" w:fill="auto"/>
            <w:noWrap/>
            <w:vAlign w:val="bottom"/>
            <w:hideMark/>
          </w:tcPr>
          <w:p w14:paraId="163FF391" w14:textId="6B39A5EC"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598 902 </w:t>
            </w:r>
          </w:p>
        </w:tc>
      </w:tr>
      <w:tr w:rsidR="00F26E30" w:rsidRPr="009E50B5" w14:paraId="73B6BED0" w14:textId="77777777" w:rsidTr="00717185">
        <w:trPr>
          <w:trHeight w:val="240"/>
        </w:trPr>
        <w:tc>
          <w:tcPr>
            <w:tcW w:w="1365" w:type="pct"/>
            <w:tcBorders>
              <w:top w:val="nil"/>
              <w:left w:val="nil"/>
              <w:bottom w:val="nil"/>
              <w:right w:val="nil"/>
            </w:tcBorders>
            <w:shd w:val="clear" w:color="auto" w:fill="auto"/>
            <w:noWrap/>
            <w:vAlign w:val="bottom"/>
            <w:hideMark/>
          </w:tcPr>
          <w:p w14:paraId="0E79EB5C" w14:textId="77777777" w:rsidR="00F26E30" w:rsidRPr="009E50B5" w:rsidRDefault="00F26E30" w:rsidP="00454EE7">
            <w:pPr>
              <w:spacing w:line="18" w:lineRule="atLeast"/>
              <w:rPr>
                <w:rFonts w:ascii="Cambria" w:hAnsi="Cambria" w:cs="Arial"/>
                <w:color w:val="000000"/>
                <w:sz w:val="16"/>
                <w:szCs w:val="16"/>
              </w:rPr>
            </w:pPr>
            <w:r>
              <w:rPr>
                <w:rFonts w:ascii="Cambria" w:hAnsi="Cambria"/>
                <w:color w:val="000000"/>
                <w:sz w:val="16"/>
              </w:rPr>
              <w:t xml:space="preserve">Prêt de la </w:t>
            </w:r>
            <w:proofErr w:type="spellStart"/>
            <w:r>
              <w:rPr>
                <w:rFonts w:ascii="Cambria" w:hAnsi="Cambria"/>
                <w:color w:val="000000"/>
                <w:sz w:val="16"/>
              </w:rPr>
              <w:t>Sanpaolo</w:t>
            </w:r>
            <w:proofErr w:type="spellEnd"/>
          </w:p>
        </w:tc>
        <w:tc>
          <w:tcPr>
            <w:tcW w:w="551" w:type="pct"/>
            <w:tcBorders>
              <w:top w:val="nil"/>
              <w:left w:val="nil"/>
              <w:bottom w:val="nil"/>
              <w:right w:val="nil"/>
            </w:tcBorders>
            <w:shd w:val="clear" w:color="auto" w:fill="auto"/>
            <w:noWrap/>
            <w:vAlign w:val="bottom"/>
            <w:hideMark/>
          </w:tcPr>
          <w:p w14:paraId="7646EBEE" w14:textId="01FD91E0"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125 371 </w:t>
            </w:r>
          </w:p>
        </w:tc>
        <w:tc>
          <w:tcPr>
            <w:tcW w:w="502" w:type="pct"/>
            <w:tcBorders>
              <w:top w:val="nil"/>
              <w:left w:val="nil"/>
              <w:bottom w:val="nil"/>
              <w:right w:val="nil"/>
            </w:tcBorders>
            <w:shd w:val="clear" w:color="auto" w:fill="auto"/>
            <w:noWrap/>
            <w:vAlign w:val="bottom"/>
            <w:hideMark/>
          </w:tcPr>
          <w:p w14:paraId="19D5FC8E" w14:textId="77777777" w:rsidR="00F26E30" w:rsidRPr="00F26E30" w:rsidRDefault="00F26E30" w:rsidP="00454EE7">
            <w:pPr>
              <w:spacing w:line="18" w:lineRule="atLeast"/>
              <w:rPr>
                <w:rFonts w:ascii="Cambria" w:hAnsi="Cambria" w:cs="Arial"/>
                <w:color w:val="000000"/>
                <w:sz w:val="16"/>
                <w:szCs w:val="16"/>
              </w:rPr>
            </w:pPr>
          </w:p>
        </w:tc>
        <w:tc>
          <w:tcPr>
            <w:tcW w:w="502" w:type="pct"/>
            <w:tcBorders>
              <w:top w:val="nil"/>
              <w:left w:val="nil"/>
              <w:bottom w:val="nil"/>
              <w:right w:val="nil"/>
            </w:tcBorders>
            <w:shd w:val="clear" w:color="auto" w:fill="auto"/>
            <w:noWrap/>
            <w:vAlign w:val="bottom"/>
            <w:hideMark/>
          </w:tcPr>
          <w:p w14:paraId="41468710"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49B8427C"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3CDB6870" w14:textId="77777777" w:rsidR="00F26E30" w:rsidRPr="00F26E30" w:rsidRDefault="00F26E30" w:rsidP="00454EE7">
            <w:pPr>
              <w:spacing w:line="18" w:lineRule="atLeast"/>
              <w:rPr>
                <w:sz w:val="16"/>
                <w:szCs w:val="16"/>
              </w:rPr>
            </w:pPr>
          </w:p>
        </w:tc>
        <w:tc>
          <w:tcPr>
            <w:tcW w:w="507" w:type="pct"/>
            <w:tcBorders>
              <w:top w:val="nil"/>
              <w:left w:val="nil"/>
              <w:bottom w:val="nil"/>
              <w:right w:val="nil"/>
            </w:tcBorders>
            <w:shd w:val="clear" w:color="auto" w:fill="auto"/>
            <w:noWrap/>
            <w:vAlign w:val="bottom"/>
            <w:hideMark/>
          </w:tcPr>
          <w:p w14:paraId="48425EEA" w14:textId="77777777" w:rsidR="00F26E30" w:rsidRPr="00F26E30" w:rsidRDefault="00F26E30" w:rsidP="00454EE7">
            <w:pPr>
              <w:spacing w:line="18" w:lineRule="atLeast"/>
              <w:rPr>
                <w:sz w:val="16"/>
                <w:szCs w:val="16"/>
              </w:rPr>
            </w:pPr>
          </w:p>
        </w:tc>
        <w:tc>
          <w:tcPr>
            <w:tcW w:w="569" w:type="pct"/>
            <w:tcBorders>
              <w:top w:val="nil"/>
              <w:left w:val="nil"/>
              <w:bottom w:val="nil"/>
              <w:right w:val="nil"/>
            </w:tcBorders>
            <w:shd w:val="clear" w:color="auto" w:fill="auto"/>
            <w:noWrap/>
            <w:vAlign w:val="bottom"/>
            <w:hideMark/>
          </w:tcPr>
          <w:p w14:paraId="354002C3" w14:textId="4AF3387C"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125 371 </w:t>
            </w:r>
          </w:p>
        </w:tc>
      </w:tr>
      <w:tr w:rsidR="00F26E30" w:rsidRPr="009E50B5" w14:paraId="251A7E9D" w14:textId="77777777" w:rsidTr="00717185">
        <w:trPr>
          <w:trHeight w:val="240"/>
        </w:trPr>
        <w:tc>
          <w:tcPr>
            <w:tcW w:w="1365" w:type="pct"/>
            <w:tcBorders>
              <w:top w:val="nil"/>
              <w:left w:val="nil"/>
              <w:bottom w:val="nil"/>
              <w:right w:val="nil"/>
            </w:tcBorders>
            <w:shd w:val="clear" w:color="auto" w:fill="auto"/>
            <w:noWrap/>
            <w:vAlign w:val="bottom"/>
            <w:hideMark/>
          </w:tcPr>
          <w:p w14:paraId="44C338CF" w14:textId="77777777" w:rsidR="00F26E30" w:rsidRPr="009E50B5" w:rsidRDefault="00F26E30" w:rsidP="00454EE7">
            <w:pPr>
              <w:spacing w:line="18" w:lineRule="atLeast"/>
              <w:rPr>
                <w:rFonts w:ascii="Cambria" w:hAnsi="Cambria" w:cs="Arial"/>
                <w:color w:val="000000"/>
                <w:sz w:val="16"/>
                <w:szCs w:val="16"/>
              </w:rPr>
            </w:pPr>
            <w:r>
              <w:rPr>
                <w:rFonts w:ascii="Cambria" w:hAnsi="Cambria"/>
                <w:color w:val="000000"/>
                <w:sz w:val="16"/>
              </w:rPr>
              <w:t xml:space="preserve">Prêt de la BCC 2 </w:t>
            </w:r>
          </w:p>
        </w:tc>
        <w:tc>
          <w:tcPr>
            <w:tcW w:w="551" w:type="pct"/>
            <w:tcBorders>
              <w:top w:val="nil"/>
              <w:left w:val="nil"/>
              <w:bottom w:val="nil"/>
              <w:right w:val="nil"/>
            </w:tcBorders>
            <w:shd w:val="clear" w:color="auto" w:fill="auto"/>
            <w:noWrap/>
            <w:vAlign w:val="bottom"/>
            <w:hideMark/>
          </w:tcPr>
          <w:p w14:paraId="106731CC" w14:textId="4FAA563E"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127 251 </w:t>
            </w:r>
          </w:p>
        </w:tc>
        <w:tc>
          <w:tcPr>
            <w:tcW w:w="502" w:type="pct"/>
            <w:tcBorders>
              <w:top w:val="nil"/>
              <w:left w:val="nil"/>
              <w:bottom w:val="nil"/>
              <w:right w:val="nil"/>
            </w:tcBorders>
            <w:shd w:val="clear" w:color="auto" w:fill="auto"/>
            <w:noWrap/>
            <w:vAlign w:val="bottom"/>
            <w:hideMark/>
          </w:tcPr>
          <w:p w14:paraId="61EE155B" w14:textId="33E75964"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130 468 </w:t>
            </w:r>
          </w:p>
        </w:tc>
        <w:tc>
          <w:tcPr>
            <w:tcW w:w="502" w:type="pct"/>
            <w:tcBorders>
              <w:top w:val="nil"/>
              <w:left w:val="nil"/>
              <w:bottom w:val="nil"/>
              <w:right w:val="nil"/>
            </w:tcBorders>
            <w:shd w:val="clear" w:color="auto" w:fill="auto"/>
            <w:noWrap/>
            <w:vAlign w:val="bottom"/>
            <w:hideMark/>
          </w:tcPr>
          <w:p w14:paraId="05B63162" w14:textId="061AD2AA"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133 768 </w:t>
            </w:r>
          </w:p>
        </w:tc>
        <w:tc>
          <w:tcPr>
            <w:tcW w:w="502" w:type="pct"/>
            <w:tcBorders>
              <w:top w:val="nil"/>
              <w:left w:val="nil"/>
              <w:bottom w:val="nil"/>
              <w:right w:val="nil"/>
            </w:tcBorders>
            <w:shd w:val="clear" w:color="auto" w:fill="auto"/>
            <w:noWrap/>
            <w:vAlign w:val="bottom"/>
            <w:hideMark/>
          </w:tcPr>
          <w:p w14:paraId="3991309A" w14:textId="69AC7F9A"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137 151 </w:t>
            </w:r>
          </w:p>
        </w:tc>
        <w:tc>
          <w:tcPr>
            <w:tcW w:w="502" w:type="pct"/>
            <w:tcBorders>
              <w:top w:val="nil"/>
              <w:left w:val="nil"/>
              <w:bottom w:val="nil"/>
              <w:right w:val="nil"/>
            </w:tcBorders>
            <w:shd w:val="clear" w:color="auto" w:fill="auto"/>
            <w:noWrap/>
            <w:vAlign w:val="bottom"/>
            <w:hideMark/>
          </w:tcPr>
          <w:p w14:paraId="12026009" w14:textId="6524C0CD"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140 619 </w:t>
            </w:r>
          </w:p>
        </w:tc>
        <w:tc>
          <w:tcPr>
            <w:tcW w:w="507" w:type="pct"/>
            <w:tcBorders>
              <w:top w:val="nil"/>
              <w:left w:val="nil"/>
              <w:bottom w:val="nil"/>
              <w:right w:val="nil"/>
            </w:tcBorders>
            <w:shd w:val="clear" w:color="auto" w:fill="auto"/>
            <w:noWrap/>
            <w:vAlign w:val="bottom"/>
            <w:hideMark/>
          </w:tcPr>
          <w:p w14:paraId="002AF5D1" w14:textId="42805BB1"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47 658 </w:t>
            </w:r>
          </w:p>
        </w:tc>
        <w:tc>
          <w:tcPr>
            <w:tcW w:w="569" w:type="pct"/>
            <w:tcBorders>
              <w:top w:val="nil"/>
              <w:left w:val="nil"/>
              <w:bottom w:val="nil"/>
              <w:right w:val="nil"/>
            </w:tcBorders>
            <w:shd w:val="clear" w:color="auto" w:fill="auto"/>
            <w:noWrap/>
            <w:vAlign w:val="bottom"/>
            <w:hideMark/>
          </w:tcPr>
          <w:p w14:paraId="0B24FD6A" w14:textId="313A36DF"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716 915 </w:t>
            </w:r>
          </w:p>
        </w:tc>
      </w:tr>
      <w:tr w:rsidR="00F26E30" w:rsidRPr="009E50B5" w14:paraId="2F967EFF" w14:textId="77777777" w:rsidTr="00717185">
        <w:trPr>
          <w:trHeight w:val="240"/>
        </w:trPr>
        <w:tc>
          <w:tcPr>
            <w:tcW w:w="1365" w:type="pct"/>
            <w:tcBorders>
              <w:top w:val="nil"/>
              <w:left w:val="nil"/>
              <w:bottom w:val="nil"/>
              <w:right w:val="nil"/>
            </w:tcBorders>
            <w:shd w:val="clear" w:color="auto" w:fill="auto"/>
            <w:noWrap/>
            <w:vAlign w:val="bottom"/>
            <w:hideMark/>
          </w:tcPr>
          <w:p w14:paraId="04780A3F" w14:textId="77777777" w:rsidR="00F26E30" w:rsidRPr="009E50B5" w:rsidRDefault="00F26E30" w:rsidP="00454EE7">
            <w:pPr>
              <w:spacing w:line="18" w:lineRule="atLeast"/>
              <w:rPr>
                <w:rFonts w:ascii="Cambria" w:hAnsi="Cambria" w:cs="Arial"/>
                <w:color w:val="000000"/>
                <w:sz w:val="16"/>
                <w:szCs w:val="16"/>
              </w:rPr>
            </w:pPr>
            <w:r>
              <w:rPr>
                <w:rFonts w:ascii="Cambria" w:hAnsi="Cambria"/>
                <w:color w:val="000000"/>
                <w:sz w:val="16"/>
              </w:rPr>
              <w:t xml:space="preserve">Prêt de la </w:t>
            </w:r>
            <w:proofErr w:type="spellStart"/>
            <w:r>
              <w:rPr>
                <w:rFonts w:ascii="Cambria" w:hAnsi="Cambria"/>
                <w:color w:val="000000"/>
                <w:sz w:val="16"/>
              </w:rPr>
              <w:t>Sanpaolo</w:t>
            </w:r>
            <w:proofErr w:type="spellEnd"/>
            <w:r>
              <w:rPr>
                <w:rFonts w:ascii="Cambria" w:hAnsi="Cambria"/>
                <w:color w:val="000000"/>
                <w:sz w:val="16"/>
              </w:rPr>
              <w:t xml:space="preserve"> 2 </w:t>
            </w:r>
          </w:p>
        </w:tc>
        <w:tc>
          <w:tcPr>
            <w:tcW w:w="551" w:type="pct"/>
            <w:tcBorders>
              <w:top w:val="nil"/>
              <w:left w:val="nil"/>
              <w:bottom w:val="nil"/>
              <w:right w:val="nil"/>
            </w:tcBorders>
            <w:shd w:val="clear" w:color="auto" w:fill="auto"/>
            <w:noWrap/>
            <w:vAlign w:val="bottom"/>
            <w:hideMark/>
          </w:tcPr>
          <w:p w14:paraId="0C2DC67A" w14:textId="3FA744E8"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296 639 </w:t>
            </w:r>
          </w:p>
        </w:tc>
        <w:tc>
          <w:tcPr>
            <w:tcW w:w="502" w:type="pct"/>
            <w:tcBorders>
              <w:top w:val="nil"/>
              <w:left w:val="nil"/>
              <w:bottom w:val="nil"/>
              <w:right w:val="nil"/>
            </w:tcBorders>
            <w:shd w:val="clear" w:color="auto" w:fill="auto"/>
            <w:noWrap/>
            <w:vAlign w:val="bottom"/>
            <w:hideMark/>
          </w:tcPr>
          <w:p w14:paraId="5323FF43" w14:textId="41AD71AC"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500 344 </w:t>
            </w:r>
          </w:p>
        </w:tc>
        <w:tc>
          <w:tcPr>
            <w:tcW w:w="502" w:type="pct"/>
            <w:tcBorders>
              <w:top w:val="nil"/>
              <w:left w:val="nil"/>
              <w:bottom w:val="nil"/>
              <w:right w:val="nil"/>
            </w:tcBorders>
            <w:shd w:val="clear" w:color="auto" w:fill="auto"/>
            <w:noWrap/>
            <w:vAlign w:val="bottom"/>
            <w:hideMark/>
          </w:tcPr>
          <w:p w14:paraId="270493BB" w14:textId="22480622"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203 017 </w:t>
            </w:r>
          </w:p>
        </w:tc>
        <w:tc>
          <w:tcPr>
            <w:tcW w:w="502" w:type="pct"/>
            <w:tcBorders>
              <w:top w:val="nil"/>
              <w:left w:val="nil"/>
              <w:bottom w:val="nil"/>
              <w:right w:val="nil"/>
            </w:tcBorders>
            <w:shd w:val="clear" w:color="auto" w:fill="auto"/>
            <w:noWrap/>
            <w:vAlign w:val="bottom"/>
            <w:hideMark/>
          </w:tcPr>
          <w:p w14:paraId="75A43BC1" w14:textId="77777777" w:rsidR="00F26E30" w:rsidRPr="00F26E30" w:rsidRDefault="00F26E30" w:rsidP="00454EE7">
            <w:pPr>
              <w:spacing w:line="18" w:lineRule="atLeast"/>
              <w:rPr>
                <w:rFonts w:ascii="Cambria" w:hAnsi="Cambria" w:cs="Arial"/>
                <w:color w:val="000000"/>
                <w:sz w:val="16"/>
                <w:szCs w:val="16"/>
              </w:rPr>
            </w:pPr>
          </w:p>
        </w:tc>
        <w:tc>
          <w:tcPr>
            <w:tcW w:w="502" w:type="pct"/>
            <w:tcBorders>
              <w:top w:val="nil"/>
              <w:left w:val="nil"/>
              <w:bottom w:val="nil"/>
              <w:right w:val="nil"/>
            </w:tcBorders>
            <w:shd w:val="clear" w:color="auto" w:fill="auto"/>
            <w:noWrap/>
            <w:vAlign w:val="bottom"/>
            <w:hideMark/>
          </w:tcPr>
          <w:p w14:paraId="38955E9D" w14:textId="77777777" w:rsidR="00F26E30" w:rsidRPr="00F26E30" w:rsidRDefault="00F26E30" w:rsidP="00454EE7">
            <w:pPr>
              <w:spacing w:line="18" w:lineRule="atLeast"/>
              <w:rPr>
                <w:sz w:val="16"/>
                <w:szCs w:val="16"/>
              </w:rPr>
            </w:pPr>
          </w:p>
        </w:tc>
        <w:tc>
          <w:tcPr>
            <w:tcW w:w="507" w:type="pct"/>
            <w:tcBorders>
              <w:top w:val="nil"/>
              <w:left w:val="nil"/>
              <w:bottom w:val="nil"/>
              <w:right w:val="nil"/>
            </w:tcBorders>
            <w:shd w:val="clear" w:color="auto" w:fill="auto"/>
            <w:noWrap/>
            <w:vAlign w:val="bottom"/>
            <w:hideMark/>
          </w:tcPr>
          <w:p w14:paraId="555B7E7B" w14:textId="77777777" w:rsidR="00F26E30" w:rsidRPr="00F26E30" w:rsidRDefault="00F26E30" w:rsidP="00454EE7">
            <w:pPr>
              <w:spacing w:line="18" w:lineRule="atLeast"/>
              <w:rPr>
                <w:sz w:val="16"/>
                <w:szCs w:val="16"/>
              </w:rPr>
            </w:pPr>
          </w:p>
        </w:tc>
        <w:tc>
          <w:tcPr>
            <w:tcW w:w="569" w:type="pct"/>
            <w:tcBorders>
              <w:top w:val="nil"/>
              <w:left w:val="nil"/>
              <w:bottom w:val="nil"/>
              <w:right w:val="nil"/>
            </w:tcBorders>
            <w:shd w:val="clear" w:color="auto" w:fill="auto"/>
            <w:noWrap/>
            <w:vAlign w:val="bottom"/>
            <w:hideMark/>
          </w:tcPr>
          <w:p w14:paraId="32101F88" w14:textId="2A5A96AA"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1 000 000 </w:t>
            </w:r>
          </w:p>
        </w:tc>
      </w:tr>
      <w:tr w:rsidR="00F26E30" w:rsidRPr="009E50B5" w14:paraId="55BB358F" w14:textId="77777777" w:rsidTr="00717185">
        <w:trPr>
          <w:trHeight w:val="240"/>
        </w:trPr>
        <w:tc>
          <w:tcPr>
            <w:tcW w:w="1365" w:type="pct"/>
            <w:tcBorders>
              <w:top w:val="nil"/>
              <w:left w:val="nil"/>
              <w:bottom w:val="nil"/>
              <w:right w:val="nil"/>
            </w:tcBorders>
            <w:shd w:val="clear" w:color="auto" w:fill="auto"/>
            <w:noWrap/>
            <w:vAlign w:val="bottom"/>
            <w:hideMark/>
          </w:tcPr>
          <w:p w14:paraId="3B92C744" w14:textId="77777777" w:rsidR="00F26E30" w:rsidRPr="009E50B5" w:rsidRDefault="00F26E30" w:rsidP="00454EE7">
            <w:pPr>
              <w:spacing w:line="18" w:lineRule="atLeast"/>
              <w:rPr>
                <w:rFonts w:ascii="Cambria" w:hAnsi="Cambria" w:cs="Arial"/>
                <w:color w:val="000000"/>
                <w:sz w:val="16"/>
                <w:szCs w:val="16"/>
              </w:rPr>
            </w:pPr>
            <w:r>
              <w:rPr>
                <w:rFonts w:ascii="Cambria" w:hAnsi="Cambria"/>
                <w:color w:val="000000"/>
                <w:sz w:val="16"/>
              </w:rPr>
              <w:t>Prêt de la BPM</w:t>
            </w:r>
          </w:p>
        </w:tc>
        <w:tc>
          <w:tcPr>
            <w:tcW w:w="551" w:type="pct"/>
            <w:tcBorders>
              <w:top w:val="nil"/>
              <w:left w:val="nil"/>
              <w:bottom w:val="nil"/>
              <w:right w:val="nil"/>
            </w:tcBorders>
            <w:shd w:val="clear" w:color="auto" w:fill="auto"/>
            <w:noWrap/>
            <w:vAlign w:val="bottom"/>
            <w:hideMark/>
          </w:tcPr>
          <w:p w14:paraId="08F35240" w14:textId="33EF2FE0"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27 189 </w:t>
            </w:r>
          </w:p>
        </w:tc>
        <w:tc>
          <w:tcPr>
            <w:tcW w:w="502" w:type="pct"/>
            <w:tcBorders>
              <w:top w:val="nil"/>
              <w:left w:val="nil"/>
              <w:bottom w:val="nil"/>
              <w:right w:val="nil"/>
            </w:tcBorders>
            <w:shd w:val="clear" w:color="auto" w:fill="auto"/>
            <w:noWrap/>
            <w:vAlign w:val="bottom"/>
            <w:hideMark/>
          </w:tcPr>
          <w:p w14:paraId="79A70CDB" w14:textId="4C52D5A7"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165 567 </w:t>
            </w:r>
          </w:p>
        </w:tc>
        <w:tc>
          <w:tcPr>
            <w:tcW w:w="502" w:type="pct"/>
            <w:tcBorders>
              <w:top w:val="nil"/>
              <w:left w:val="nil"/>
              <w:bottom w:val="nil"/>
              <w:right w:val="nil"/>
            </w:tcBorders>
            <w:shd w:val="clear" w:color="auto" w:fill="auto"/>
            <w:noWrap/>
            <w:vAlign w:val="bottom"/>
            <w:hideMark/>
          </w:tcPr>
          <w:p w14:paraId="18A522D3" w14:textId="16616A6B"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168 064 </w:t>
            </w:r>
          </w:p>
        </w:tc>
        <w:tc>
          <w:tcPr>
            <w:tcW w:w="502" w:type="pct"/>
            <w:tcBorders>
              <w:top w:val="nil"/>
              <w:left w:val="nil"/>
              <w:bottom w:val="nil"/>
              <w:right w:val="nil"/>
            </w:tcBorders>
            <w:shd w:val="clear" w:color="auto" w:fill="auto"/>
            <w:noWrap/>
            <w:vAlign w:val="bottom"/>
            <w:hideMark/>
          </w:tcPr>
          <w:p w14:paraId="1235B679" w14:textId="4E97D254"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170 599 </w:t>
            </w:r>
          </w:p>
        </w:tc>
        <w:tc>
          <w:tcPr>
            <w:tcW w:w="502" w:type="pct"/>
            <w:tcBorders>
              <w:top w:val="nil"/>
              <w:left w:val="nil"/>
              <w:bottom w:val="nil"/>
              <w:right w:val="nil"/>
            </w:tcBorders>
            <w:shd w:val="clear" w:color="auto" w:fill="auto"/>
            <w:noWrap/>
            <w:vAlign w:val="bottom"/>
            <w:hideMark/>
          </w:tcPr>
          <w:p w14:paraId="31A5EDD0" w14:textId="333606BB"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173 173 </w:t>
            </w:r>
          </w:p>
        </w:tc>
        <w:tc>
          <w:tcPr>
            <w:tcW w:w="507" w:type="pct"/>
            <w:tcBorders>
              <w:top w:val="nil"/>
              <w:left w:val="nil"/>
              <w:bottom w:val="nil"/>
              <w:right w:val="nil"/>
            </w:tcBorders>
            <w:shd w:val="clear" w:color="auto" w:fill="auto"/>
            <w:noWrap/>
            <w:vAlign w:val="bottom"/>
            <w:hideMark/>
          </w:tcPr>
          <w:p w14:paraId="45A124B2" w14:textId="1BE4F761"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145 408 </w:t>
            </w:r>
          </w:p>
        </w:tc>
        <w:tc>
          <w:tcPr>
            <w:tcW w:w="569" w:type="pct"/>
            <w:tcBorders>
              <w:top w:val="nil"/>
              <w:left w:val="nil"/>
              <w:bottom w:val="nil"/>
              <w:right w:val="nil"/>
            </w:tcBorders>
            <w:shd w:val="clear" w:color="auto" w:fill="auto"/>
            <w:noWrap/>
            <w:vAlign w:val="bottom"/>
            <w:hideMark/>
          </w:tcPr>
          <w:p w14:paraId="52099C3A" w14:textId="3CB94F40"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850 000 </w:t>
            </w:r>
          </w:p>
        </w:tc>
      </w:tr>
      <w:tr w:rsidR="00F26E30" w:rsidRPr="009E50B5" w14:paraId="19711BE4" w14:textId="77777777" w:rsidTr="00717185">
        <w:trPr>
          <w:trHeight w:val="240"/>
        </w:trPr>
        <w:tc>
          <w:tcPr>
            <w:tcW w:w="1365" w:type="pct"/>
            <w:tcBorders>
              <w:top w:val="nil"/>
              <w:left w:val="nil"/>
              <w:bottom w:val="nil"/>
              <w:right w:val="nil"/>
            </w:tcBorders>
            <w:shd w:val="clear" w:color="auto" w:fill="auto"/>
            <w:noWrap/>
            <w:vAlign w:val="bottom"/>
            <w:hideMark/>
          </w:tcPr>
          <w:p w14:paraId="0A029CA6" w14:textId="77777777" w:rsidR="00F26E30" w:rsidRPr="009E50B5" w:rsidRDefault="00F26E30" w:rsidP="00454EE7">
            <w:pPr>
              <w:spacing w:line="18" w:lineRule="atLeast"/>
              <w:rPr>
                <w:rFonts w:ascii="Cambria" w:hAnsi="Cambria" w:cs="Arial"/>
                <w:color w:val="000000"/>
                <w:sz w:val="16"/>
                <w:szCs w:val="16"/>
              </w:rPr>
            </w:pPr>
            <w:r>
              <w:rPr>
                <w:rFonts w:ascii="Cambria" w:hAnsi="Cambria"/>
                <w:color w:val="000000"/>
                <w:sz w:val="16"/>
              </w:rPr>
              <w:t>Prêt BPB2</w:t>
            </w:r>
          </w:p>
        </w:tc>
        <w:tc>
          <w:tcPr>
            <w:tcW w:w="551" w:type="pct"/>
            <w:tcBorders>
              <w:top w:val="nil"/>
              <w:left w:val="nil"/>
              <w:bottom w:val="nil"/>
              <w:right w:val="nil"/>
            </w:tcBorders>
            <w:shd w:val="clear" w:color="auto" w:fill="auto"/>
            <w:noWrap/>
            <w:vAlign w:val="bottom"/>
            <w:hideMark/>
          </w:tcPr>
          <w:p w14:paraId="21403CC9" w14:textId="35DD8BDF"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25 555 </w:t>
            </w:r>
          </w:p>
        </w:tc>
        <w:tc>
          <w:tcPr>
            <w:tcW w:w="502" w:type="pct"/>
            <w:tcBorders>
              <w:top w:val="nil"/>
              <w:left w:val="nil"/>
              <w:bottom w:val="nil"/>
              <w:right w:val="nil"/>
            </w:tcBorders>
            <w:shd w:val="clear" w:color="auto" w:fill="auto"/>
            <w:noWrap/>
            <w:vAlign w:val="bottom"/>
            <w:hideMark/>
          </w:tcPr>
          <w:p w14:paraId="3868B280" w14:textId="68045B1B"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154 904 </w:t>
            </w:r>
          </w:p>
        </w:tc>
        <w:tc>
          <w:tcPr>
            <w:tcW w:w="502" w:type="pct"/>
            <w:tcBorders>
              <w:top w:val="nil"/>
              <w:left w:val="nil"/>
              <w:bottom w:val="nil"/>
              <w:right w:val="nil"/>
            </w:tcBorders>
            <w:shd w:val="clear" w:color="auto" w:fill="auto"/>
            <w:noWrap/>
            <w:vAlign w:val="bottom"/>
            <w:hideMark/>
          </w:tcPr>
          <w:p w14:paraId="2394BD48" w14:textId="3FA6D381"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157 637 </w:t>
            </w:r>
          </w:p>
        </w:tc>
        <w:tc>
          <w:tcPr>
            <w:tcW w:w="502" w:type="pct"/>
            <w:tcBorders>
              <w:top w:val="nil"/>
              <w:left w:val="nil"/>
              <w:bottom w:val="nil"/>
              <w:right w:val="nil"/>
            </w:tcBorders>
            <w:shd w:val="clear" w:color="auto" w:fill="auto"/>
            <w:noWrap/>
            <w:vAlign w:val="bottom"/>
            <w:hideMark/>
          </w:tcPr>
          <w:p w14:paraId="1C2E3266" w14:textId="4C21BB10"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160 418 </w:t>
            </w:r>
          </w:p>
        </w:tc>
        <w:tc>
          <w:tcPr>
            <w:tcW w:w="502" w:type="pct"/>
            <w:tcBorders>
              <w:top w:val="nil"/>
              <w:left w:val="nil"/>
              <w:bottom w:val="nil"/>
              <w:right w:val="nil"/>
            </w:tcBorders>
            <w:shd w:val="clear" w:color="auto" w:fill="auto"/>
            <w:noWrap/>
            <w:vAlign w:val="bottom"/>
            <w:hideMark/>
          </w:tcPr>
          <w:p w14:paraId="33503238" w14:textId="682F7056"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163 248 </w:t>
            </w:r>
          </w:p>
        </w:tc>
        <w:tc>
          <w:tcPr>
            <w:tcW w:w="507" w:type="pct"/>
            <w:tcBorders>
              <w:top w:val="nil"/>
              <w:left w:val="nil"/>
              <w:bottom w:val="nil"/>
              <w:right w:val="nil"/>
            </w:tcBorders>
            <w:shd w:val="clear" w:color="auto" w:fill="auto"/>
            <w:noWrap/>
            <w:vAlign w:val="bottom"/>
            <w:hideMark/>
          </w:tcPr>
          <w:p w14:paraId="26A36CE8" w14:textId="28C84BE8"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138 237 </w:t>
            </w:r>
          </w:p>
        </w:tc>
        <w:tc>
          <w:tcPr>
            <w:tcW w:w="569" w:type="pct"/>
            <w:tcBorders>
              <w:top w:val="nil"/>
              <w:left w:val="nil"/>
              <w:bottom w:val="nil"/>
              <w:right w:val="nil"/>
            </w:tcBorders>
            <w:shd w:val="clear" w:color="auto" w:fill="auto"/>
            <w:noWrap/>
            <w:vAlign w:val="bottom"/>
            <w:hideMark/>
          </w:tcPr>
          <w:p w14:paraId="6695BC99" w14:textId="62A26BE7"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800 000 </w:t>
            </w:r>
          </w:p>
        </w:tc>
      </w:tr>
      <w:tr w:rsidR="00F26E30" w:rsidRPr="009E50B5" w14:paraId="04864937" w14:textId="77777777" w:rsidTr="00717185">
        <w:trPr>
          <w:trHeight w:val="240"/>
        </w:trPr>
        <w:tc>
          <w:tcPr>
            <w:tcW w:w="1365" w:type="pct"/>
            <w:tcBorders>
              <w:top w:val="nil"/>
              <w:left w:val="nil"/>
              <w:bottom w:val="nil"/>
              <w:right w:val="nil"/>
            </w:tcBorders>
            <w:shd w:val="clear" w:color="auto" w:fill="auto"/>
            <w:noWrap/>
            <w:vAlign w:val="bottom"/>
            <w:hideMark/>
          </w:tcPr>
          <w:p w14:paraId="2347B94B" w14:textId="77777777" w:rsidR="00F26E30" w:rsidRPr="009E50B5" w:rsidRDefault="00F26E30" w:rsidP="00454EE7">
            <w:pPr>
              <w:spacing w:line="18" w:lineRule="atLeast"/>
              <w:rPr>
                <w:rFonts w:ascii="Cambria" w:hAnsi="Cambria" w:cs="Arial"/>
                <w:color w:val="000000"/>
                <w:sz w:val="16"/>
                <w:szCs w:val="16"/>
              </w:rPr>
            </w:pPr>
            <w:r>
              <w:rPr>
                <w:rFonts w:ascii="Cambria" w:hAnsi="Cambria"/>
                <w:color w:val="000000"/>
                <w:sz w:val="16"/>
              </w:rPr>
              <w:t>Prêt de la BDF</w:t>
            </w:r>
          </w:p>
        </w:tc>
        <w:tc>
          <w:tcPr>
            <w:tcW w:w="551" w:type="pct"/>
            <w:tcBorders>
              <w:top w:val="nil"/>
              <w:left w:val="nil"/>
              <w:bottom w:val="nil"/>
              <w:right w:val="nil"/>
            </w:tcBorders>
            <w:shd w:val="clear" w:color="auto" w:fill="auto"/>
            <w:noWrap/>
            <w:vAlign w:val="bottom"/>
            <w:hideMark/>
          </w:tcPr>
          <w:p w14:paraId="119C4652" w14:textId="39884044"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156 408 </w:t>
            </w:r>
          </w:p>
        </w:tc>
        <w:tc>
          <w:tcPr>
            <w:tcW w:w="502" w:type="pct"/>
            <w:tcBorders>
              <w:top w:val="nil"/>
              <w:left w:val="nil"/>
              <w:bottom w:val="nil"/>
              <w:right w:val="nil"/>
            </w:tcBorders>
            <w:shd w:val="clear" w:color="auto" w:fill="auto"/>
            <w:noWrap/>
            <w:vAlign w:val="bottom"/>
            <w:hideMark/>
          </w:tcPr>
          <w:p w14:paraId="334263A0" w14:textId="60509283"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161 462 </w:t>
            </w:r>
          </w:p>
        </w:tc>
        <w:tc>
          <w:tcPr>
            <w:tcW w:w="502" w:type="pct"/>
            <w:tcBorders>
              <w:top w:val="nil"/>
              <w:left w:val="nil"/>
              <w:bottom w:val="nil"/>
              <w:right w:val="nil"/>
            </w:tcBorders>
            <w:shd w:val="clear" w:color="auto" w:fill="auto"/>
            <w:noWrap/>
            <w:vAlign w:val="bottom"/>
            <w:hideMark/>
          </w:tcPr>
          <w:p w14:paraId="14F4AE92" w14:textId="54913818"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165 305 </w:t>
            </w:r>
          </w:p>
        </w:tc>
        <w:tc>
          <w:tcPr>
            <w:tcW w:w="502" w:type="pct"/>
            <w:tcBorders>
              <w:top w:val="nil"/>
              <w:left w:val="nil"/>
              <w:bottom w:val="nil"/>
              <w:right w:val="nil"/>
            </w:tcBorders>
            <w:shd w:val="clear" w:color="auto" w:fill="auto"/>
            <w:noWrap/>
            <w:vAlign w:val="bottom"/>
            <w:hideMark/>
          </w:tcPr>
          <w:p w14:paraId="09D9C86C" w14:textId="4542232C"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169 241 </w:t>
            </w:r>
          </w:p>
        </w:tc>
        <w:tc>
          <w:tcPr>
            <w:tcW w:w="502" w:type="pct"/>
            <w:tcBorders>
              <w:top w:val="nil"/>
              <w:left w:val="nil"/>
              <w:bottom w:val="nil"/>
              <w:right w:val="nil"/>
            </w:tcBorders>
            <w:shd w:val="clear" w:color="auto" w:fill="auto"/>
            <w:noWrap/>
            <w:vAlign w:val="bottom"/>
            <w:hideMark/>
          </w:tcPr>
          <w:p w14:paraId="02EA7F40" w14:textId="275F25F6"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173 269 </w:t>
            </w:r>
          </w:p>
        </w:tc>
        <w:tc>
          <w:tcPr>
            <w:tcW w:w="507" w:type="pct"/>
            <w:tcBorders>
              <w:top w:val="nil"/>
              <w:left w:val="nil"/>
              <w:bottom w:val="nil"/>
              <w:right w:val="nil"/>
            </w:tcBorders>
            <w:shd w:val="clear" w:color="auto" w:fill="auto"/>
            <w:noWrap/>
            <w:vAlign w:val="bottom"/>
            <w:hideMark/>
          </w:tcPr>
          <w:p w14:paraId="79206D93" w14:textId="1ECC5C84"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148 820 </w:t>
            </w:r>
          </w:p>
        </w:tc>
        <w:tc>
          <w:tcPr>
            <w:tcW w:w="569" w:type="pct"/>
            <w:tcBorders>
              <w:top w:val="nil"/>
              <w:left w:val="nil"/>
              <w:bottom w:val="nil"/>
              <w:right w:val="nil"/>
            </w:tcBorders>
            <w:shd w:val="clear" w:color="auto" w:fill="auto"/>
            <w:noWrap/>
            <w:vAlign w:val="bottom"/>
            <w:hideMark/>
          </w:tcPr>
          <w:p w14:paraId="6C188A80" w14:textId="7DFBD10E"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974 505 </w:t>
            </w:r>
          </w:p>
        </w:tc>
      </w:tr>
      <w:tr w:rsidR="00F26E30" w:rsidRPr="009E50B5" w14:paraId="2968769C" w14:textId="77777777" w:rsidTr="00717185">
        <w:trPr>
          <w:trHeight w:val="240"/>
        </w:trPr>
        <w:tc>
          <w:tcPr>
            <w:tcW w:w="1365" w:type="pct"/>
            <w:tcBorders>
              <w:top w:val="nil"/>
              <w:left w:val="nil"/>
              <w:bottom w:val="nil"/>
              <w:right w:val="nil"/>
            </w:tcBorders>
            <w:shd w:val="clear" w:color="auto" w:fill="auto"/>
            <w:noWrap/>
            <w:vAlign w:val="bottom"/>
            <w:hideMark/>
          </w:tcPr>
          <w:p w14:paraId="2EB36812" w14:textId="77777777" w:rsidR="00F26E30" w:rsidRPr="009E50B5" w:rsidRDefault="00F26E30" w:rsidP="00454EE7">
            <w:pPr>
              <w:spacing w:line="18" w:lineRule="atLeast"/>
              <w:rPr>
                <w:rFonts w:ascii="Cambria" w:hAnsi="Cambria" w:cs="Arial"/>
                <w:color w:val="000000"/>
                <w:sz w:val="16"/>
                <w:szCs w:val="16"/>
              </w:rPr>
            </w:pPr>
            <w:r>
              <w:rPr>
                <w:rFonts w:ascii="Cambria" w:hAnsi="Cambria"/>
                <w:color w:val="000000"/>
                <w:sz w:val="16"/>
              </w:rPr>
              <w:t xml:space="preserve">Prêt de la </w:t>
            </w:r>
            <w:proofErr w:type="spellStart"/>
            <w:r>
              <w:rPr>
                <w:rFonts w:ascii="Cambria" w:hAnsi="Cambria"/>
                <w:color w:val="000000"/>
                <w:sz w:val="16"/>
              </w:rPr>
              <w:t>Sanpaolo</w:t>
            </w:r>
            <w:proofErr w:type="spellEnd"/>
            <w:r>
              <w:rPr>
                <w:rFonts w:ascii="Cambria" w:hAnsi="Cambria"/>
                <w:color w:val="000000"/>
                <w:sz w:val="16"/>
              </w:rPr>
              <w:t xml:space="preserve"> 3</w:t>
            </w:r>
          </w:p>
        </w:tc>
        <w:tc>
          <w:tcPr>
            <w:tcW w:w="551" w:type="pct"/>
            <w:tcBorders>
              <w:top w:val="nil"/>
              <w:left w:val="nil"/>
              <w:bottom w:val="nil"/>
              <w:right w:val="nil"/>
            </w:tcBorders>
            <w:shd w:val="clear" w:color="auto" w:fill="auto"/>
            <w:noWrap/>
            <w:vAlign w:val="bottom"/>
            <w:hideMark/>
          </w:tcPr>
          <w:p w14:paraId="33AC5102" w14:textId="70FA8EDE"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    </w:t>
            </w:r>
          </w:p>
        </w:tc>
        <w:tc>
          <w:tcPr>
            <w:tcW w:w="502" w:type="pct"/>
            <w:tcBorders>
              <w:top w:val="nil"/>
              <w:left w:val="nil"/>
              <w:bottom w:val="nil"/>
              <w:right w:val="nil"/>
            </w:tcBorders>
            <w:shd w:val="clear" w:color="auto" w:fill="auto"/>
            <w:noWrap/>
            <w:vAlign w:val="bottom"/>
            <w:hideMark/>
          </w:tcPr>
          <w:p w14:paraId="74AC84BA" w14:textId="77777777" w:rsidR="00F26E30" w:rsidRPr="00F26E30" w:rsidRDefault="00F26E30" w:rsidP="00454EE7">
            <w:pPr>
              <w:spacing w:line="18" w:lineRule="atLeast"/>
              <w:rPr>
                <w:rFonts w:ascii="Cambria" w:hAnsi="Cambria" w:cs="Arial"/>
                <w:color w:val="000000"/>
                <w:sz w:val="16"/>
                <w:szCs w:val="16"/>
              </w:rPr>
            </w:pPr>
          </w:p>
        </w:tc>
        <w:tc>
          <w:tcPr>
            <w:tcW w:w="502" w:type="pct"/>
            <w:tcBorders>
              <w:top w:val="nil"/>
              <w:left w:val="nil"/>
              <w:bottom w:val="nil"/>
              <w:right w:val="nil"/>
            </w:tcBorders>
            <w:shd w:val="clear" w:color="auto" w:fill="auto"/>
            <w:noWrap/>
            <w:vAlign w:val="bottom"/>
            <w:hideMark/>
          </w:tcPr>
          <w:p w14:paraId="196CCCF5"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7DFF905E"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50525D49" w14:textId="77777777" w:rsidR="00F26E30" w:rsidRPr="00F26E30" w:rsidRDefault="00F26E30" w:rsidP="00454EE7">
            <w:pPr>
              <w:spacing w:line="18" w:lineRule="atLeast"/>
              <w:rPr>
                <w:sz w:val="16"/>
                <w:szCs w:val="16"/>
              </w:rPr>
            </w:pPr>
          </w:p>
        </w:tc>
        <w:tc>
          <w:tcPr>
            <w:tcW w:w="507" w:type="pct"/>
            <w:tcBorders>
              <w:top w:val="nil"/>
              <w:left w:val="nil"/>
              <w:bottom w:val="nil"/>
              <w:right w:val="nil"/>
            </w:tcBorders>
            <w:shd w:val="clear" w:color="auto" w:fill="auto"/>
            <w:noWrap/>
            <w:vAlign w:val="bottom"/>
            <w:hideMark/>
          </w:tcPr>
          <w:p w14:paraId="02D18C2B" w14:textId="77777777" w:rsidR="00F26E30" w:rsidRPr="00F26E30" w:rsidRDefault="00F26E30" w:rsidP="00454EE7">
            <w:pPr>
              <w:spacing w:line="18" w:lineRule="atLeast"/>
              <w:rPr>
                <w:sz w:val="16"/>
                <w:szCs w:val="16"/>
              </w:rPr>
            </w:pPr>
          </w:p>
        </w:tc>
        <w:tc>
          <w:tcPr>
            <w:tcW w:w="569" w:type="pct"/>
            <w:tcBorders>
              <w:top w:val="nil"/>
              <w:left w:val="nil"/>
              <w:bottom w:val="nil"/>
              <w:right w:val="nil"/>
            </w:tcBorders>
            <w:shd w:val="clear" w:color="auto" w:fill="auto"/>
            <w:noWrap/>
            <w:vAlign w:val="bottom"/>
            <w:hideMark/>
          </w:tcPr>
          <w:p w14:paraId="3BFB0E82" w14:textId="790E6140"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    </w:t>
            </w:r>
          </w:p>
        </w:tc>
      </w:tr>
      <w:tr w:rsidR="00F26E30" w:rsidRPr="009E50B5" w14:paraId="33F6A3C1" w14:textId="77777777" w:rsidTr="00717185">
        <w:trPr>
          <w:trHeight w:val="240"/>
        </w:trPr>
        <w:tc>
          <w:tcPr>
            <w:tcW w:w="1365" w:type="pct"/>
            <w:tcBorders>
              <w:top w:val="nil"/>
              <w:left w:val="nil"/>
              <w:bottom w:val="nil"/>
              <w:right w:val="nil"/>
            </w:tcBorders>
            <w:shd w:val="clear" w:color="auto" w:fill="auto"/>
            <w:noWrap/>
            <w:vAlign w:val="bottom"/>
            <w:hideMark/>
          </w:tcPr>
          <w:p w14:paraId="279AFFF0" w14:textId="77777777" w:rsidR="00F26E30" w:rsidRPr="009E50B5" w:rsidRDefault="00F26E30" w:rsidP="00454EE7">
            <w:pPr>
              <w:spacing w:line="18" w:lineRule="atLeast"/>
              <w:rPr>
                <w:rFonts w:ascii="Cambria" w:hAnsi="Cambria" w:cs="Arial"/>
                <w:color w:val="000000"/>
                <w:sz w:val="16"/>
                <w:szCs w:val="16"/>
              </w:rPr>
            </w:pPr>
            <w:proofErr w:type="spellStart"/>
            <w:r>
              <w:rPr>
                <w:rFonts w:ascii="Cambria" w:hAnsi="Cambria"/>
                <w:color w:val="000000"/>
                <w:sz w:val="16"/>
              </w:rPr>
              <w:t>Intesa</w:t>
            </w:r>
            <w:proofErr w:type="spellEnd"/>
            <w:r>
              <w:rPr>
                <w:rFonts w:ascii="Cambria" w:hAnsi="Cambria"/>
                <w:color w:val="000000"/>
                <w:sz w:val="16"/>
              </w:rPr>
              <w:t xml:space="preserve"> </w:t>
            </w:r>
            <w:proofErr w:type="spellStart"/>
            <w:r>
              <w:rPr>
                <w:rFonts w:ascii="Cambria" w:hAnsi="Cambria"/>
                <w:color w:val="000000"/>
                <w:sz w:val="16"/>
              </w:rPr>
              <w:t>Sanpaolo</w:t>
            </w:r>
            <w:proofErr w:type="spellEnd"/>
            <w:r>
              <w:rPr>
                <w:rFonts w:ascii="Cambria" w:hAnsi="Cambria"/>
                <w:color w:val="000000"/>
                <w:sz w:val="16"/>
              </w:rPr>
              <w:t xml:space="preserve"> spa </w:t>
            </w:r>
            <w:proofErr w:type="spellStart"/>
            <w:r>
              <w:rPr>
                <w:rFonts w:ascii="Cambria" w:hAnsi="Cambria"/>
                <w:color w:val="000000"/>
                <w:sz w:val="16"/>
              </w:rPr>
              <w:t>confirming</w:t>
            </w:r>
            <w:proofErr w:type="spellEnd"/>
          </w:p>
        </w:tc>
        <w:tc>
          <w:tcPr>
            <w:tcW w:w="551" w:type="pct"/>
            <w:tcBorders>
              <w:top w:val="nil"/>
              <w:left w:val="nil"/>
              <w:bottom w:val="nil"/>
              <w:right w:val="nil"/>
            </w:tcBorders>
            <w:shd w:val="clear" w:color="auto" w:fill="auto"/>
            <w:noWrap/>
            <w:vAlign w:val="bottom"/>
            <w:hideMark/>
          </w:tcPr>
          <w:p w14:paraId="005955AF" w14:textId="52C17933"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268 687 </w:t>
            </w:r>
          </w:p>
        </w:tc>
        <w:tc>
          <w:tcPr>
            <w:tcW w:w="502" w:type="pct"/>
            <w:tcBorders>
              <w:top w:val="nil"/>
              <w:left w:val="nil"/>
              <w:bottom w:val="nil"/>
              <w:right w:val="nil"/>
            </w:tcBorders>
            <w:shd w:val="clear" w:color="auto" w:fill="auto"/>
            <w:noWrap/>
            <w:vAlign w:val="bottom"/>
            <w:hideMark/>
          </w:tcPr>
          <w:p w14:paraId="7E38D697" w14:textId="77777777" w:rsidR="00F26E30" w:rsidRPr="00F26E30" w:rsidRDefault="00F26E30" w:rsidP="00454EE7">
            <w:pPr>
              <w:spacing w:line="18" w:lineRule="atLeast"/>
              <w:rPr>
                <w:rFonts w:ascii="Cambria" w:hAnsi="Cambria" w:cs="Arial"/>
                <w:color w:val="000000"/>
                <w:sz w:val="16"/>
                <w:szCs w:val="16"/>
              </w:rPr>
            </w:pPr>
          </w:p>
        </w:tc>
        <w:tc>
          <w:tcPr>
            <w:tcW w:w="502" w:type="pct"/>
            <w:tcBorders>
              <w:top w:val="nil"/>
              <w:left w:val="nil"/>
              <w:bottom w:val="nil"/>
              <w:right w:val="nil"/>
            </w:tcBorders>
            <w:shd w:val="clear" w:color="auto" w:fill="auto"/>
            <w:noWrap/>
            <w:vAlign w:val="bottom"/>
            <w:hideMark/>
          </w:tcPr>
          <w:p w14:paraId="658D4BA7"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789C2400"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191E0824" w14:textId="77777777" w:rsidR="00F26E30" w:rsidRPr="00F26E30" w:rsidRDefault="00F26E30" w:rsidP="00454EE7">
            <w:pPr>
              <w:spacing w:line="18" w:lineRule="atLeast"/>
              <w:rPr>
                <w:sz w:val="16"/>
                <w:szCs w:val="16"/>
              </w:rPr>
            </w:pPr>
          </w:p>
        </w:tc>
        <w:tc>
          <w:tcPr>
            <w:tcW w:w="507" w:type="pct"/>
            <w:tcBorders>
              <w:top w:val="nil"/>
              <w:left w:val="nil"/>
              <w:bottom w:val="nil"/>
              <w:right w:val="nil"/>
            </w:tcBorders>
            <w:shd w:val="clear" w:color="auto" w:fill="auto"/>
            <w:noWrap/>
            <w:vAlign w:val="bottom"/>
            <w:hideMark/>
          </w:tcPr>
          <w:p w14:paraId="302B1589" w14:textId="77777777" w:rsidR="00F26E30" w:rsidRPr="00F26E30" w:rsidRDefault="00F26E30" w:rsidP="00454EE7">
            <w:pPr>
              <w:spacing w:line="18" w:lineRule="atLeast"/>
              <w:rPr>
                <w:sz w:val="16"/>
                <w:szCs w:val="16"/>
              </w:rPr>
            </w:pPr>
          </w:p>
        </w:tc>
        <w:tc>
          <w:tcPr>
            <w:tcW w:w="569" w:type="pct"/>
            <w:tcBorders>
              <w:top w:val="nil"/>
              <w:left w:val="nil"/>
              <w:bottom w:val="nil"/>
              <w:right w:val="nil"/>
            </w:tcBorders>
            <w:shd w:val="clear" w:color="auto" w:fill="auto"/>
            <w:noWrap/>
            <w:vAlign w:val="bottom"/>
            <w:hideMark/>
          </w:tcPr>
          <w:p w14:paraId="7FE5F50B" w14:textId="1341518A"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268 687 </w:t>
            </w:r>
          </w:p>
        </w:tc>
      </w:tr>
      <w:tr w:rsidR="00F26E30" w:rsidRPr="009E50B5" w14:paraId="182368A9" w14:textId="77777777" w:rsidTr="00717185">
        <w:trPr>
          <w:trHeight w:val="240"/>
        </w:trPr>
        <w:tc>
          <w:tcPr>
            <w:tcW w:w="1365" w:type="pct"/>
            <w:tcBorders>
              <w:top w:val="nil"/>
              <w:left w:val="nil"/>
              <w:bottom w:val="nil"/>
              <w:right w:val="nil"/>
            </w:tcBorders>
            <w:shd w:val="clear" w:color="auto" w:fill="auto"/>
            <w:noWrap/>
            <w:vAlign w:val="bottom"/>
            <w:hideMark/>
          </w:tcPr>
          <w:p w14:paraId="17F4E73A" w14:textId="77777777" w:rsidR="00F26E30" w:rsidRPr="00DC792B" w:rsidRDefault="00F26E30" w:rsidP="00454EE7">
            <w:pPr>
              <w:spacing w:line="18" w:lineRule="atLeast"/>
              <w:rPr>
                <w:rFonts w:ascii="Cambria" w:hAnsi="Cambria" w:cs="Arial"/>
                <w:color w:val="000000"/>
                <w:sz w:val="16"/>
                <w:szCs w:val="16"/>
                <w:lang w:val="it-IT"/>
              </w:rPr>
            </w:pPr>
            <w:r w:rsidRPr="00DC792B">
              <w:rPr>
                <w:rFonts w:ascii="Cambria" w:hAnsi="Cambria"/>
                <w:color w:val="000000"/>
                <w:sz w:val="16"/>
                <w:lang w:val="it-IT"/>
              </w:rPr>
              <w:t xml:space="preserve">Intesa Sanpaolo Spa import </w:t>
            </w:r>
            <w:proofErr w:type="spellStart"/>
            <w:r w:rsidRPr="00DC792B">
              <w:rPr>
                <w:rFonts w:ascii="Cambria" w:hAnsi="Cambria"/>
                <w:color w:val="000000"/>
                <w:sz w:val="16"/>
                <w:lang w:val="it-IT"/>
              </w:rPr>
              <w:t>finan</w:t>
            </w:r>
            <w:proofErr w:type="spellEnd"/>
            <w:r w:rsidRPr="00DC792B">
              <w:rPr>
                <w:rFonts w:ascii="Cambria" w:hAnsi="Cambria"/>
                <w:color w:val="000000"/>
                <w:sz w:val="16"/>
                <w:lang w:val="it-IT"/>
              </w:rPr>
              <w:t>.</w:t>
            </w:r>
          </w:p>
        </w:tc>
        <w:tc>
          <w:tcPr>
            <w:tcW w:w="551" w:type="pct"/>
            <w:tcBorders>
              <w:top w:val="nil"/>
              <w:left w:val="nil"/>
              <w:bottom w:val="nil"/>
              <w:right w:val="nil"/>
            </w:tcBorders>
            <w:shd w:val="clear" w:color="auto" w:fill="auto"/>
            <w:noWrap/>
            <w:vAlign w:val="bottom"/>
            <w:hideMark/>
          </w:tcPr>
          <w:p w14:paraId="295753D2" w14:textId="3227582E" w:rsidR="00F26E30" w:rsidRPr="00F26E30" w:rsidRDefault="00F26E30" w:rsidP="00454EE7">
            <w:pPr>
              <w:spacing w:line="18" w:lineRule="atLeast"/>
              <w:rPr>
                <w:rFonts w:ascii="Cambria" w:hAnsi="Cambria" w:cs="Arial"/>
                <w:color w:val="000000"/>
                <w:sz w:val="16"/>
                <w:szCs w:val="16"/>
              </w:rPr>
            </w:pPr>
            <w:r w:rsidRPr="00DC792B">
              <w:rPr>
                <w:rFonts w:ascii="Cambria" w:hAnsi="Cambria"/>
                <w:color w:val="000000"/>
                <w:sz w:val="16"/>
                <w:lang w:val="it-IT"/>
              </w:rPr>
              <w:t xml:space="preserve">            </w:t>
            </w:r>
            <w:r>
              <w:rPr>
                <w:rFonts w:ascii="Cambria" w:hAnsi="Cambria"/>
                <w:color w:val="000000"/>
                <w:sz w:val="16"/>
              </w:rPr>
              <w:t xml:space="preserve">83 483 </w:t>
            </w:r>
          </w:p>
        </w:tc>
        <w:tc>
          <w:tcPr>
            <w:tcW w:w="502" w:type="pct"/>
            <w:tcBorders>
              <w:top w:val="nil"/>
              <w:left w:val="nil"/>
              <w:bottom w:val="nil"/>
              <w:right w:val="nil"/>
            </w:tcBorders>
            <w:shd w:val="clear" w:color="auto" w:fill="auto"/>
            <w:noWrap/>
            <w:vAlign w:val="bottom"/>
            <w:hideMark/>
          </w:tcPr>
          <w:p w14:paraId="1637582A" w14:textId="77777777" w:rsidR="00F26E30" w:rsidRPr="00F26E30" w:rsidRDefault="00F26E30" w:rsidP="00454EE7">
            <w:pPr>
              <w:spacing w:line="18" w:lineRule="atLeast"/>
              <w:rPr>
                <w:rFonts w:ascii="Cambria" w:hAnsi="Cambria" w:cs="Arial"/>
                <w:color w:val="000000"/>
                <w:sz w:val="16"/>
                <w:szCs w:val="16"/>
              </w:rPr>
            </w:pPr>
          </w:p>
        </w:tc>
        <w:tc>
          <w:tcPr>
            <w:tcW w:w="502" w:type="pct"/>
            <w:tcBorders>
              <w:top w:val="nil"/>
              <w:left w:val="nil"/>
              <w:bottom w:val="nil"/>
              <w:right w:val="nil"/>
            </w:tcBorders>
            <w:shd w:val="clear" w:color="auto" w:fill="auto"/>
            <w:noWrap/>
            <w:vAlign w:val="bottom"/>
            <w:hideMark/>
          </w:tcPr>
          <w:p w14:paraId="643DF190"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376904E5"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52ED8807" w14:textId="77777777" w:rsidR="00F26E30" w:rsidRPr="00F26E30" w:rsidRDefault="00F26E30" w:rsidP="00454EE7">
            <w:pPr>
              <w:spacing w:line="18" w:lineRule="atLeast"/>
              <w:rPr>
                <w:sz w:val="16"/>
                <w:szCs w:val="16"/>
              </w:rPr>
            </w:pPr>
          </w:p>
        </w:tc>
        <w:tc>
          <w:tcPr>
            <w:tcW w:w="507" w:type="pct"/>
            <w:tcBorders>
              <w:top w:val="nil"/>
              <w:left w:val="nil"/>
              <w:bottom w:val="nil"/>
              <w:right w:val="nil"/>
            </w:tcBorders>
            <w:shd w:val="clear" w:color="auto" w:fill="auto"/>
            <w:noWrap/>
            <w:vAlign w:val="bottom"/>
            <w:hideMark/>
          </w:tcPr>
          <w:p w14:paraId="7D884F47" w14:textId="77777777" w:rsidR="00F26E30" w:rsidRPr="00F26E30" w:rsidRDefault="00F26E30" w:rsidP="00454EE7">
            <w:pPr>
              <w:spacing w:line="18" w:lineRule="atLeast"/>
              <w:rPr>
                <w:sz w:val="16"/>
                <w:szCs w:val="16"/>
              </w:rPr>
            </w:pPr>
          </w:p>
        </w:tc>
        <w:tc>
          <w:tcPr>
            <w:tcW w:w="569" w:type="pct"/>
            <w:tcBorders>
              <w:top w:val="nil"/>
              <w:left w:val="nil"/>
              <w:bottom w:val="nil"/>
              <w:right w:val="nil"/>
            </w:tcBorders>
            <w:shd w:val="clear" w:color="auto" w:fill="auto"/>
            <w:noWrap/>
            <w:vAlign w:val="bottom"/>
            <w:hideMark/>
          </w:tcPr>
          <w:p w14:paraId="715655B8" w14:textId="71D74DFD"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83 483 </w:t>
            </w:r>
          </w:p>
        </w:tc>
      </w:tr>
      <w:tr w:rsidR="00F26E30" w:rsidRPr="009E50B5" w14:paraId="03B49C13" w14:textId="77777777" w:rsidTr="00717185">
        <w:trPr>
          <w:trHeight w:val="240"/>
        </w:trPr>
        <w:tc>
          <w:tcPr>
            <w:tcW w:w="1365" w:type="pct"/>
            <w:tcBorders>
              <w:top w:val="nil"/>
              <w:left w:val="nil"/>
              <w:bottom w:val="nil"/>
              <w:right w:val="nil"/>
            </w:tcBorders>
            <w:shd w:val="clear" w:color="auto" w:fill="auto"/>
            <w:noWrap/>
            <w:vAlign w:val="bottom"/>
            <w:hideMark/>
          </w:tcPr>
          <w:p w14:paraId="2172D5C4" w14:textId="77777777" w:rsidR="00F26E30" w:rsidRPr="009E50B5" w:rsidRDefault="00F26E30" w:rsidP="00454EE7">
            <w:pPr>
              <w:spacing w:line="18" w:lineRule="atLeast"/>
              <w:rPr>
                <w:rFonts w:ascii="Cambria" w:hAnsi="Cambria" w:cs="Arial"/>
                <w:color w:val="000000"/>
                <w:sz w:val="16"/>
                <w:szCs w:val="16"/>
              </w:rPr>
            </w:pPr>
            <w:r>
              <w:rPr>
                <w:rFonts w:ascii="Cambria" w:hAnsi="Cambria"/>
                <w:color w:val="000000"/>
                <w:sz w:val="16"/>
              </w:rPr>
              <w:t xml:space="preserve">Dettes pour contrats de location </w:t>
            </w:r>
          </w:p>
        </w:tc>
        <w:tc>
          <w:tcPr>
            <w:tcW w:w="551" w:type="pct"/>
            <w:tcBorders>
              <w:top w:val="nil"/>
              <w:left w:val="nil"/>
              <w:bottom w:val="nil"/>
              <w:right w:val="nil"/>
            </w:tcBorders>
            <w:shd w:val="clear" w:color="auto" w:fill="auto"/>
            <w:noWrap/>
            <w:vAlign w:val="bottom"/>
            <w:hideMark/>
          </w:tcPr>
          <w:p w14:paraId="4D7F86C9" w14:textId="551976BB"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1 483 823 </w:t>
            </w:r>
          </w:p>
        </w:tc>
        <w:tc>
          <w:tcPr>
            <w:tcW w:w="502" w:type="pct"/>
            <w:tcBorders>
              <w:top w:val="nil"/>
              <w:left w:val="nil"/>
              <w:bottom w:val="nil"/>
              <w:right w:val="nil"/>
            </w:tcBorders>
            <w:shd w:val="clear" w:color="auto" w:fill="auto"/>
            <w:noWrap/>
            <w:vAlign w:val="bottom"/>
            <w:hideMark/>
          </w:tcPr>
          <w:p w14:paraId="3062AAE8" w14:textId="32E29376"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6 584 043 </w:t>
            </w:r>
          </w:p>
        </w:tc>
        <w:tc>
          <w:tcPr>
            <w:tcW w:w="502" w:type="pct"/>
            <w:tcBorders>
              <w:top w:val="nil"/>
              <w:left w:val="nil"/>
              <w:bottom w:val="nil"/>
              <w:right w:val="nil"/>
            </w:tcBorders>
            <w:shd w:val="clear" w:color="auto" w:fill="auto"/>
            <w:noWrap/>
            <w:vAlign w:val="bottom"/>
            <w:hideMark/>
          </w:tcPr>
          <w:p w14:paraId="5443509C" w14:textId="77777777" w:rsidR="00F26E30" w:rsidRPr="00F26E30" w:rsidRDefault="00F26E30" w:rsidP="00454EE7">
            <w:pPr>
              <w:spacing w:line="18" w:lineRule="atLeast"/>
              <w:rPr>
                <w:rFonts w:ascii="Cambria" w:hAnsi="Cambria" w:cs="Arial"/>
                <w:color w:val="000000"/>
                <w:sz w:val="16"/>
                <w:szCs w:val="16"/>
              </w:rPr>
            </w:pPr>
          </w:p>
        </w:tc>
        <w:tc>
          <w:tcPr>
            <w:tcW w:w="502" w:type="pct"/>
            <w:tcBorders>
              <w:top w:val="nil"/>
              <w:left w:val="nil"/>
              <w:bottom w:val="nil"/>
              <w:right w:val="nil"/>
            </w:tcBorders>
            <w:shd w:val="clear" w:color="auto" w:fill="auto"/>
            <w:noWrap/>
            <w:vAlign w:val="bottom"/>
            <w:hideMark/>
          </w:tcPr>
          <w:p w14:paraId="357851B4"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63E348D8" w14:textId="77777777" w:rsidR="00F26E30" w:rsidRPr="00F26E30" w:rsidRDefault="00F26E30" w:rsidP="00454EE7">
            <w:pPr>
              <w:spacing w:line="18" w:lineRule="atLeast"/>
              <w:rPr>
                <w:sz w:val="16"/>
                <w:szCs w:val="16"/>
              </w:rPr>
            </w:pPr>
          </w:p>
        </w:tc>
        <w:tc>
          <w:tcPr>
            <w:tcW w:w="507" w:type="pct"/>
            <w:tcBorders>
              <w:top w:val="nil"/>
              <w:left w:val="nil"/>
              <w:bottom w:val="nil"/>
              <w:right w:val="nil"/>
            </w:tcBorders>
            <w:shd w:val="clear" w:color="auto" w:fill="auto"/>
            <w:noWrap/>
            <w:vAlign w:val="bottom"/>
            <w:hideMark/>
          </w:tcPr>
          <w:p w14:paraId="216E7A3C" w14:textId="77777777" w:rsidR="00F26E30" w:rsidRPr="00F26E30" w:rsidRDefault="00F26E30" w:rsidP="00454EE7">
            <w:pPr>
              <w:spacing w:line="18" w:lineRule="atLeast"/>
              <w:rPr>
                <w:sz w:val="16"/>
                <w:szCs w:val="16"/>
              </w:rPr>
            </w:pPr>
          </w:p>
        </w:tc>
        <w:tc>
          <w:tcPr>
            <w:tcW w:w="569" w:type="pct"/>
            <w:tcBorders>
              <w:top w:val="nil"/>
              <w:left w:val="nil"/>
              <w:bottom w:val="nil"/>
              <w:right w:val="nil"/>
            </w:tcBorders>
            <w:shd w:val="clear" w:color="auto" w:fill="auto"/>
            <w:noWrap/>
            <w:vAlign w:val="bottom"/>
            <w:hideMark/>
          </w:tcPr>
          <w:p w14:paraId="26541BA0" w14:textId="655FFE7A"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8 067 866 </w:t>
            </w:r>
          </w:p>
        </w:tc>
      </w:tr>
      <w:tr w:rsidR="00F26E30" w:rsidRPr="009E50B5" w14:paraId="1A8CB407" w14:textId="77777777" w:rsidTr="00717185">
        <w:trPr>
          <w:trHeight w:val="240"/>
        </w:trPr>
        <w:tc>
          <w:tcPr>
            <w:tcW w:w="1365" w:type="pct"/>
            <w:tcBorders>
              <w:top w:val="nil"/>
              <w:left w:val="nil"/>
              <w:bottom w:val="nil"/>
              <w:right w:val="nil"/>
            </w:tcBorders>
            <w:shd w:val="clear" w:color="auto" w:fill="auto"/>
            <w:noWrap/>
            <w:vAlign w:val="bottom"/>
            <w:hideMark/>
          </w:tcPr>
          <w:p w14:paraId="42D43B4D" w14:textId="77777777" w:rsidR="00F26E30" w:rsidRPr="009E50B5" w:rsidRDefault="00F26E30" w:rsidP="00454EE7">
            <w:pPr>
              <w:spacing w:line="18" w:lineRule="atLeast"/>
              <w:rPr>
                <w:rFonts w:ascii="Cambria" w:hAnsi="Cambria" w:cs="Arial"/>
                <w:color w:val="000000"/>
                <w:sz w:val="16"/>
                <w:szCs w:val="16"/>
              </w:rPr>
            </w:pPr>
            <w:r>
              <w:rPr>
                <w:rFonts w:ascii="Cambria" w:hAnsi="Cambria"/>
                <w:color w:val="000000"/>
                <w:sz w:val="16"/>
              </w:rPr>
              <w:t>Autre passif à long terme</w:t>
            </w:r>
          </w:p>
        </w:tc>
        <w:tc>
          <w:tcPr>
            <w:tcW w:w="551" w:type="pct"/>
            <w:tcBorders>
              <w:top w:val="nil"/>
              <w:left w:val="nil"/>
              <w:bottom w:val="nil"/>
              <w:right w:val="nil"/>
            </w:tcBorders>
            <w:shd w:val="clear" w:color="auto" w:fill="auto"/>
            <w:noWrap/>
            <w:vAlign w:val="bottom"/>
            <w:hideMark/>
          </w:tcPr>
          <w:p w14:paraId="62F3CDDD" w14:textId="77777777" w:rsidR="00F26E30" w:rsidRPr="00F26E30" w:rsidRDefault="00F26E30" w:rsidP="00454EE7">
            <w:pPr>
              <w:spacing w:line="18" w:lineRule="atLeast"/>
              <w:rPr>
                <w:rFonts w:ascii="Cambria" w:hAnsi="Cambria" w:cs="Arial"/>
                <w:color w:val="000000"/>
                <w:sz w:val="16"/>
                <w:szCs w:val="16"/>
              </w:rPr>
            </w:pPr>
          </w:p>
        </w:tc>
        <w:tc>
          <w:tcPr>
            <w:tcW w:w="502" w:type="pct"/>
            <w:tcBorders>
              <w:top w:val="nil"/>
              <w:left w:val="nil"/>
              <w:bottom w:val="nil"/>
              <w:right w:val="nil"/>
            </w:tcBorders>
            <w:shd w:val="clear" w:color="auto" w:fill="auto"/>
            <w:noWrap/>
            <w:vAlign w:val="bottom"/>
            <w:hideMark/>
          </w:tcPr>
          <w:p w14:paraId="3E2D8FC5" w14:textId="0D97BB77"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456 119 </w:t>
            </w:r>
          </w:p>
        </w:tc>
        <w:tc>
          <w:tcPr>
            <w:tcW w:w="502" w:type="pct"/>
            <w:tcBorders>
              <w:top w:val="nil"/>
              <w:left w:val="nil"/>
              <w:bottom w:val="nil"/>
              <w:right w:val="nil"/>
            </w:tcBorders>
            <w:shd w:val="clear" w:color="auto" w:fill="auto"/>
            <w:noWrap/>
            <w:vAlign w:val="bottom"/>
            <w:hideMark/>
          </w:tcPr>
          <w:p w14:paraId="74F15566" w14:textId="35FBD145"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400 115 </w:t>
            </w:r>
          </w:p>
        </w:tc>
        <w:tc>
          <w:tcPr>
            <w:tcW w:w="502" w:type="pct"/>
            <w:tcBorders>
              <w:top w:val="nil"/>
              <w:left w:val="nil"/>
              <w:bottom w:val="nil"/>
              <w:right w:val="nil"/>
            </w:tcBorders>
            <w:shd w:val="clear" w:color="auto" w:fill="auto"/>
            <w:noWrap/>
            <w:vAlign w:val="bottom"/>
            <w:hideMark/>
          </w:tcPr>
          <w:p w14:paraId="69662C47" w14:textId="1B78C4B8"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402 120 </w:t>
            </w:r>
          </w:p>
        </w:tc>
        <w:tc>
          <w:tcPr>
            <w:tcW w:w="502" w:type="pct"/>
            <w:tcBorders>
              <w:top w:val="nil"/>
              <w:left w:val="nil"/>
              <w:bottom w:val="nil"/>
              <w:right w:val="nil"/>
            </w:tcBorders>
            <w:shd w:val="clear" w:color="auto" w:fill="auto"/>
            <w:noWrap/>
            <w:vAlign w:val="bottom"/>
            <w:hideMark/>
          </w:tcPr>
          <w:p w14:paraId="0FBD944F" w14:textId="6BAF95EC"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404 135 </w:t>
            </w:r>
          </w:p>
        </w:tc>
        <w:tc>
          <w:tcPr>
            <w:tcW w:w="507" w:type="pct"/>
            <w:tcBorders>
              <w:top w:val="nil"/>
              <w:left w:val="nil"/>
              <w:bottom w:val="nil"/>
              <w:right w:val="nil"/>
            </w:tcBorders>
            <w:shd w:val="clear" w:color="auto" w:fill="auto"/>
            <w:noWrap/>
            <w:vAlign w:val="bottom"/>
            <w:hideMark/>
          </w:tcPr>
          <w:p w14:paraId="76EF5F7B" w14:textId="77777777" w:rsidR="00F26E30" w:rsidRPr="00F26E30" w:rsidRDefault="00F26E30" w:rsidP="00454EE7">
            <w:pPr>
              <w:spacing w:line="18" w:lineRule="atLeast"/>
              <w:rPr>
                <w:rFonts w:ascii="Cambria" w:hAnsi="Cambria" w:cs="Arial"/>
                <w:color w:val="000000"/>
                <w:sz w:val="16"/>
                <w:szCs w:val="16"/>
              </w:rPr>
            </w:pPr>
          </w:p>
        </w:tc>
        <w:tc>
          <w:tcPr>
            <w:tcW w:w="569" w:type="pct"/>
            <w:tcBorders>
              <w:top w:val="nil"/>
              <w:left w:val="nil"/>
              <w:bottom w:val="nil"/>
              <w:right w:val="nil"/>
            </w:tcBorders>
            <w:shd w:val="clear" w:color="auto" w:fill="auto"/>
            <w:noWrap/>
            <w:vAlign w:val="bottom"/>
            <w:hideMark/>
          </w:tcPr>
          <w:p w14:paraId="582EE825" w14:textId="7F31CB1B"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1 662 489 </w:t>
            </w:r>
          </w:p>
        </w:tc>
      </w:tr>
      <w:tr w:rsidR="00F26E30" w:rsidRPr="009E50B5" w14:paraId="47DC196F" w14:textId="77777777" w:rsidTr="00717185">
        <w:trPr>
          <w:trHeight w:val="240"/>
        </w:trPr>
        <w:tc>
          <w:tcPr>
            <w:tcW w:w="1365" w:type="pct"/>
            <w:tcBorders>
              <w:top w:val="nil"/>
              <w:left w:val="nil"/>
              <w:bottom w:val="nil"/>
              <w:right w:val="nil"/>
            </w:tcBorders>
            <w:shd w:val="clear" w:color="000000" w:fill="FFFFFF"/>
            <w:noWrap/>
            <w:vAlign w:val="bottom"/>
            <w:hideMark/>
          </w:tcPr>
          <w:p w14:paraId="22E32931" w14:textId="77777777" w:rsidR="00F26E30" w:rsidRPr="009E50B5" w:rsidRDefault="00F26E30" w:rsidP="00454EE7">
            <w:pPr>
              <w:spacing w:line="18" w:lineRule="atLeast"/>
              <w:rPr>
                <w:rFonts w:ascii="Cambria" w:hAnsi="Cambria" w:cs="Arial"/>
                <w:color w:val="000000"/>
                <w:sz w:val="16"/>
                <w:szCs w:val="16"/>
              </w:rPr>
            </w:pPr>
            <w:r>
              <w:rPr>
                <w:rFonts w:ascii="Cambria" w:hAnsi="Cambria"/>
                <w:color w:val="000000"/>
                <w:sz w:val="16"/>
              </w:rPr>
              <w:t>Dettes commerciales</w:t>
            </w:r>
          </w:p>
        </w:tc>
        <w:tc>
          <w:tcPr>
            <w:tcW w:w="551" w:type="pct"/>
            <w:tcBorders>
              <w:top w:val="nil"/>
              <w:left w:val="nil"/>
              <w:bottom w:val="nil"/>
              <w:right w:val="nil"/>
            </w:tcBorders>
            <w:shd w:val="clear" w:color="auto" w:fill="auto"/>
            <w:noWrap/>
            <w:vAlign w:val="bottom"/>
            <w:hideMark/>
          </w:tcPr>
          <w:p w14:paraId="7FAFFC90" w14:textId="0C34F854"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6 591 368 </w:t>
            </w:r>
          </w:p>
        </w:tc>
        <w:tc>
          <w:tcPr>
            <w:tcW w:w="502" w:type="pct"/>
            <w:tcBorders>
              <w:top w:val="nil"/>
              <w:left w:val="nil"/>
              <w:bottom w:val="nil"/>
              <w:right w:val="nil"/>
            </w:tcBorders>
            <w:shd w:val="clear" w:color="auto" w:fill="auto"/>
            <w:noWrap/>
            <w:vAlign w:val="bottom"/>
            <w:hideMark/>
          </w:tcPr>
          <w:p w14:paraId="1D791042" w14:textId="77777777" w:rsidR="00F26E30" w:rsidRPr="00F26E30" w:rsidRDefault="00F26E30" w:rsidP="00454EE7">
            <w:pPr>
              <w:spacing w:line="18" w:lineRule="atLeast"/>
              <w:rPr>
                <w:rFonts w:ascii="Cambria" w:hAnsi="Cambria" w:cs="Arial"/>
                <w:color w:val="000000"/>
                <w:sz w:val="16"/>
                <w:szCs w:val="16"/>
              </w:rPr>
            </w:pPr>
          </w:p>
        </w:tc>
        <w:tc>
          <w:tcPr>
            <w:tcW w:w="502" w:type="pct"/>
            <w:tcBorders>
              <w:top w:val="nil"/>
              <w:left w:val="nil"/>
              <w:bottom w:val="nil"/>
              <w:right w:val="nil"/>
            </w:tcBorders>
            <w:shd w:val="clear" w:color="auto" w:fill="auto"/>
            <w:noWrap/>
            <w:vAlign w:val="bottom"/>
            <w:hideMark/>
          </w:tcPr>
          <w:p w14:paraId="487175D7"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43C285FB"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189AD5F6" w14:textId="77777777" w:rsidR="00F26E30" w:rsidRPr="00F26E30" w:rsidRDefault="00F26E30" w:rsidP="00454EE7">
            <w:pPr>
              <w:spacing w:line="18" w:lineRule="atLeast"/>
              <w:rPr>
                <w:sz w:val="16"/>
                <w:szCs w:val="16"/>
              </w:rPr>
            </w:pPr>
          </w:p>
        </w:tc>
        <w:tc>
          <w:tcPr>
            <w:tcW w:w="507" w:type="pct"/>
            <w:tcBorders>
              <w:top w:val="nil"/>
              <w:left w:val="nil"/>
              <w:bottom w:val="nil"/>
              <w:right w:val="nil"/>
            </w:tcBorders>
            <w:shd w:val="clear" w:color="auto" w:fill="auto"/>
            <w:noWrap/>
            <w:vAlign w:val="bottom"/>
            <w:hideMark/>
          </w:tcPr>
          <w:p w14:paraId="070F07CD" w14:textId="77777777" w:rsidR="00F26E30" w:rsidRPr="00F26E30" w:rsidRDefault="00F26E30" w:rsidP="00454EE7">
            <w:pPr>
              <w:spacing w:line="18" w:lineRule="atLeast"/>
              <w:rPr>
                <w:sz w:val="16"/>
                <w:szCs w:val="16"/>
              </w:rPr>
            </w:pPr>
          </w:p>
        </w:tc>
        <w:tc>
          <w:tcPr>
            <w:tcW w:w="569" w:type="pct"/>
            <w:tcBorders>
              <w:top w:val="nil"/>
              <w:left w:val="nil"/>
              <w:bottom w:val="nil"/>
              <w:right w:val="nil"/>
            </w:tcBorders>
            <w:shd w:val="clear" w:color="auto" w:fill="auto"/>
            <w:noWrap/>
            <w:vAlign w:val="bottom"/>
            <w:hideMark/>
          </w:tcPr>
          <w:p w14:paraId="66AAF73F" w14:textId="6D4BBA6B"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6 591 368 </w:t>
            </w:r>
          </w:p>
        </w:tc>
      </w:tr>
      <w:tr w:rsidR="00F26E30" w:rsidRPr="009E50B5" w14:paraId="1D0F240D" w14:textId="77777777" w:rsidTr="00717185">
        <w:trPr>
          <w:trHeight w:val="240"/>
        </w:trPr>
        <w:tc>
          <w:tcPr>
            <w:tcW w:w="1365" w:type="pct"/>
            <w:tcBorders>
              <w:top w:val="nil"/>
              <w:left w:val="nil"/>
              <w:bottom w:val="nil"/>
              <w:right w:val="nil"/>
            </w:tcBorders>
            <w:shd w:val="clear" w:color="000000" w:fill="FFFFFF"/>
            <w:noWrap/>
            <w:vAlign w:val="bottom"/>
            <w:hideMark/>
          </w:tcPr>
          <w:p w14:paraId="61C8803A" w14:textId="77777777" w:rsidR="00F26E30" w:rsidRPr="009E50B5" w:rsidRDefault="00F26E30" w:rsidP="00454EE7">
            <w:pPr>
              <w:spacing w:line="18" w:lineRule="atLeast"/>
              <w:rPr>
                <w:rFonts w:ascii="Cambria" w:hAnsi="Cambria" w:cs="Arial"/>
                <w:color w:val="000000"/>
                <w:sz w:val="16"/>
                <w:szCs w:val="16"/>
              </w:rPr>
            </w:pPr>
            <w:r>
              <w:rPr>
                <w:rFonts w:ascii="Cambria" w:hAnsi="Cambria"/>
                <w:color w:val="000000"/>
                <w:sz w:val="16"/>
              </w:rPr>
              <w:t>Passif contractuel à court terme</w:t>
            </w:r>
          </w:p>
        </w:tc>
        <w:tc>
          <w:tcPr>
            <w:tcW w:w="551" w:type="pct"/>
            <w:tcBorders>
              <w:top w:val="nil"/>
              <w:left w:val="nil"/>
              <w:bottom w:val="nil"/>
              <w:right w:val="nil"/>
            </w:tcBorders>
            <w:shd w:val="clear" w:color="auto" w:fill="auto"/>
            <w:noWrap/>
            <w:vAlign w:val="bottom"/>
            <w:hideMark/>
          </w:tcPr>
          <w:p w14:paraId="63EC2728" w14:textId="3E498CA9"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w:t>
            </w:r>
          </w:p>
        </w:tc>
        <w:tc>
          <w:tcPr>
            <w:tcW w:w="502" w:type="pct"/>
            <w:tcBorders>
              <w:top w:val="nil"/>
              <w:left w:val="nil"/>
              <w:bottom w:val="nil"/>
              <w:right w:val="nil"/>
            </w:tcBorders>
            <w:shd w:val="clear" w:color="auto" w:fill="auto"/>
            <w:noWrap/>
            <w:vAlign w:val="bottom"/>
            <w:hideMark/>
          </w:tcPr>
          <w:p w14:paraId="75A70D8F" w14:textId="77777777" w:rsidR="00F26E30" w:rsidRPr="00F26E30" w:rsidRDefault="00F26E30" w:rsidP="00454EE7">
            <w:pPr>
              <w:spacing w:line="18" w:lineRule="atLeast"/>
              <w:rPr>
                <w:rFonts w:ascii="Cambria" w:hAnsi="Cambria" w:cs="Arial"/>
                <w:color w:val="000000"/>
                <w:sz w:val="16"/>
                <w:szCs w:val="16"/>
              </w:rPr>
            </w:pPr>
          </w:p>
        </w:tc>
        <w:tc>
          <w:tcPr>
            <w:tcW w:w="502" w:type="pct"/>
            <w:tcBorders>
              <w:top w:val="nil"/>
              <w:left w:val="nil"/>
              <w:bottom w:val="nil"/>
              <w:right w:val="nil"/>
            </w:tcBorders>
            <w:shd w:val="clear" w:color="auto" w:fill="auto"/>
            <w:noWrap/>
            <w:vAlign w:val="bottom"/>
            <w:hideMark/>
          </w:tcPr>
          <w:p w14:paraId="24C01399"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77BC96BE"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18EFDFC7" w14:textId="77777777" w:rsidR="00F26E30" w:rsidRPr="00F26E30" w:rsidRDefault="00F26E30" w:rsidP="00454EE7">
            <w:pPr>
              <w:spacing w:line="18" w:lineRule="atLeast"/>
              <w:rPr>
                <w:sz w:val="16"/>
                <w:szCs w:val="16"/>
              </w:rPr>
            </w:pPr>
          </w:p>
        </w:tc>
        <w:tc>
          <w:tcPr>
            <w:tcW w:w="507" w:type="pct"/>
            <w:tcBorders>
              <w:top w:val="nil"/>
              <w:left w:val="nil"/>
              <w:bottom w:val="nil"/>
              <w:right w:val="nil"/>
            </w:tcBorders>
            <w:shd w:val="clear" w:color="auto" w:fill="auto"/>
            <w:noWrap/>
            <w:vAlign w:val="bottom"/>
            <w:hideMark/>
          </w:tcPr>
          <w:p w14:paraId="4568865F" w14:textId="77777777" w:rsidR="00F26E30" w:rsidRPr="00F26E30" w:rsidRDefault="00F26E30" w:rsidP="00454EE7">
            <w:pPr>
              <w:spacing w:line="18" w:lineRule="atLeast"/>
              <w:rPr>
                <w:sz w:val="16"/>
                <w:szCs w:val="16"/>
              </w:rPr>
            </w:pPr>
          </w:p>
        </w:tc>
        <w:tc>
          <w:tcPr>
            <w:tcW w:w="569" w:type="pct"/>
            <w:tcBorders>
              <w:top w:val="nil"/>
              <w:left w:val="nil"/>
              <w:bottom w:val="nil"/>
              <w:right w:val="nil"/>
            </w:tcBorders>
            <w:shd w:val="clear" w:color="auto" w:fill="auto"/>
            <w:noWrap/>
            <w:vAlign w:val="bottom"/>
            <w:hideMark/>
          </w:tcPr>
          <w:p w14:paraId="55F7C360" w14:textId="77777777" w:rsidR="00F26E30" w:rsidRPr="00F26E30" w:rsidRDefault="00F26E30" w:rsidP="00454EE7">
            <w:pPr>
              <w:spacing w:line="18" w:lineRule="atLeast"/>
              <w:rPr>
                <w:sz w:val="16"/>
                <w:szCs w:val="16"/>
              </w:rPr>
            </w:pPr>
          </w:p>
        </w:tc>
      </w:tr>
      <w:tr w:rsidR="00F26E30" w:rsidRPr="009E50B5" w14:paraId="4D454E19" w14:textId="77777777" w:rsidTr="00717185">
        <w:trPr>
          <w:trHeight w:val="240"/>
        </w:trPr>
        <w:tc>
          <w:tcPr>
            <w:tcW w:w="1365" w:type="pct"/>
            <w:tcBorders>
              <w:top w:val="nil"/>
              <w:left w:val="nil"/>
              <w:bottom w:val="nil"/>
              <w:right w:val="nil"/>
            </w:tcBorders>
            <w:shd w:val="clear" w:color="000000" w:fill="FFFFFF"/>
            <w:noWrap/>
            <w:vAlign w:val="bottom"/>
            <w:hideMark/>
          </w:tcPr>
          <w:p w14:paraId="68E6C8F5" w14:textId="77777777" w:rsidR="00F26E30" w:rsidRPr="009E50B5" w:rsidRDefault="00F26E30" w:rsidP="00454EE7">
            <w:pPr>
              <w:spacing w:line="18" w:lineRule="atLeast"/>
              <w:rPr>
                <w:rFonts w:ascii="Cambria" w:hAnsi="Cambria" w:cs="Arial"/>
                <w:color w:val="000000"/>
                <w:sz w:val="16"/>
                <w:szCs w:val="16"/>
              </w:rPr>
            </w:pPr>
            <w:r>
              <w:rPr>
                <w:rFonts w:ascii="Cambria" w:hAnsi="Cambria"/>
                <w:color w:val="000000"/>
                <w:sz w:val="16"/>
              </w:rPr>
              <w:t>Dettes pour obligations contractuelles</w:t>
            </w:r>
          </w:p>
        </w:tc>
        <w:tc>
          <w:tcPr>
            <w:tcW w:w="551" w:type="pct"/>
            <w:tcBorders>
              <w:top w:val="nil"/>
              <w:left w:val="nil"/>
              <w:bottom w:val="nil"/>
              <w:right w:val="nil"/>
            </w:tcBorders>
            <w:shd w:val="clear" w:color="auto" w:fill="auto"/>
            <w:noWrap/>
            <w:vAlign w:val="bottom"/>
            <w:hideMark/>
          </w:tcPr>
          <w:p w14:paraId="78B84EB8" w14:textId="47675AE1"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68 246 </w:t>
            </w:r>
          </w:p>
        </w:tc>
        <w:tc>
          <w:tcPr>
            <w:tcW w:w="502" w:type="pct"/>
            <w:tcBorders>
              <w:top w:val="nil"/>
              <w:left w:val="nil"/>
              <w:bottom w:val="nil"/>
              <w:right w:val="nil"/>
            </w:tcBorders>
            <w:shd w:val="clear" w:color="auto" w:fill="auto"/>
            <w:noWrap/>
            <w:vAlign w:val="bottom"/>
            <w:hideMark/>
          </w:tcPr>
          <w:p w14:paraId="51B0E260" w14:textId="77777777" w:rsidR="00F26E30" w:rsidRPr="00F26E30" w:rsidRDefault="00F26E30" w:rsidP="00454EE7">
            <w:pPr>
              <w:spacing w:line="18" w:lineRule="atLeast"/>
              <w:rPr>
                <w:rFonts w:ascii="Cambria" w:hAnsi="Cambria" w:cs="Arial"/>
                <w:color w:val="000000"/>
                <w:sz w:val="16"/>
                <w:szCs w:val="16"/>
              </w:rPr>
            </w:pPr>
          </w:p>
        </w:tc>
        <w:tc>
          <w:tcPr>
            <w:tcW w:w="502" w:type="pct"/>
            <w:tcBorders>
              <w:top w:val="nil"/>
              <w:left w:val="nil"/>
              <w:bottom w:val="nil"/>
              <w:right w:val="nil"/>
            </w:tcBorders>
            <w:shd w:val="clear" w:color="auto" w:fill="auto"/>
            <w:noWrap/>
            <w:vAlign w:val="bottom"/>
            <w:hideMark/>
          </w:tcPr>
          <w:p w14:paraId="09E96EB2"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5B4852C4"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009C1A93" w14:textId="77777777" w:rsidR="00F26E30" w:rsidRPr="00F26E30" w:rsidRDefault="00F26E30" w:rsidP="00454EE7">
            <w:pPr>
              <w:spacing w:line="18" w:lineRule="atLeast"/>
              <w:rPr>
                <w:sz w:val="16"/>
                <w:szCs w:val="16"/>
              </w:rPr>
            </w:pPr>
          </w:p>
        </w:tc>
        <w:tc>
          <w:tcPr>
            <w:tcW w:w="507" w:type="pct"/>
            <w:tcBorders>
              <w:top w:val="nil"/>
              <w:left w:val="nil"/>
              <w:bottom w:val="nil"/>
              <w:right w:val="nil"/>
            </w:tcBorders>
            <w:shd w:val="clear" w:color="auto" w:fill="auto"/>
            <w:noWrap/>
            <w:vAlign w:val="bottom"/>
            <w:hideMark/>
          </w:tcPr>
          <w:p w14:paraId="7FB4260E" w14:textId="77777777" w:rsidR="00F26E30" w:rsidRPr="00F26E30" w:rsidRDefault="00F26E30" w:rsidP="00454EE7">
            <w:pPr>
              <w:spacing w:line="18" w:lineRule="atLeast"/>
              <w:rPr>
                <w:sz w:val="16"/>
                <w:szCs w:val="16"/>
              </w:rPr>
            </w:pPr>
          </w:p>
        </w:tc>
        <w:tc>
          <w:tcPr>
            <w:tcW w:w="569" w:type="pct"/>
            <w:tcBorders>
              <w:top w:val="nil"/>
              <w:left w:val="nil"/>
              <w:bottom w:val="nil"/>
              <w:right w:val="nil"/>
            </w:tcBorders>
            <w:shd w:val="clear" w:color="auto" w:fill="auto"/>
            <w:noWrap/>
            <w:vAlign w:val="bottom"/>
            <w:hideMark/>
          </w:tcPr>
          <w:p w14:paraId="3D24F12E" w14:textId="678D3D8C"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68 246 </w:t>
            </w:r>
          </w:p>
        </w:tc>
      </w:tr>
      <w:tr w:rsidR="00F26E30" w:rsidRPr="009E50B5" w14:paraId="50946595" w14:textId="77777777" w:rsidTr="00717185">
        <w:trPr>
          <w:trHeight w:val="240"/>
        </w:trPr>
        <w:tc>
          <w:tcPr>
            <w:tcW w:w="1365" w:type="pct"/>
            <w:tcBorders>
              <w:top w:val="nil"/>
              <w:left w:val="nil"/>
              <w:bottom w:val="nil"/>
              <w:right w:val="nil"/>
            </w:tcBorders>
            <w:shd w:val="clear" w:color="auto" w:fill="auto"/>
            <w:noWrap/>
            <w:vAlign w:val="bottom"/>
            <w:hideMark/>
          </w:tcPr>
          <w:p w14:paraId="76D1ED7F" w14:textId="77777777" w:rsidR="00F26E30" w:rsidRPr="00B362E9" w:rsidRDefault="00F26E30" w:rsidP="00454EE7">
            <w:pPr>
              <w:spacing w:line="18" w:lineRule="atLeast"/>
              <w:rPr>
                <w:rFonts w:ascii="Cambria" w:hAnsi="Cambria" w:cs="Arial"/>
                <w:color w:val="000000"/>
                <w:sz w:val="16"/>
                <w:szCs w:val="16"/>
              </w:rPr>
            </w:pPr>
            <w:r>
              <w:rPr>
                <w:rFonts w:ascii="Cambria" w:hAnsi="Cambria"/>
                <w:color w:val="000000"/>
                <w:sz w:val="16"/>
              </w:rPr>
              <w:t>Dettes fiscales</w:t>
            </w:r>
          </w:p>
        </w:tc>
        <w:tc>
          <w:tcPr>
            <w:tcW w:w="551" w:type="pct"/>
            <w:tcBorders>
              <w:top w:val="nil"/>
              <w:left w:val="nil"/>
              <w:bottom w:val="nil"/>
              <w:right w:val="nil"/>
            </w:tcBorders>
            <w:shd w:val="clear" w:color="auto" w:fill="auto"/>
            <w:noWrap/>
            <w:vAlign w:val="bottom"/>
            <w:hideMark/>
          </w:tcPr>
          <w:p w14:paraId="6E9107DC" w14:textId="17FEF257" w:rsidR="00F26E30" w:rsidRPr="00B362E9" w:rsidRDefault="00F26E30" w:rsidP="00454EE7">
            <w:pPr>
              <w:spacing w:line="18" w:lineRule="atLeast"/>
              <w:rPr>
                <w:rFonts w:ascii="Cambria" w:hAnsi="Cambria" w:cs="Arial"/>
                <w:color w:val="000000"/>
                <w:sz w:val="16"/>
                <w:szCs w:val="16"/>
              </w:rPr>
            </w:pPr>
            <w:r>
              <w:rPr>
                <w:rFonts w:ascii="Cambria" w:hAnsi="Cambria"/>
                <w:color w:val="000000"/>
                <w:sz w:val="16"/>
              </w:rPr>
              <w:t xml:space="preserve">      3 031 106 </w:t>
            </w:r>
          </w:p>
        </w:tc>
        <w:tc>
          <w:tcPr>
            <w:tcW w:w="502" w:type="pct"/>
            <w:tcBorders>
              <w:top w:val="nil"/>
              <w:left w:val="nil"/>
              <w:bottom w:val="nil"/>
              <w:right w:val="nil"/>
            </w:tcBorders>
            <w:shd w:val="clear" w:color="auto" w:fill="auto"/>
            <w:noWrap/>
            <w:vAlign w:val="bottom"/>
            <w:hideMark/>
          </w:tcPr>
          <w:p w14:paraId="4CE78453" w14:textId="77777777" w:rsidR="00F26E30" w:rsidRPr="00F26E30" w:rsidRDefault="00F26E30" w:rsidP="00454EE7">
            <w:pPr>
              <w:spacing w:line="18" w:lineRule="atLeast"/>
              <w:rPr>
                <w:rFonts w:ascii="Cambria" w:hAnsi="Cambria" w:cs="Arial"/>
                <w:color w:val="000000"/>
                <w:sz w:val="16"/>
                <w:szCs w:val="16"/>
              </w:rPr>
            </w:pPr>
          </w:p>
        </w:tc>
        <w:tc>
          <w:tcPr>
            <w:tcW w:w="502" w:type="pct"/>
            <w:tcBorders>
              <w:top w:val="nil"/>
              <w:left w:val="nil"/>
              <w:bottom w:val="nil"/>
              <w:right w:val="nil"/>
            </w:tcBorders>
            <w:shd w:val="clear" w:color="auto" w:fill="auto"/>
            <w:noWrap/>
            <w:vAlign w:val="bottom"/>
            <w:hideMark/>
          </w:tcPr>
          <w:p w14:paraId="68CC324D"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7CB29F1E"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6B8F385C" w14:textId="77777777" w:rsidR="00F26E30" w:rsidRPr="00F26E30" w:rsidRDefault="00F26E30" w:rsidP="00454EE7">
            <w:pPr>
              <w:spacing w:line="18" w:lineRule="atLeast"/>
              <w:rPr>
                <w:sz w:val="16"/>
                <w:szCs w:val="16"/>
              </w:rPr>
            </w:pPr>
          </w:p>
        </w:tc>
        <w:tc>
          <w:tcPr>
            <w:tcW w:w="507" w:type="pct"/>
            <w:tcBorders>
              <w:top w:val="nil"/>
              <w:left w:val="nil"/>
              <w:bottom w:val="nil"/>
              <w:right w:val="nil"/>
            </w:tcBorders>
            <w:shd w:val="clear" w:color="auto" w:fill="auto"/>
            <w:noWrap/>
            <w:vAlign w:val="bottom"/>
            <w:hideMark/>
          </w:tcPr>
          <w:p w14:paraId="70720200" w14:textId="77777777" w:rsidR="00F26E30" w:rsidRPr="00F26E30" w:rsidRDefault="00F26E30" w:rsidP="00454EE7">
            <w:pPr>
              <w:spacing w:line="18" w:lineRule="atLeast"/>
              <w:rPr>
                <w:sz w:val="16"/>
                <w:szCs w:val="16"/>
              </w:rPr>
            </w:pPr>
          </w:p>
        </w:tc>
        <w:tc>
          <w:tcPr>
            <w:tcW w:w="569" w:type="pct"/>
            <w:tcBorders>
              <w:top w:val="nil"/>
              <w:left w:val="nil"/>
              <w:bottom w:val="nil"/>
              <w:right w:val="nil"/>
            </w:tcBorders>
            <w:shd w:val="clear" w:color="auto" w:fill="auto"/>
            <w:noWrap/>
            <w:vAlign w:val="bottom"/>
            <w:hideMark/>
          </w:tcPr>
          <w:p w14:paraId="60C3BF72" w14:textId="6738D52A"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3 031 106 </w:t>
            </w:r>
          </w:p>
        </w:tc>
      </w:tr>
      <w:tr w:rsidR="00F26E30" w:rsidRPr="009E50B5" w14:paraId="74110070" w14:textId="77777777" w:rsidTr="00717185">
        <w:trPr>
          <w:trHeight w:val="240"/>
        </w:trPr>
        <w:tc>
          <w:tcPr>
            <w:tcW w:w="1365" w:type="pct"/>
            <w:tcBorders>
              <w:top w:val="nil"/>
              <w:left w:val="nil"/>
              <w:bottom w:val="nil"/>
              <w:right w:val="nil"/>
            </w:tcBorders>
            <w:shd w:val="clear" w:color="000000" w:fill="FFFFFF"/>
            <w:noWrap/>
            <w:vAlign w:val="bottom"/>
            <w:hideMark/>
          </w:tcPr>
          <w:p w14:paraId="6809F7EB" w14:textId="77777777" w:rsidR="00F26E30" w:rsidRPr="009E50B5" w:rsidRDefault="00F26E30" w:rsidP="00454EE7">
            <w:pPr>
              <w:spacing w:line="18" w:lineRule="atLeast"/>
              <w:rPr>
                <w:rFonts w:ascii="Cambria" w:hAnsi="Cambria" w:cs="Arial"/>
                <w:color w:val="000000"/>
                <w:sz w:val="16"/>
                <w:szCs w:val="16"/>
              </w:rPr>
            </w:pPr>
            <w:r>
              <w:rPr>
                <w:rFonts w:ascii="Cambria" w:hAnsi="Cambria"/>
                <w:color w:val="000000"/>
                <w:sz w:val="16"/>
              </w:rPr>
              <w:t>Autres dettes et engagements à court terme</w:t>
            </w:r>
          </w:p>
        </w:tc>
        <w:tc>
          <w:tcPr>
            <w:tcW w:w="551" w:type="pct"/>
            <w:tcBorders>
              <w:top w:val="nil"/>
              <w:left w:val="nil"/>
              <w:bottom w:val="nil"/>
              <w:right w:val="nil"/>
            </w:tcBorders>
            <w:shd w:val="clear" w:color="000000" w:fill="FFFFFF"/>
            <w:noWrap/>
            <w:vAlign w:val="bottom"/>
            <w:hideMark/>
          </w:tcPr>
          <w:p w14:paraId="6178D6B3" w14:textId="37403DC7"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1 471 901 </w:t>
            </w:r>
          </w:p>
        </w:tc>
        <w:tc>
          <w:tcPr>
            <w:tcW w:w="502" w:type="pct"/>
            <w:tcBorders>
              <w:top w:val="nil"/>
              <w:left w:val="nil"/>
              <w:bottom w:val="nil"/>
              <w:right w:val="nil"/>
            </w:tcBorders>
            <w:shd w:val="clear" w:color="auto" w:fill="auto"/>
            <w:noWrap/>
            <w:vAlign w:val="bottom"/>
            <w:hideMark/>
          </w:tcPr>
          <w:p w14:paraId="73D1732E" w14:textId="77777777" w:rsidR="00F26E30" w:rsidRPr="00F26E30" w:rsidRDefault="00F26E30" w:rsidP="00454EE7">
            <w:pPr>
              <w:spacing w:line="18" w:lineRule="atLeast"/>
              <w:rPr>
                <w:rFonts w:ascii="Cambria" w:hAnsi="Cambria" w:cs="Arial"/>
                <w:color w:val="000000"/>
                <w:sz w:val="16"/>
                <w:szCs w:val="16"/>
              </w:rPr>
            </w:pPr>
          </w:p>
        </w:tc>
        <w:tc>
          <w:tcPr>
            <w:tcW w:w="502" w:type="pct"/>
            <w:tcBorders>
              <w:top w:val="nil"/>
              <w:left w:val="nil"/>
              <w:bottom w:val="nil"/>
              <w:right w:val="nil"/>
            </w:tcBorders>
            <w:shd w:val="clear" w:color="auto" w:fill="auto"/>
            <w:noWrap/>
            <w:vAlign w:val="bottom"/>
            <w:hideMark/>
          </w:tcPr>
          <w:p w14:paraId="453CA9F7"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4351451E" w14:textId="77777777" w:rsidR="00F26E30" w:rsidRPr="00F26E30" w:rsidRDefault="00F26E30" w:rsidP="00454EE7">
            <w:pPr>
              <w:spacing w:line="18" w:lineRule="atLeast"/>
              <w:rPr>
                <w:sz w:val="16"/>
                <w:szCs w:val="16"/>
              </w:rPr>
            </w:pPr>
          </w:p>
        </w:tc>
        <w:tc>
          <w:tcPr>
            <w:tcW w:w="502" w:type="pct"/>
            <w:tcBorders>
              <w:top w:val="nil"/>
              <w:left w:val="nil"/>
              <w:bottom w:val="nil"/>
              <w:right w:val="nil"/>
            </w:tcBorders>
            <w:shd w:val="clear" w:color="auto" w:fill="auto"/>
            <w:noWrap/>
            <w:vAlign w:val="bottom"/>
            <w:hideMark/>
          </w:tcPr>
          <w:p w14:paraId="1FD56851" w14:textId="77777777" w:rsidR="00F26E30" w:rsidRPr="00F26E30" w:rsidRDefault="00F26E30" w:rsidP="00454EE7">
            <w:pPr>
              <w:spacing w:line="18" w:lineRule="atLeast"/>
              <w:rPr>
                <w:sz w:val="16"/>
                <w:szCs w:val="16"/>
              </w:rPr>
            </w:pPr>
          </w:p>
        </w:tc>
        <w:tc>
          <w:tcPr>
            <w:tcW w:w="507" w:type="pct"/>
            <w:tcBorders>
              <w:top w:val="nil"/>
              <w:left w:val="nil"/>
              <w:bottom w:val="nil"/>
              <w:right w:val="nil"/>
            </w:tcBorders>
            <w:shd w:val="clear" w:color="auto" w:fill="auto"/>
            <w:noWrap/>
            <w:vAlign w:val="bottom"/>
            <w:hideMark/>
          </w:tcPr>
          <w:p w14:paraId="590FABCA" w14:textId="77777777" w:rsidR="00F26E30" w:rsidRPr="00F26E30" w:rsidRDefault="00F26E30" w:rsidP="00454EE7">
            <w:pPr>
              <w:spacing w:line="18" w:lineRule="atLeast"/>
              <w:rPr>
                <w:sz w:val="16"/>
                <w:szCs w:val="16"/>
              </w:rPr>
            </w:pPr>
          </w:p>
        </w:tc>
        <w:tc>
          <w:tcPr>
            <w:tcW w:w="569" w:type="pct"/>
            <w:tcBorders>
              <w:top w:val="nil"/>
              <w:left w:val="nil"/>
              <w:bottom w:val="nil"/>
              <w:right w:val="nil"/>
            </w:tcBorders>
            <w:shd w:val="clear" w:color="auto" w:fill="auto"/>
            <w:noWrap/>
            <w:vAlign w:val="bottom"/>
            <w:hideMark/>
          </w:tcPr>
          <w:p w14:paraId="493E3F58" w14:textId="1E4045CC" w:rsidR="00F26E30" w:rsidRPr="00F26E30" w:rsidRDefault="00F26E30" w:rsidP="00454EE7">
            <w:pPr>
              <w:spacing w:line="18" w:lineRule="atLeast"/>
              <w:rPr>
                <w:rFonts w:ascii="Cambria" w:hAnsi="Cambria" w:cs="Arial"/>
                <w:color w:val="000000"/>
                <w:sz w:val="16"/>
                <w:szCs w:val="16"/>
              </w:rPr>
            </w:pPr>
            <w:r>
              <w:rPr>
                <w:rFonts w:ascii="Cambria" w:hAnsi="Cambria"/>
                <w:color w:val="000000"/>
                <w:sz w:val="16"/>
              </w:rPr>
              <w:t xml:space="preserve">       1 471 901 </w:t>
            </w:r>
          </w:p>
        </w:tc>
      </w:tr>
      <w:tr w:rsidR="00F26E30" w:rsidRPr="009E50B5" w14:paraId="79152261" w14:textId="77777777" w:rsidTr="00717185">
        <w:trPr>
          <w:trHeight w:val="255"/>
        </w:trPr>
        <w:tc>
          <w:tcPr>
            <w:tcW w:w="1365" w:type="pct"/>
            <w:tcBorders>
              <w:top w:val="nil"/>
              <w:left w:val="nil"/>
              <w:bottom w:val="nil"/>
              <w:right w:val="nil"/>
            </w:tcBorders>
            <w:shd w:val="clear" w:color="000000" w:fill="FFFFFF"/>
            <w:noWrap/>
            <w:vAlign w:val="bottom"/>
            <w:hideMark/>
          </w:tcPr>
          <w:p w14:paraId="4B4AB0FD" w14:textId="77777777" w:rsidR="00F26E30" w:rsidRPr="009E50B5" w:rsidRDefault="00F26E30" w:rsidP="00454EE7">
            <w:pPr>
              <w:spacing w:line="18" w:lineRule="atLeast"/>
              <w:rPr>
                <w:rFonts w:ascii="Cambria" w:hAnsi="Cambria" w:cs="Arial"/>
                <w:color w:val="000000"/>
                <w:sz w:val="16"/>
                <w:szCs w:val="16"/>
              </w:rPr>
            </w:pPr>
            <w:r>
              <w:rPr>
                <w:rFonts w:ascii="Cambria" w:hAnsi="Cambria"/>
                <w:color w:val="000000"/>
                <w:sz w:val="16"/>
              </w:rPr>
              <w:t xml:space="preserve">Total </w:t>
            </w:r>
          </w:p>
        </w:tc>
        <w:tc>
          <w:tcPr>
            <w:tcW w:w="551" w:type="pct"/>
            <w:tcBorders>
              <w:top w:val="single" w:sz="4" w:space="0" w:color="auto"/>
              <w:left w:val="nil"/>
              <w:bottom w:val="single" w:sz="8" w:space="0" w:color="auto"/>
              <w:right w:val="nil"/>
            </w:tcBorders>
            <w:shd w:val="clear" w:color="auto" w:fill="auto"/>
            <w:noWrap/>
            <w:vAlign w:val="bottom"/>
            <w:hideMark/>
          </w:tcPr>
          <w:p w14:paraId="0B74ADC2" w14:textId="15CB1B4B" w:rsidR="00F26E30" w:rsidRPr="00F26E30" w:rsidRDefault="00F26E30" w:rsidP="00454EE7">
            <w:pPr>
              <w:spacing w:line="18" w:lineRule="atLeast"/>
              <w:rPr>
                <w:rFonts w:ascii="Cambria" w:hAnsi="Cambria" w:cs="Arial"/>
                <w:b/>
                <w:bCs/>
                <w:color w:val="000000"/>
                <w:sz w:val="16"/>
                <w:szCs w:val="16"/>
              </w:rPr>
            </w:pPr>
            <w:r>
              <w:rPr>
                <w:rFonts w:ascii="Cambria" w:hAnsi="Cambria"/>
                <w:b/>
                <w:color w:val="000000"/>
                <w:sz w:val="16"/>
              </w:rPr>
              <w:t xml:space="preserve">   14 123 506 </w:t>
            </w:r>
          </w:p>
        </w:tc>
        <w:tc>
          <w:tcPr>
            <w:tcW w:w="502" w:type="pct"/>
            <w:tcBorders>
              <w:top w:val="single" w:sz="4" w:space="0" w:color="auto"/>
              <w:left w:val="nil"/>
              <w:bottom w:val="single" w:sz="8" w:space="0" w:color="auto"/>
              <w:right w:val="nil"/>
            </w:tcBorders>
            <w:shd w:val="clear" w:color="auto" w:fill="auto"/>
            <w:noWrap/>
            <w:vAlign w:val="bottom"/>
            <w:hideMark/>
          </w:tcPr>
          <w:p w14:paraId="163AA8C5" w14:textId="388823D9" w:rsidR="00F26E30" w:rsidRPr="00F26E30" w:rsidRDefault="00F26E30" w:rsidP="00454EE7">
            <w:pPr>
              <w:spacing w:line="18" w:lineRule="atLeast"/>
              <w:rPr>
                <w:rFonts w:ascii="Cambria" w:hAnsi="Cambria" w:cs="Arial"/>
                <w:b/>
                <w:bCs/>
                <w:color w:val="000000"/>
                <w:sz w:val="16"/>
                <w:szCs w:val="16"/>
              </w:rPr>
            </w:pPr>
            <w:r>
              <w:rPr>
                <w:rFonts w:ascii="Cambria" w:hAnsi="Cambria"/>
                <w:b/>
                <w:color w:val="000000"/>
                <w:sz w:val="16"/>
              </w:rPr>
              <w:t xml:space="preserve">   8 492 672 </w:t>
            </w:r>
          </w:p>
        </w:tc>
        <w:tc>
          <w:tcPr>
            <w:tcW w:w="502" w:type="pct"/>
            <w:tcBorders>
              <w:top w:val="single" w:sz="4" w:space="0" w:color="auto"/>
              <w:left w:val="nil"/>
              <w:bottom w:val="single" w:sz="8" w:space="0" w:color="auto"/>
              <w:right w:val="nil"/>
            </w:tcBorders>
            <w:shd w:val="clear" w:color="auto" w:fill="auto"/>
            <w:noWrap/>
            <w:vAlign w:val="bottom"/>
            <w:hideMark/>
          </w:tcPr>
          <w:p w14:paraId="6369575E" w14:textId="38C0541D" w:rsidR="00F26E30" w:rsidRPr="00F26E30" w:rsidRDefault="00F26E30" w:rsidP="00454EE7">
            <w:pPr>
              <w:spacing w:line="18" w:lineRule="atLeast"/>
              <w:rPr>
                <w:rFonts w:ascii="Cambria" w:hAnsi="Cambria" w:cs="Arial"/>
                <w:b/>
                <w:bCs/>
                <w:color w:val="000000"/>
                <w:sz w:val="16"/>
                <w:szCs w:val="16"/>
              </w:rPr>
            </w:pPr>
            <w:r>
              <w:rPr>
                <w:rFonts w:ascii="Cambria" w:hAnsi="Cambria"/>
                <w:b/>
                <w:color w:val="000000"/>
                <w:sz w:val="16"/>
              </w:rPr>
              <w:t xml:space="preserve">   1 295 621 </w:t>
            </w:r>
          </w:p>
        </w:tc>
        <w:tc>
          <w:tcPr>
            <w:tcW w:w="502" w:type="pct"/>
            <w:tcBorders>
              <w:top w:val="single" w:sz="4" w:space="0" w:color="auto"/>
              <w:left w:val="nil"/>
              <w:bottom w:val="single" w:sz="8" w:space="0" w:color="auto"/>
              <w:right w:val="nil"/>
            </w:tcBorders>
            <w:shd w:val="clear" w:color="auto" w:fill="auto"/>
            <w:noWrap/>
            <w:vAlign w:val="bottom"/>
            <w:hideMark/>
          </w:tcPr>
          <w:p w14:paraId="5B49AE21" w14:textId="35A43FDE" w:rsidR="00F26E30" w:rsidRPr="00F26E30" w:rsidRDefault="00F26E30" w:rsidP="00454EE7">
            <w:pPr>
              <w:spacing w:line="18" w:lineRule="atLeast"/>
              <w:rPr>
                <w:rFonts w:ascii="Cambria" w:hAnsi="Cambria" w:cs="Arial"/>
                <w:b/>
                <w:bCs/>
                <w:color w:val="000000"/>
                <w:sz w:val="16"/>
                <w:szCs w:val="16"/>
              </w:rPr>
            </w:pPr>
            <w:r>
              <w:rPr>
                <w:rFonts w:ascii="Cambria" w:hAnsi="Cambria"/>
                <w:b/>
                <w:color w:val="000000"/>
                <w:sz w:val="16"/>
              </w:rPr>
              <w:t xml:space="preserve">   1 039 529 </w:t>
            </w:r>
          </w:p>
        </w:tc>
        <w:tc>
          <w:tcPr>
            <w:tcW w:w="502" w:type="pct"/>
            <w:tcBorders>
              <w:top w:val="single" w:sz="4" w:space="0" w:color="auto"/>
              <w:left w:val="nil"/>
              <w:bottom w:val="single" w:sz="8" w:space="0" w:color="auto"/>
              <w:right w:val="nil"/>
            </w:tcBorders>
            <w:shd w:val="clear" w:color="auto" w:fill="auto"/>
            <w:noWrap/>
            <w:vAlign w:val="bottom"/>
            <w:hideMark/>
          </w:tcPr>
          <w:p w14:paraId="34AA00EE" w14:textId="351A8697" w:rsidR="00F26E30" w:rsidRPr="00F26E30" w:rsidRDefault="00F26E30" w:rsidP="00454EE7">
            <w:pPr>
              <w:spacing w:line="18" w:lineRule="atLeast"/>
              <w:rPr>
                <w:rFonts w:ascii="Cambria" w:hAnsi="Cambria" w:cs="Arial"/>
                <w:b/>
                <w:bCs/>
                <w:color w:val="000000"/>
                <w:sz w:val="16"/>
                <w:szCs w:val="16"/>
              </w:rPr>
            </w:pPr>
            <w:r>
              <w:rPr>
                <w:rFonts w:ascii="Cambria" w:hAnsi="Cambria"/>
                <w:b/>
                <w:color w:val="000000"/>
                <w:sz w:val="16"/>
              </w:rPr>
              <w:t xml:space="preserve">   1 054 444 </w:t>
            </w:r>
          </w:p>
        </w:tc>
        <w:tc>
          <w:tcPr>
            <w:tcW w:w="507" w:type="pct"/>
            <w:tcBorders>
              <w:top w:val="single" w:sz="4" w:space="0" w:color="auto"/>
              <w:left w:val="nil"/>
              <w:bottom w:val="single" w:sz="8" w:space="0" w:color="auto"/>
              <w:right w:val="nil"/>
            </w:tcBorders>
            <w:shd w:val="clear" w:color="auto" w:fill="auto"/>
            <w:noWrap/>
            <w:vAlign w:val="bottom"/>
            <w:hideMark/>
          </w:tcPr>
          <w:p w14:paraId="78F2753C" w14:textId="7C6C4062" w:rsidR="00F26E30" w:rsidRPr="00F26E30" w:rsidRDefault="00F26E30" w:rsidP="00454EE7">
            <w:pPr>
              <w:spacing w:line="18" w:lineRule="atLeast"/>
              <w:rPr>
                <w:rFonts w:ascii="Cambria" w:hAnsi="Cambria" w:cs="Arial"/>
                <w:b/>
                <w:bCs/>
                <w:color w:val="000000"/>
                <w:sz w:val="16"/>
                <w:szCs w:val="16"/>
              </w:rPr>
            </w:pPr>
            <w:r>
              <w:rPr>
                <w:rFonts w:ascii="Cambria" w:hAnsi="Cambria"/>
                <w:b/>
                <w:color w:val="000000"/>
                <w:sz w:val="16"/>
              </w:rPr>
              <w:t xml:space="preserve">       480 123 </w:t>
            </w:r>
          </w:p>
        </w:tc>
        <w:tc>
          <w:tcPr>
            <w:tcW w:w="569" w:type="pct"/>
            <w:tcBorders>
              <w:top w:val="single" w:sz="4" w:space="0" w:color="auto"/>
              <w:left w:val="nil"/>
              <w:bottom w:val="single" w:sz="8" w:space="0" w:color="auto"/>
              <w:right w:val="nil"/>
            </w:tcBorders>
            <w:shd w:val="clear" w:color="auto" w:fill="auto"/>
            <w:noWrap/>
            <w:vAlign w:val="bottom"/>
            <w:hideMark/>
          </w:tcPr>
          <w:p w14:paraId="088889A5" w14:textId="6CB7807A" w:rsidR="00F26E30" w:rsidRPr="00F26E30" w:rsidRDefault="00F26E30" w:rsidP="00454EE7">
            <w:pPr>
              <w:spacing w:line="18" w:lineRule="atLeast"/>
              <w:rPr>
                <w:rFonts w:ascii="Cambria" w:hAnsi="Cambria" w:cs="Arial"/>
                <w:b/>
                <w:bCs/>
                <w:color w:val="000000"/>
                <w:sz w:val="16"/>
                <w:szCs w:val="16"/>
              </w:rPr>
            </w:pPr>
            <w:r>
              <w:rPr>
                <w:rFonts w:ascii="Cambria" w:hAnsi="Cambria"/>
                <w:b/>
                <w:color w:val="000000"/>
                <w:sz w:val="16"/>
              </w:rPr>
              <w:t xml:space="preserve">    26 485 895 </w:t>
            </w:r>
          </w:p>
        </w:tc>
      </w:tr>
    </w:tbl>
    <w:p w14:paraId="49901770" w14:textId="016E544E" w:rsidR="00552D59" w:rsidRPr="00C17031" w:rsidRDefault="00552D59" w:rsidP="00454EE7">
      <w:pPr>
        <w:spacing w:after="200" w:line="18" w:lineRule="atLeast"/>
        <w:jc w:val="both"/>
        <w:rPr>
          <w:rFonts w:ascii="Cambria" w:hAnsi="Cambria"/>
          <w:b/>
          <w:sz w:val="22"/>
          <w:szCs w:val="22"/>
        </w:rPr>
      </w:pPr>
      <w:r>
        <w:rPr>
          <w:rFonts w:ascii="Cambria" w:hAnsi="Cambria"/>
          <w:b/>
          <w:sz w:val="22"/>
        </w:rPr>
        <w:t xml:space="preserve">Variations des passifs financiers (IAS 7) </w:t>
      </w:r>
    </w:p>
    <w:p w14:paraId="37DFEFF7" w14:textId="6B340223" w:rsidR="00552D59" w:rsidRDefault="00552D59" w:rsidP="00454EE7">
      <w:pPr>
        <w:spacing w:after="200" w:line="18" w:lineRule="atLeast"/>
        <w:jc w:val="both"/>
        <w:rPr>
          <w:rFonts w:ascii="Cambria" w:hAnsi="Cambria"/>
          <w:sz w:val="22"/>
          <w:szCs w:val="22"/>
        </w:rPr>
      </w:pPr>
      <w:r>
        <w:rPr>
          <w:rFonts w:ascii="Cambria" w:hAnsi="Cambria"/>
          <w:sz w:val="22"/>
        </w:rPr>
        <w:t>Le tableau ci-dessous présente les variations des passifs financiers découlant des actifs financiers au 30 juin 2021, par rapport au 31 décembre 2020 :</w:t>
      </w:r>
    </w:p>
    <w:tbl>
      <w:tblPr>
        <w:tblW w:w="5000" w:type="pct"/>
        <w:tblCellMar>
          <w:left w:w="70" w:type="dxa"/>
          <w:right w:w="70" w:type="dxa"/>
        </w:tblCellMar>
        <w:tblLook w:val="04A0" w:firstRow="1" w:lastRow="0" w:firstColumn="1" w:lastColumn="0" w:noHBand="0" w:noVBand="1"/>
      </w:tblPr>
      <w:tblGrid>
        <w:gridCol w:w="3831"/>
        <w:gridCol w:w="876"/>
        <w:gridCol w:w="1157"/>
        <w:gridCol w:w="1157"/>
        <w:gridCol w:w="1741"/>
        <w:gridCol w:w="876"/>
      </w:tblGrid>
      <w:tr w:rsidR="009E50B5" w:rsidRPr="009E50B5" w14:paraId="53CD0BEA" w14:textId="77777777" w:rsidTr="009E50B5">
        <w:trPr>
          <w:trHeight w:val="495"/>
        </w:trPr>
        <w:tc>
          <w:tcPr>
            <w:tcW w:w="1712" w:type="pct"/>
            <w:tcBorders>
              <w:top w:val="single" w:sz="4" w:space="0" w:color="0070C0"/>
              <w:left w:val="nil"/>
              <w:bottom w:val="single" w:sz="8" w:space="0" w:color="0070C0"/>
              <w:right w:val="nil"/>
            </w:tcBorders>
            <w:shd w:val="clear" w:color="000000" w:fill="FFFFFF"/>
            <w:noWrap/>
            <w:vAlign w:val="bottom"/>
            <w:hideMark/>
          </w:tcPr>
          <w:p w14:paraId="48DE2ECF" w14:textId="77777777" w:rsidR="009E50B5" w:rsidRPr="009E50B5" w:rsidRDefault="009E50B5" w:rsidP="00454EE7">
            <w:pPr>
              <w:spacing w:line="18" w:lineRule="atLeast"/>
              <w:rPr>
                <w:rFonts w:ascii="Cambria" w:hAnsi="Cambria" w:cs="Arial"/>
                <w:color w:val="000000"/>
                <w:sz w:val="15"/>
                <w:szCs w:val="15"/>
              </w:rPr>
            </w:pPr>
            <w:r>
              <w:rPr>
                <w:rFonts w:ascii="Cambria" w:hAnsi="Cambria"/>
                <w:color w:val="000000"/>
                <w:sz w:val="15"/>
              </w:rPr>
              <w:t>(</w:t>
            </w:r>
            <w:proofErr w:type="gramStart"/>
            <w:r>
              <w:rPr>
                <w:rFonts w:ascii="Cambria" w:hAnsi="Cambria"/>
                <w:color w:val="000000"/>
                <w:sz w:val="15"/>
              </w:rPr>
              <w:t>en</w:t>
            </w:r>
            <w:proofErr w:type="gramEnd"/>
            <w:r>
              <w:rPr>
                <w:rFonts w:ascii="Cambria" w:hAnsi="Cambria"/>
                <w:color w:val="000000"/>
                <w:sz w:val="15"/>
              </w:rPr>
              <w:t xml:space="preserve"> euros)</w:t>
            </w:r>
          </w:p>
        </w:tc>
        <w:tc>
          <w:tcPr>
            <w:tcW w:w="656" w:type="pct"/>
            <w:tcBorders>
              <w:top w:val="single" w:sz="4" w:space="0" w:color="0070C0"/>
              <w:left w:val="nil"/>
              <w:bottom w:val="single" w:sz="8" w:space="0" w:color="0070C0"/>
              <w:right w:val="nil"/>
            </w:tcBorders>
            <w:shd w:val="clear" w:color="auto" w:fill="auto"/>
            <w:vAlign w:val="bottom"/>
            <w:hideMark/>
          </w:tcPr>
          <w:p w14:paraId="0EB68E43" w14:textId="77777777" w:rsidR="009E50B5" w:rsidRPr="009E50B5" w:rsidRDefault="009E50B5" w:rsidP="00454EE7">
            <w:pPr>
              <w:spacing w:line="18" w:lineRule="atLeast"/>
              <w:jc w:val="center"/>
              <w:rPr>
                <w:rFonts w:ascii="Cambria" w:hAnsi="Cambria" w:cs="Arial"/>
                <w:b/>
                <w:bCs/>
                <w:color w:val="000000"/>
                <w:sz w:val="15"/>
                <w:szCs w:val="15"/>
              </w:rPr>
            </w:pPr>
            <w:r>
              <w:rPr>
                <w:rFonts w:ascii="Cambria" w:hAnsi="Cambria"/>
                <w:b/>
                <w:color w:val="000000"/>
                <w:sz w:val="15"/>
              </w:rPr>
              <w:t>31 décembre 2020</w:t>
            </w:r>
          </w:p>
        </w:tc>
        <w:tc>
          <w:tcPr>
            <w:tcW w:w="658" w:type="pct"/>
            <w:tcBorders>
              <w:top w:val="single" w:sz="4" w:space="0" w:color="0070C0"/>
              <w:left w:val="nil"/>
              <w:bottom w:val="single" w:sz="8" w:space="0" w:color="0070C0"/>
              <w:right w:val="nil"/>
            </w:tcBorders>
            <w:shd w:val="clear" w:color="000000" w:fill="FFFFFF"/>
            <w:vAlign w:val="bottom"/>
            <w:hideMark/>
          </w:tcPr>
          <w:p w14:paraId="0C7C4E0D" w14:textId="77777777" w:rsidR="009E50B5" w:rsidRPr="009E50B5" w:rsidRDefault="009E50B5" w:rsidP="00454EE7">
            <w:pPr>
              <w:spacing w:line="18" w:lineRule="atLeast"/>
              <w:jc w:val="center"/>
              <w:rPr>
                <w:rFonts w:ascii="Cambria" w:hAnsi="Cambria" w:cs="Arial"/>
                <w:b/>
                <w:bCs/>
                <w:color w:val="000000"/>
                <w:sz w:val="15"/>
                <w:szCs w:val="15"/>
              </w:rPr>
            </w:pPr>
            <w:r>
              <w:rPr>
                <w:rFonts w:ascii="Cambria" w:hAnsi="Cambria"/>
                <w:b/>
                <w:color w:val="000000"/>
                <w:sz w:val="15"/>
              </w:rPr>
              <w:t>Flux de trésorerie</w:t>
            </w:r>
          </w:p>
        </w:tc>
        <w:tc>
          <w:tcPr>
            <w:tcW w:w="658" w:type="pct"/>
            <w:tcBorders>
              <w:top w:val="single" w:sz="4" w:space="0" w:color="0070C0"/>
              <w:left w:val="nil"/>
              <w:bottom w:val="single" w:sz="8" w:space="0" w:color="0070C0"/>
              <w:right w:val="nil"/>
            </w:tcBorders>
            <w:shd w:val="clear" w:color="000000" w:fill="FFFFFF"/>
            <w:vAlign w:val="bottom"/>
            <w:hideMark/>
          </w:tcPr>
          <w:p w14:paraId="17CAF48F" w14:textId="77777777" w:rsidR="009E50B5" w:rsidRPr="009E50B5" w:rsidRDefault="009E50B5" w:rsidP="00454EE7">
            <w:pPr>
              <w:spacing w:line="18" w:lineRule="atLeast"/>
              <w:jc w:val="center"/>
              <w:rPr>
                <w:rFonts w:ascii="Cambria" w:hAnsi="Cambria" w:cs="Arial"/>
                <w:b/>
                <w:bCs/>
                <w:color w:val="000000"/>
                <w:sz w:val="15"/>
                <w:szCs w:val="15"/>
              </w:rPr>
            </w:pPr>
            <w:r>
              <w:rPr>
                <w:rFonts w:ascii="Cambria" w:hAnsi="Cambria"/>
                <w:b/>
                <w:color w:val="000000"/>
                <w:sz w:val="15"/>
              </w:rPr>
              <w:t>Nouveaux contrats de crédit-bail</w:t>
            </w:r>
          </w:p>
        </w:tc>
        <w:tc>
          <w:tcPr>
            <w:tcW w:w="659" w:type="pct"/>
            <w:tcBorders>
              <w:top w:val="single" w:sz="4" w:space="0" w:color="0070C0"/>
              <w:left w:val="nil"/>
              <w:bottom w:val="single" w:sz="8" w:space="0" w:color="0070C0"/>
              <w:right w:val="nil"/>
            </w:tcBorders>
            <w:shd w:val="clear" w:color="000000" w:fill="FFFFFF"/>
            <w:vAlign w:val="bottom"/>
            <w:hideMark/>
          </w:tcPr>
          <w:p w14:paraId="6014CF64" w14:textId="5C1CE8B4" w:rsidR="009E50B5" w:rsidRPr="009E50B5" w:rsidRDefault="009E50B5" w:rsidP="00454EE7">
            <w:pPr>
              <w:spacing w:line="18" w:lineRule="atLeast"/>
              <w:jc w:val="center"/>
              <w:rPr>
                <w:rFonts w:ascii="Cambria" w:hAnsi="Cambria" w:cs="Arial"/>
                <w:b/>
                <w:bCs/>
                <w:color w:val="000000"/>
                <w:sz w:val="15"/>
                <w:szCs w:val="15"/>
              </w:rPr>
            </w:pPr>
            <w:r>
              <w:rPr>
                <w:rFonts w:ascii="Cambria" w:hAnsi="Cambria"/>
                <w:b/>
                <w:color w:val="000000"/>
                <w:sz w:val="15"/>
              </w:rPr>
              <w:t>Autres/Reclassifications</w:t>
            </w:r>
          </w:p>
        </w:tc>
        <w:tc>
          <w:tcPr>
            <w:tcW w:w="656" w:type="pct"/>
            <w:tcBorders>
              <w:top w:val="single" w:sz="4" w:space="0" w:color="0070C0"/>
              <w:left w:val="nil"/>
              <w:bottom w:val="single" w:sz="8" w:space="0" w:color="0070C0"/>
              <w:right w:val="nil"/>
            </w:tcBorders>
            <w:shd w:val="clear" w:color="auto" w:fill="auto"/>
            <w:vAlign w:val="bottom"/>
            <w:hideMark/>
          </w:tcPr>
          <w:p w14:paraId="19650712" w14:textId="77777777" w:rsidR="009E50B5" w:rsidRPr="009E50B5" w:rsidRDefault="009E50B5" w:rsidP="00454EE7">
            <w:pPr>
              <w:spacing w:line="18" w:lineRule="atLeast"/>
              <w:jc w:val="center"/>
              <w:rPr>
                <w:rFonts w:ascii="Cambria" w:hAnsi="Cambria" w:cs="Arial"/>
                <w:b/>
                <w:bCs/>
                <w:color w:val="000000"/>
                <w:sz w:val="15"/>
                <w:szCs w:val="15"/>
              </w:rPr>
            </w:pPr>
            <w:r>
              <w:rPr>
                <w:rFonts w:ascii="Cambria" w:hAnsi="Cambria"/>
                <w:b/>
                <w:color w:val="000000"/>
                <w:sz w:val="15"/>
              </w:rPr>
              <w:t>30 juin 2021</w:t>
            </w:r>
          </w:p>
        </w:tc>
      </w:tr>
      <w:tr w:rsidR="009E50B5" w:rsidRPr="009E50B5" w14:paraId="6467FE54" w14:textId="77777777" w:rsidTr="009E50B5">
        <w:trPr>
          <w:trHeight w:val="255"/>
        </w:trPr>
        <w:tc>
          <w:tcPr>
            <w:tcW w:w="1712" w:type="pct"/>
            <w:tcBorders>
              <w:top w:val="nil"/>
              <w:left w:val="nil"/>
              <w:bottom w:val="nil"/>
              <w:right w:val="nil"/>
            </w:tcBorders>
            <w:shd w:val="clear" w:color="000000" w:fill="FFFFFF"/>
            <w:noWrap/>
            <w:vAlign w:val="bottom"/>
            <w:hideMark/>
          </w:tcPr>
          <w:p w14:paraId="7C4EE9B2" w14:textId="77777777" w:rsidR="009E50B5" w:rsidRPr="009E50B5" w:rsidRDefault="009E50B5" w:rsidP="00454EE7">
            <w:pPr>
              <w:spacing w:line="18" w:lineRule="atLeast"/>
              <w:rPr>
                <w:rFonts w:ascii="Cambria" w:hAnsi="Cambria" w:cs="Arial"/>
                <w:color w:val="000000"/>
                <w:sz w:val="15"/>
                <w:szCs w:val="15"/>
              </w:rPr>
            </w:pPr>
            <w:r>
              <w:rPr>
                <w:rFonts w:ascii="Cambria" w:hAnsi="Cambria"/>
                <w:color w:val="000000"/>
                <w:sz w:val="15"/>
              </w:rPr>
              <w:t>Prêts à moyen et long terme</w:t>
            </w:r>
          </w:p>
        </w:tc>
        <w:tc>
          <w:tcPr>
            <w:tcW w:w="656" w:type="pct"/>
            <w:tcBorders>
              <w:top w:val="nil"/>
              <w:left w:val="nil"/>
              <w:bottom w:val="nil"/>
              <w:right w:val="nil"/>
            </w:tcBorders>
            <w:shd w:val="clear" w:color="auto" w:fill="auto"/>
            <w:noWrap/>
            <w:vAlign w:val="bottom"/>
            <w:hideMark/>
          </w:tcPr>
          <w:p w14:paraId="7A683BC2" w14:textId="77777777" w:rsidR="009E50B5" w:rsidRPr="009E50B5" w:rsidRDefault="009E50B5" w:rsidP="00454EE7">
            <w:pPr>
              <w:spacing w:line="18" w:lineRule="atLeast"/>
              <w:jc w:val="right"/>
              <w:rPr>
                <w:rFonts w:ascii="Cambria" w:hAnsi="Cambria" w:cs="Arial"/>
                <w:color w:val="000000"/>
                <w:sz w:val="15"/>
                <w:szCs w:val="15"/>
              </w:rPr>
            </w:pPr>
            <w:r>
              <w:rPr>
                <w:rFonts w:ascii="Cambria" w:hAnsi="Cambria"/>
                <w:color w:val="000000"/>
                <w:sz w:val="15"/>
              </w:rPr>
              <w:t>4 115 858</w:t>
            </w:r>
          </w:p>
        </w:tc>
        <w:tc>
          <w:tcPr>
            <w:tcW w:w="658" w:type="pct"/>
            <w:tcBorders>
              <w:top w:val="nil"/>
              <w:left w:val="nil"/>
              <w:bottom w:val="nil"/>
              <w:right w:val="nil"/>
            </w:tcBorders>
            <w:shd w:val="clear" w:color="000000" w:fill="FFFFFF"/>
            <w:noWrap/>
            <w:vAlign w:val="bottom"/>
            <w:hideMark/>
          </w:tcPr>
          <w:p w14:paraId="0BC9897A" w14:textId="77777777" w:rsidR="009E50B5" w:rsidRPr="009E50B5" w:rsidRDefault="009E50B5" w:rsidP="00454EE7">
            <w:pPr>
              <w:spacing w:line="18" w:lineRule="atLeast"/>
              <w:jc w:val="right"/>
              <w:rPr>
                <w:rFonts w:ascii="Cambria" w:hAnsi="Cambria" w:cs="Arial"/>
                <w:color w:val="000000"/>
                <w:sz w:val="15"/>
                <w:szCs w:val="15"/>
              </w:rPr>
            </w:pPr>
            <w:r>
              <w:rPr>
                <w:rFonts w:ascii="Cambria" w:hAnsi="Cambria"/>
                <w:color w:val="000000"/>
                <w:sz w:val="15"/>
              </w:rPr>
              <w:t>484 172</w:t>
            </w:r>
          </w:p>
        </w:tc>
        <w:tc>
          <w:tcPr>
            <w:tcW w:w="658" w:type="pct"/>
            <w:tcBorders>
              <w:top w:val="nil"/>
              <w:left w:val="nil"/>
              <w:bottom w:val="nil"/>
              <w:right w:val="nil"/>
            </w:tcBorders>
            <w:shd w:val="clear" w:color="auto" w:fill="auto"/>
            <w:noWrap/>
            <w:vAlign w:val="bottom"/>
            <w:hideMark/>
          </w:tcPr>
          <w:p w14:paraId="4DABB482" w14:textId="77777777" w:rsidR="009E50B5" w:rsidRPr="009E50B5" w:rsidRDefault="009E50B5" w:rsidP="00454EE7">
            <w:pPr>
              <w:spacing w:line="18" w:lineRule="atLeast"/>
              <w:rPr>
                <w:rFonts w:ascii="Cambria" w:hAnsi="Cambria" w:cs="Arial"/>
                <w:color w:val="000000"/>
                <w:sz w:val="15"/>
                <w:szCs w:val="15"/>
              </w:rPr>
            </w:pPr>
            <w:r>
              <w:rPr>
                <w:rFonts w:ascii="Cambria" w:hAnsi="Cambria"/>
                <w:color w:val="000000"/>
                <w:sz w:val="15"/>
              </w:rPr>
              <w:t xml:space="preserve">                               -  </w:t>
            </w:r>
          </w:p>
        </w:tc>
        <w:tc>
          <w:tcPr>
            <w:tcW w:w="659" w:type="pct"/>
            <w:tcBorders>
              <w:top w:val="nil"/>
              <w:left w:val="nil"/>
              <w:bottom w:val="nil"/>
              <w:right w:val="nil"/>
            </w:tcBorders>
            <w:shd w:val="clear" w:color="000000" w:fill="FFFFFF"/>
            <w:noWrap/>
            <w:vAlign w:val="bottom"/>
            <w:hideMark/>
          </w:tcPr>
          <w:p w14:paraId="4F38B8FD" w14:textId="77777777" w:rsidR="009E50B5" w:rsidRPr="009E50B5" w:rsidRDefault="009E50B5" w:rsidP="00454EE7">
            <w:pPr>
              <w:spacing w:line="18" w:lineRule="atLeast"/>
              <w:jc w:val="right"/>
              <w:rPr>
                <w:rFonts w:ascii="Cambria" w:hAnsi="Cambria" w:cs="Arial"/>
                <w:color w:val="000000"/>
                <w:sz w:val="15"/>
                <w:szCs w:val="15"/>
              </w:rPr>
            </w:pPr>
            <w:r>
              <w:rPr>
                <w:rFonts w:ascii="Cambria" w:hAnsi="Cambria"/>
                <w:color w:val="000000"/>
                <w:sz w:val="15"/>
              </w:rPr>
              <w:t>(402 319)</w:t>
            </w:r>
          </w:p>
        </w:tc>
        <w:tc>
          <w:tcPr>
            <w:tcW w:w="656" w:type="pct"/>
            <w:tcBorders>
              <w:top w:val="nil"/>
              <w:left w:val="nil"/>
              <w:bottom w:val="nil"/>
              <w:right w:val="nil"/>
            </w:tcBorders>
            <w:shd w:val="clear" w:color="000000" w:fill="FFFFFF"/>
            <w:noWrap/>
            <w:vAlign w:val="bottom"/>
            <w:hideMark/>
          </w:tcPr>
          <w:p w14:paraId="4E1DB2FA" w14:textId="77777777" w:rsidR="009E50B5" w:rsidRPr="009E50B5" w:rsidRDefault="009E50B5" w:rsidP="00454EE7">
            <w:pPr>
              <w:spacing w:line="18" w:lineRule="atLeast"/>
              <w:jc w:val="right"/>
              <w:rPr>
                <w:rFonts w:ascii="Cambria" w:hAnsi="Cambria" w:cs="Arial"/>
                <w:color w:val="000000"/>
                <w:sz w:val="15"/>
                <w:szCs w:val="15"/>
              </w:rPr>
            </w:pPr>
            <w:r>
              <w:rPr>
                <w:rFonts w:ascii="Cambria" w:hAnsi="Cambria"/>
                <w:color w:val="000000"/>
                <w:sz w:val="15"/>
              </w:rPr>
              <w:t>4 197 711</w:t>
            </w:r>
          </w:p>
        </w:tc>
      </w:tr>
      <w:tr w:rsidR="009E50B5" w:rsidRPr="009E50B5" w14:paraId="7051FD80" w14:textId="77777777" w:rsidTr="009E50B5">
        <w:trPr>
          <w:trHeight w:val="255"/>
        </w:trPr>
        <w:tc>
          <w:tcPr>
            <w:tcW w:w="1712" w:type="pct"/>
            <w:tcBorders>
              <w:top w:val="nil"/>
              <w:left w:val="nil"/>
              <w:bottom w:val="nil"/>
              <w:right w:val="nil"/>
            </w:tcBorders>
            <w:shd w:val="clear" w:color="000000" w:fill="FFFFFF"/>
            <w:noWrap/>
            <w:vAlign w:val="bottom"/>
            <w:hideMark/>
          </w:tcPr>
          <w:p w14:paraId="0494D0BC" w14:textId="77777777" w:rsidR="009E50B5" w:rsidRPr="009E50B5" w:rsidRDefault="009E50B5" w:rsidP="00454EE7">
            <w:pPr>
              <w:spacing w:line="18" w:lineRule="atLeast"/>
              <w:rPr>
                <w:rFonts w:ascii="Cambria" w:hAnsi="Cambria" w:cs="Arial"/>
                <w:color w:val="000000"/>
                <w:sz w:val="15"/>
                <w:szCs w:val="15"/>
              </w:rPr>
            </w:pPr>
            <w:r>
              <w:rPr>
                <w:rFonts w:ascii="Cambria" w:hAnsi="Cambria"/>
                <w:color w:val="000000"/>
                <w:sz w:val="15"/>
              </w:rPr>
              <w:t>Dettes envers des banques et portions à court terme de prêts</w:t>
            </w:r>
          </w:p>
        </w:tc>
        <w:tc>
          <w:tcPr>
            <w:tcW w:w="656" w:type="pct"/>
            <w:tcBorders>
              <w:top w:val="nil"/>
              <w:left w:val="nil"/>
              <w:bottom w:val="nil"/>
              <w:right w:val="nil"/>
            </w:tcBorders>
            <w:shd w:val="clear" w:color="auto" w:fill="auto"/>
            <w:noWrap/>
            <w:vAlign w:val="bottom"/>
            <w:hideMark/>
          </w:tcPr>
          <w:p w14:paraId="5C186535" w14:textId="77777777" w:rsidR="009E50B5" w:rsidRPr="009E50B5" w:rsidRDefault="009E50B5" w:rsidP="00454EE7">
            <w:pPr>
              <w:spacing w:line="18" w:lineRule="atLeast"/>
              <w:jc w:val="right"/>
              <w:rPr>
                <w:rFonts w:ascii="Cambria" w:hAnsi="Cambria" w:cs="Arial"/>
                <w:color w:val="000000"/>
                <w:sz w:val="15"/>
                <w:szCs w:val="15"/>
              </w:rPr>
            </w:pPr>
            <w:r>
              <w:rPr>
                <w:rFonts w:ascii="Cambria" w:hAnsi="Cambria"/>
                <w:color w:val="000000"/>
                <w:sz w:val="15"/>
              </w:rPr>
              <w:t>1 477 061</w:t>
            </w:r>
          </w:p>
        </w:tc>
        <w:tc>
          <w:tcPr>
            <w:tcW w:w="658" w:type="pct"/>
            <w:tcBorders>
              <w:top w:val="nil"/>
              <w:left w:val="nil"/>
              <w:bottom w:val="nil"/>
              <w:right w:val="nil"/>
            </w:tcBorders>
            <w:shd w:val="clear" w:color="000000" w:fill="FFFFFF"/>
            <w:noWrap/>
            <w:vAlign w:val="bottom"/>
            <w:hideMark/>
          </w:tcPr>
          <w:p w14:paraId="2EEF82D6" w14:textId="77777777" w:rsidR="009E50B5" w:rsidRPr="009E50B5" w:rsidRDefault="009E50B5" w:rsidP="00454EE7">
            <w:pPr>
              <w:spacing w:line="18" w:lineRule="atLeast"/>
              <w:jc w:val="right"/>
              <w:rPr>
                <w:rFonts w:ascii="Cambria" w:hAnsi="Cambria" w:cs="Arial"/>
                <w:color w:val="000000"/>
                <w:sz w:val="15"/>
                <w:szCs w:val="15"/>
              </w:rPr>
            </w:pPr>
            <w:r>
              <w:rPr>
                <w:rFonts w:ascii="Cambria" w:hAnsi="Cambria"/>
                <w:color w:val="000000"/>
                <w:sz w:val="15"/>
              </w:rPr>
              <w:t>581 650</w:t>
            </w:r>
          </w:p>
        </w:tc>
        <w:tc>
          <w:tcPr>
            <w:tcW w:w="658" w:type="pct"/>
            <w:tcBorders>
              <w:top w:val="nil"/>
              <w:left w:val="nil"/>
              <w:bottom w:val="nil"/>
              <w:right w:val="nil"/>
            </w:tcBorders>
            <w:shd w:val="clear" w:color="auto" w:fill="auto"/>
            <w:noWrap/>
            <w:vAlign w:val="bottom"/>
            <w:hideMark/>
          </w:tcPr>
          <w:p w14:paraId="357B2AC1" w14:textId="77777777" w:rsidR="009E50B5" w:rsidRPr="009E50B5" w:rsidRDefault="009E50B5" w:rsidP="00454EE7">
            <w:pPr>
              <w:spacing w:line="18" w:lineRule="atLeast"/>
              <w:rPr>
                <w:rFonts w:ascii="Cambria" w:hAnsi="Cambria" w:cs="Arial"/>
                <w:color w:val="000000"/>
                <w:sz w:val="15"/>
                <w:szCs w:val="15"/>
              </w:rPr>
            </w:pPr>
            <w:r>
              <w:rPr>
                <w:rFonts w:ascii="Cambria" w:hAnsi="Cambria"/>
                <w:color w:val="000000"/>
                <w:sz w:val="15"/>
              </w:rPr>
              <w:t xml:space="preserve">                               - </w:t>
            </w:r>
          </w:p>
        </w:tc>
        <w:tc>
          <w:tcPr>
            <w:tcW w:w="659" w:type="pct"/>
            <w:tcBorders>
              <w:top w:val="nil"/>
              <w:left w:val="nil"/>
              <w:bottom w:val="nil"/>
              <w:right w:val="nil"/>
            </w:tcBorders>
            <w:shd w:val="clear" w:color="000000" w:fill="FFFFFF"/>
            <w:noWrap/>
            <w:vAlign w:val="bottom"/>
            <w:hideMark/>
          </w:tcPr>
          <w:p w14:paraId="5123EDE0" w14:textId="77777777" w:rsidR="009E50B5" w:rsidRPr="009E50B5" w:rsidRDefault="009E50B5" w:rsidP="00454EE7">
            <w:pPr>
              <w:spacing w:line="18" w:lineRule="atLeast"/>
              <w:jc w:val="right"/>
              <w:rPr>
                <w:rFonts w:ascii="Cambria" w:hAnsi="Cambria" w:cs="Arial"/>
                <w:color w:val="000000"/>
                <w:sz w:val="15"/>
                <w:szCs w:val="15"/>
              </w:rPr>
            </w:pPr>
            <w:r>
              <w:rPr>
                <w:rFonts w:ascii="Cambria" w:hAnsi="Cambria"/>
                <w:color w:val="000000"/>
                <w:sz w:val="15"/>
              </w:rPr>
              <w:t>402 319</w:t>
            </w:r>
          </w:p>
        </w:tc>
        <w:tc>
          <w:tcPr>
            <w:tcW w:w="656" w:type="pct"/>
            <w:tcBorders>
              <w:top w:val="nil"/>
              <w:left w:val="nil"/>
              <w:bottom w:val="nil"/>
              <w:right w:val="nil"/>
            </w:tcBorders>
            <w:shd w:val="clear" w:color="000000" w:fill="FFFFFF"/>
            <w:noWrap/>
            <w:vAlign w:val="bottom"/>
            <w:hideMark/>
          </w:tcPr>
          <w:p w14:paraId="6A699A51" w14:textId="77777777" w:rsidR="009E50B5" w:rsidRPr="009E50B5" w:rsidRDefault="009E50B5" w:rsidP="00454EE7">
            <w:pPr>
              <w:spacing w:line="18" w:lineRule="atLeast"/>
              <w:jc w:val="right"/>
              <w:rPr>
                <w:rFonts w:ascii="Cambria" w:hAnsi="Cambria" w:cs="Arial"/>
                <w:color w:val="000000"/>
                <w:sz w:val="15"/>
                <w:szCs w:val="15"/>
              </w:rPr>
            </w:pPr>
            <w:r>
              <w:rPr>
                <w:rFonts w:ascii="Cambria" w:hAnsi="Cambria"/>
                <w:color w:val="000000"/>
                <w:sz w:val="15"/>
              </w:rPr>
              <w:t>2 461 030</w:t>
            </w:r>
          </w:p>
        </w:tc>
      </w:tr>
      <w:tr w:rsidR="009E50B5" w:rsidRPr="009E50B5" w14:paraId="15212160" w14:textId="77777777" w:rsidTr="009E50B5">
        <w:trPr>
          <w:trHeight w:val="255"/>
        </w:trPr>
        <w:tc>
          <w:tcPr>
            <w:tcW w:w="1712" w:type="pct"/>
            <w:tcBorders>
              <w:top w:val="nil"/>
              <w:left w:val="nil"/>
              <w:bottom w:val="nil"/>
              <w:right w:val="nil"/>
            </w:tcBorders>
            <w:shd w:val="clear" w:color="000000" w:fill="FFFFFF"/>
            <w:noWrap/>
            <w:vAlign w:val="bottom"/>
            <w:hideMark/>
          </w:tcPr>
          <w:p w14:paraId="1476FCCE" w14:textId="77777777" w:rsidR="009E50B5" w:rsidRPr="009E50B5" w:rsidRDefault="009E50B5" w:rsidP="00454EE7">
            <w:pPr>
              <w:spacing w:line="18" w:lineRule="atLeast"/>
              <w:rPr>
                <w:rFonts w:ascii="Cambria" w:hAnsi="Cambria" w:cs="Arial"/>
                <w:color w:val="000000"/>
                <w:sz w:val="15"/>
                <w:szCs w:val="15"/>
              </w:rPr>
            </w:pPr>
            <w:r>
              <w:rPr>
                <w:rFonts w:ascii="Cambria" w:hAnsi="Cambria"/>
                <w:color w:val="000000"/>
                <w:sz w:val="15"/>
              </w:rPr>
              <w:t>Dettes de location - partie à long terme</w:t>
            </w:r>
          </w:p>
        </w:tc>
        <w:tc>
          <w:tcPr>
            <w:tcW w:w="656" w:type="pct"/>
            <w:tcBorders>
              <w:top w:val="nil"/>
              <w:left w:val="nil"/>
              <w:bottom w:val="nil"/>
              <w:right w:val="nil"/>
            </w:tcBorders>
            <w:shd w:val="clear" w:color="auto" w:fill="auto"/>
            <w:noWrap/>
            <w:vAlign w:val="bottom"/>
            <w:hideMark/>
          </w:tcPr>
          <w:p w14:paraId="33CD347E" w14:textId="77777777" w:rsidR="009E50B5" w:rsidRPr="009E50B5" w:rsidRDefault="009E50B5" w:rsidP="00454EE7">
            <w:pPr>
              <w:spacing w:line="18" w:lineRule="atLeast"/>
              <w:jc w:val="right"/>
              <w:rPr>
                <w:rFonts w:ascii="Cambria" w:hAnsi="Cambria" w:cs="Arial"/>
                <w:color w:val="000000"/>
                <w:sz w:val="15"/>
                <w:szCs w:val="15"/>
              </w:rPr>
            </w:pPr>
            <w:r>
              <w:rPr>
                <w:rFonts w:ascii="Cambria" w:hAnsi="Cambria"/>
                <w:color w:val="000000"/>
                <w:sz w:val="15"/>
              </w:rPr>
              <w:t>6 584 043</w:t>
            </w:r>
          </w:p>
        </w:tc>
        <w:tc>
          <w:tcPr>
            <w:tcW w:w="658" w:type="pct"/>
            <w:tcBorders>
              <w:top w:val="nil"/>
              <w:left w:val="nil"/>
              <w:bottom w:val="nil"/>
              <w:right w:val="nil"/>
            </w:tcBorders>
            <w:shd w:val="clear" w:color="auto" w:fill="auto"/>
            <w:noWrap/>
            <w:vAlign w:val="bottom"/>
            <w:hideMark/>
          </w:tcPr>
          <w:p w14:paraId="62638E74" w14:textId="77777777" w:rsidR="009E50B5" w:rsidRPr="009E50B5" w:rsidRDefault="009E50B5" w:rsidP="00454EE7">
            <w:pPr>
              <w:spacing w:line="18" w:lineRule="atLeast"/>
              <w:rPr>
                <w:rFonts w:ascii="Cambria" w:hAnsi="Cambria" w:cs="Arial"/>
                <w:color w:val="000000"/>
                <w:sz w:val="15"/>
                <w:szCs w:val="15"/>
              </w:rPr>
            </w:pPr>
            <w:r>
              <w:rPr>
                <w:rFonts w:ascii="Cambria" w:hAnsi="Cambria"/>
                <w:color w:val="000000"/>
                <w:sz w:val="15"/>
              </w:rPr>
              <w:t xml:space="preserve">                               - </w:t>
            </w:r>
          </w:p>
        </w:tc>
        <w:tc>
          <w:tcPr>
            <w:tcW w:w="658" w:type="pct"/>
            <w:tcBorders>
              <w:top w:val="nil"/>
              <w:left w:val="nil"/>
              <w:bottom w:val="nil"/>
              <w:right w:val="nil"/>
            </w:tcBorders>
            <w:shd w:val="clear" w:color="000000" w:fill="FFFFFF"/>
            <w:noWrap/>
            <w:vAlign w:val="bottom"/>
            <w:hideMark/>
          </w:tcPr>
          <w:p w14:paraId="205CD953" w14:textId="77777777" w:rsidR="009E50B5" w:rsidRPr="009E50B5" w:rsidRDefault="009E50B5" w:rsidP="00454EE7">
            <w:pPr>
              <w:spacing w:line="18" w:lineRule="atLeast"/>
              <w:jc w:val="right"/>
              <w:rPr>
                <w:rFonts w:ascii="Cambria" w:hAnsi="Cambria" w:cs="Arial"/>
                <w:color w:val="000000"/>
                <w:sz w:val="15"/>
                <w:szCs w:val="15"/>
              </w:rPr>
            </w:pPr>
            <w:r>
              <w:rPr>
                <w:rFonts w:ascii="Cambria" w:hAnsi="Cambria"/>
                <w:color w:val="000000"/>
                <w:sz w:val="15"/>
              </w:rPr>
              <w:t>191 424</w:t>
            </w:r>
          </w:p>
        </w:tc>
        <w:tc>
          <w:tcPr>
            <w:tcW w:w="659" w:type="pct"/>
            <w:tcBorders>
              <w:top w:val="nil"/>
              <w:left w:val="nil"/>
              <w:bottom w:val="nil"/>
              <w:right w:val="nil"/>
            </w:tcBorders>
            <w:shd w:val="clear" w:color="000000" w:fill="FFFFFF"/>
            <w:noWrap/>
            <w:vAlign w:val="bottom"/>
            <w:hideMark/>
          </w:tcPr>
          <w:p w14:paraId="250A0F2F" w14:textId="77777777" w:rsidR="009E50B5" w:rsidRPr="009E50B5" w:rsidRDefault="009E50B5" w:rsidP="00454EE7">
            <w:pPr>
              <w:spacing w:line="18" w:lineRule="atLeast"/>
              <w:jc w:val="right"/>
              <w:rPr>
                <w:rFonts w:ascii="Cambria" w:hAnsi="Cambria" w:cs="Arial"/>
                <w:color w:val="000000"/>
                <w:sz w:val="15"/>
                <w:szCs w:val="15"/>
              </w:rPr>
            </w:pPr>
            <w:r>
              <w:rPr>
                <w:rFonts w:ascii="Cambria" w:hAnsi="Cambria"/>
                <w:color w:val="000000"/>
                <w:sz w:val="15"/>
              </w:rPr>
              <w:t>(2 198 844)</w:t>
            </w:r>
          </w:p>
        </w:tc>
        <w:tc>
          <w:tcPr>
            <w:tcW w:w="656" w:type="pct"/>
            <w:tcBorders>
              <w:top w:val="nil"/>
              <w:left w:val="nil"/>
              <w:bottom w:val="nil"/>
              <w:right w:val="nil"/>
            </w:tcBorders>
            <w:shd w:val="clear" w:color="000000" w:fill="FFFFFF"/>
            <w:noWrap/>
            <w:vAlign w:val="bottom"/>
            <w:hideMark/>
          </w:tcPr>
          <w:p w14:paraId="0DF5433D" w14:textId="77777777" w:rsidR="009E50B5" w:rsidRPr="009E50B5" w:rsidRDefault="009E50B5" w:rsidP="00454EE7">
            <w:pPr>
              <w:spacing w:line="18" w:lineRule="atLeast"/>
              <w:jc w:val="right"/>
              <w:rPr>
                <w:rFonts w:ascii="Cambria" w:hAnsi="Cambria" w:cs="Arial"/>
                <w:color w:val="000000"/>
                <w:sz w:val="15"/>
                <w:szCs w:val="15"/>
              </w:rPr>
            </w:pPr>
            <w:r>
              <w:rPr>
                <w:rFonts w:ascii="Cambria" w:hAnsi="Cambria"/>
                <w:color w:val="000000"/>
                <w:sz w:val="15"/>
              </w:rPr>
              <w:t>4 576 623</w:t>
            </w:r>
          </w:p>
        </w:tc>
      </w:tr>
      <w:tr w:rsidR="009E50B5" w:rsidRPr="009E50B5" w14:paraId="3643922B" w14:textId="77777777" w:rsidTr="009E50B5">
        <w:trPr>
          <w:trHeight w:val="255"/>
        </w:trPr>
        <w:tc>
          <w:tcPr>
            <w:tcW w:w="1712" w:type="pct"/>
            <w:tcBorders>
              <w:top w:val="nil"/>
              <w:left w:val="nil"/>
              <w:bottom w:val="nil"/>
              <w:right w:val="nil"/>
            </w:tcBorders>
            <w:shd w:val="clear" w:color="000000" w:fill="FFFFFF"/>
            <w:noWrap/>
            <w:vAlign w:val="bottom"/>
            <w:hideMark/>
          </w:tcPr>
          <w:p w14:paraId="330A2BC7" w14:textId="77777777" w:rsidR="009E50B5" w:rsidRPr="009E50B5" w:rsidRDefault="009E50B5" w:rsidP="00454EE7">
            <w:pPr>
              <w:spacing w:line="18" w:lineRule="atLeast"/>
              <w:rPr>
                <w:rFonts w:ascii="Cambria" w:hAnsi="Cambria" w:cs="Arial"/>
                <w:color w:val="000000"/>
                <w:sz w:val="15"/>
                <w:szCs w:val="15"/>
              </w:rPr>
            </w:pPr>
            <w:r>
              <w:rPr>
                <w:rFonts w:ascii="Cambria" w:hAnsi="Cambria"/>
                <w:color w:val="000000"/>
                <w:sz w:val="15"/>
              </w:rPr>
              <w:t>Dettes de location - partie à court terme</w:t>
            </w:r>
          </w:p>
        </w:tc>
        <w:tc>
          <w:tcPr>
            <w:tcW w:w="656" w:type="pct"/>
            <w:tcBorders>
              <w:top w:val="nil"/>
              <w:left w:val="nil"/>
              <w:bottom w:val="nil"/>
              <w:right w:val="nil"/>
            </w:tcBorders>
            <w:shd w:val="clear" w:color="auto" w:fill="auto"/>
            <w:noWrap/>
            <w:vAlign w:val="bottom"/>
            <w:hideMark/>
          </w:tcPr>
          <w:p w14:paraId="283E4B35" w14:textId="77777777" w:rsidR="009E50B5" w:rsidRPr="009E50B5" w:rsidRDefault="009E50B5" w:rsidP="00454EE7">
            <w:pPr>
              <w:spacing w:line="18" w:lineRule="atLeast"/>
              <w:jc w:val="right"/>
              <w:rPr>
                <w:rFonts w:ascii="Cambria" w:hAnsi="Cambria" w:cs="Arial"/>
                <w:color w:val="000000"/>
                <w:sz w:val="15"/>
                <w:szCs w:val="15"/>
              </w:rPr>
            </w:pPr>
            <w:r>
              <w:rPr>
                <w:rFonts w:ascii="Cambria" w:hAnsi="Cambria"/>
                <w:color w:val="000000"/>
                <w:sz w:val="15"/>
              </w:rPr>
              <w:t>1 483 823</w:t>
            </w:r>
          </w:p>
        </w:tc>
        <w:tc>
          <w:tcPr>
            <w:tcW w:w="658" w:type="pct"/>
            <w:tcBorders>
              <w:top w:val="nil"/>
              <w:left w:val="nil"/>
              <w:bottom w:val="nil"/>
              <w:right w:val="nil"/>
            </w:tcBorders>
            <w:shd w:val="clear" w:color="000000" w:fill="FFFFFF"/>
            <w:noWrap/>
            <w:vAlign w:val="bottom"/>
            <w:hideMark/>
          </w:tcPr>
          <w:p w14:paraId="78D808E4" w14:textId="77777777" w:rsidR="009E50B5" w:rsidRPr="009E50B5" w:rsidRDefault="009E50B5" w:rsidP="00454EE7">
            <w:pPr>
              <w:spacing w:line="18" w:lineRule="atLeast"/>
              <w:jc w:val="right"/>
              <w:rPr>
                <w:rFonts w:ascii="Cambria" w:hAnsi="Cambria" w:cs="Arial"/>
                <w:color w:val="000000"/>
                <w:sz w:val="15"/>
                <w:szCs w:val="15"/>
              </w:rPr>
            </w:pPr>
            <w:r>
              <w:rPr>
                <w:rFonts w:ascii="Cambria" w:hAnsi="Cambria"/>
                <w:color w:val="000000"/>
                <w:sz w:val="15"/>
              </w:rPr>
              <w:t>(737 512)</w:t>
            </w:r>
          </w:p>
        </w:tc>
        <w:tc>
          <w:tcPr>
            <w:tcW w:w="658" w:type="pct"/>
            <w:tcBorders>
              <w:top w:val="nil"/>
              <w:left w:val="nil"/>
              <w:bottom w:val="nil"/>
              <w:right w:val="nil"/>
            </w:tcBorders>
            <w:shd w:val="clear" w:color="auto" w:fill="auto"/>
            <w:noWrap/>
            <w:vAlign w:val="bottom"/>
            <w:hideMark/>
          </w:tcPr>
          <w:p w14:paraId="12DA0E77" w14:textId="77777777" w:rsidR="009E50B5" w:rsidRPr="009E50B5" w:rsidRDefault="009E50B5" w:rsidP="00454EE7">
            <w:pPr>
              <w:spacing w:line="18" w:lineRule="atLeast"/>
              <w:rPr>
                <w:rFonts w:ascii="Cambria" w:hAnsi="Cambria" w:cs="Arial"/>
                <w:color w:val="000000"/>
                <w:sz w:val="15"/>
                <w:szCs w:val="15"/>
              </w:rPr>
            </w:pPr>
            <w:r>
              <w:rPr>
                <w:rFonts w:ascii="Cambria" w:hAnsi="Cambria"/>
                <w:color w:val="000000"/>
                <w:sz w:val="15"/>
              </w:rPr>
              <w:t xml:space="preserve">                               - </w:t>
            </w:r>
          </w:p>
        </w:tc>
        <w:tc>
          <w:tcPr>
            <w:tcW w:w="659" w:type="pct"/>
            <w:tcBorders>
              <w:top w:val="nil"/>
              <w:left w:val="nil"/>
              <w:bottom w:val="nil"/>
              <w:right w:val="nil"/>
            </w:tcBorders>
            <w:shd w:val="clear" w:color="auto" w:fill="auto"/>
            <w:noWrap/>
            <w:vAlign w:val="bottom"/>
            <w:hideMark/>
          </w:tcPr>
          <w:p w14:paraId="5269939E" w14:textId="77777777" w:rsidR="009E50B5" w:rsidRPr="009E50B5" w:rsidRDefault="009E50B5" w:rsidP="00454EE7">
            <w:pPr>
              <w:spacing w:line="18" w:lineRule="atLeast"/>
              <w:rPr>
                <w:rFonts w:ascii="Cambria" w:hAnsi="Cambria" w:cs="Arial"/>
                <w:color w:val="000000"/>
                <w:sz w:val="15"/>
                <w:szCs w:val="15"/>
              </w:rPr>
            </w:pPr>
            <w:r>
              <w:rPr>
                <w:rFonts w:ascii="Cambria" w:hAnsi="Cambria"/>
                <w:color w:val="000000"/>
                <w:sz w:val="15"/>
              </w:rPr>
              <w:t xml:space="preserve">               2 111 654 </w:t>
            </w:r>
          </w:p>
        </w:tc>
        <w:tc>
          <w:tcPr>
            <w:tcW w:w="656" w:type="pct"/>
            <w:tcBorders>
              <w:top w:val="nil"/>
              <w:left w:val="nil"/>
              <w:bottom w:val="nil"/>
              <w:right w:val="nil"/>
            </w:tcBorders>
            <w:shd w:val="clear" w:color="000000" w:fill="FFFFFF"/>
            <w:noWrap/>
            <w:vAlign w:val="bottom"/>
            <w:hideMark/>
          </w:tcPr>
          <w:p w14:paraId="3750EA91" w14:textId="77777777" w:rsidR="009E50B5" w:rsidRPr="009E50B5" w:rsidRDefault="009E50B5" w:rsidP="00454EE7">
            <w:pPr>
              <w:spacing w:line="18" w:lineRule="atLeast"/>
              <w:jc w:val="right"/>
              <w:rPr>
                <w:rFonts w:ascii="Cambria" w:hAnsi="Cambria" w:cs="Arial"/>
                <w:color w:val="000000"/>
                <w:sz w:val="15"/>
                <w:szCs w:val="15"/>
              </w:rPr>
            </w:pPr>
            <w:r>
              <w:rPr>
                <w:rFonts w:ascii="Cambria" w:hAnsi="Cambria"/>
                <w:color w:val="000000"/>
                <w:sz w:val="15"/>
              </w:rPr>
              <w:t>2 857 966</w:t>
            </w:r>
          </w:p>
        </w:tc>
      </w:tr>
      <w:tr w:rsidR="009E50B5" w:rsidRPr="009E50B5" w14:paraId="0D6114B3" w14:textId="77777777" w:rsidTr="009E50B5">
        <w:trPr>
          <w:trHeight w:val="255"/>
        </w:trPr>
        <w:tc>
          <w:tcPr>
            <w:tcW w:w="1712" w:type="pct"/>
            <w:tcBorders>
              <w:top w:val="nil"/>
              <w:left w:val="nil"/>
              <w:bottom w:val="nil"/>
              <w:right w:val="nil"/>
            </w:tcBorders>
            <w:shd w:val="clear" w:color="000000" w:fill="FFFFFF"/>
            <w:noWrap/>
            <w:vAlign w:val="bottom"/>
            <w:hideMark/>
          </w:tcPr>
          <w:p w14:paraId="594B5F20" w14:textId="77777777" w:rsidR="009E50B5" w:rsidRPr="009E50B5" w:rsidRDefault="009E50B5" w:rsidP="00454EE7">
            <w:pPr>
              <w:spacing w:line="18" w:lineRule="atLeast"/>
              <w:rPr>
                <w:rFonts w:ascii="Cambria" w:hAnsi="Cambria" w:cs="Arial"/>
                <w:b/>
                <w:bCs/>
                <w:color w:val="000000"/>
                <w:sz w:val="15"/>
                <w:szCs w:val="15"/>
              </w:rPr>
            </w:pPr>
            <w:r>
              <w:rPr>
                <w:rFonts w:ascii="Cambria" w:hAnsi="Cambria"/>
                <w:b/>
                <w:color w:val="000000"/>
                <w:sz w:val="15"/>
              </w:rPr>
              <w:t xml:space="preserve">Total </w:t>
            </w:r>
          </w:p>
        </w:tc>
        <w:tc>
          <w:tcPr>
            <w:tcW w:w="656" w:type="pct"/>
            <w:tcBorders>
              <w:top w:val="single" w:sz="4" w:space="0" w:color="auto"/>
              <w:left w:val="nil"/>
              <w:bottom w:val="single" w:sz="8" w:space="0" w:color="auto"/>
              <w:right w:val="nil"/>
            </w:tcBorders>
            <w:shd w:val="clear" w:color="000000" w:fill="FFFFFF"/>
            <w:noWrap/>
            <w:vAlign w:val="bottom"/>
            <w:hideMark/>
          </w:tcPr>
          <w:p w14:paraId="3B8D30DB" w14:textId="77777777" w:rsidR="009E50B5" w:rsidRPr="009E50B5" w:rsidRDefault="009E50B5" w:rsidP="00454EE7">
            <w:pPr>
              <w:spacing w:line="18" w:lineRule="atLeast"/>
              <w:jc w:val="right"/>
              <w:rPr>
                <w:rFonts w:ascii="Cambria" w:hAnsi="Cambria" w:cs="Arial"/>
                <w:b/>
                <w:bCs/>
                <w:color w:val="000000"/>
                <w:sz w:val="15"/>
                <w:szCs w:val="15"/>
              </w:rPr>
            </w:pPr>
            <w:r>
              <w:rPr>
                <w:rFonts w:ascii="Cambria" w:hAnsi="Cambria"/>
                <w:b/>
                <w:color w:val="000000"/>
                <w:sz w:val="15"/>
              </w:rPr>
              <w:t>13 660 785</w:t>
            </w:r>
          </w:p>
        </w:tc>
        <w:tc>
          <w:tcPr>
            <w:tcW w:w="658" w:type="pct"/>
            <w:tcBorders>
              <w:top w:val="single" w:sz="4" w:space="0" w:color="auto"/>
              <w:left w:val="nil"/>
              <w:bottom w:val="single" w:sz="8" w:space="0" w:color="auto"/>
              <w:right w:val="nil"/>
            </w:tcBorders>
            <w:shd w:val="clear" w:color="000000" w:fill="FFFFFF"/>
            <w:noWrap/>
            <w:vAlign w:val="bottom"/>
            <w:hideMark/>
          </w:tcPr>
          <w:p w14:paraId="3298206B" w14:textId="77777777" w:rsidR="009E50B5" w:rsidRPr="009E50B5" w:rsidRDefault="009E50B5" w:rsidP="00454EE7">
            <w:pPr>
              <w:spacing w:line="18" w:lineRule="atLeast"/>
              <w:jc w:val="right"/>
              <w:rPr>
                <w:rFonts w:ascii="Cambria" w:hAnsi="Cambria" w:cs="Arial"/>
                <w:b/>
                <w:bCs/>
                <w:color w:val="000000"/>
                <w:sz w:val="15"/>
                <w:szCs w:val="15"/>
              </w:rPr>
            </w:pPr>
            <w:r>
              <w:rPr>
                <w:rFonts w:ascii="Cambria" w:hAnsi="Cambria"/>
                <w:b/>
                <w:color w:val="000000"/>
                <w:sz w:val="15"/>
              </w:rPr>
              <w:t>328 310</w:t>
            </w:r>
          </w:p>
        </w:tc>
        <w:tc>
          <w:tcPr>
            <w:tcW w:w="658" w:type="pct"/>
            <w:tcBorders>
              <w:top w:val="single" w:sz="4" w:space="0" w:color="auto"/>
              <w:left w:val="nil"/>
              <w:bottom w:val="single" w:sz="8" w:space="0" w:color="auto"/>
              <w:right w:val="nil"/>
            </w:tcBorders>
            <w:shd w:val="clear" w:color="000000" w:fill="FFFFFF"/>
            <w:noWrap/>
            <w:vAlign w:val="bottom"/>
            <w:hideMark/>
          </w:tcPr>
          <w:p w14:paraId="11208111" w14:textId="77777777" w:rsidR="009E50B5" w:rsidRPr="009E50B5" w:rsidRDefault="009E50B5" w:rsidP="00454EE7">
            <w:pPr>
              <w:spacing w:line="18" w:lineRule="atLeast"/>
              <w:jc w:val="right"/>
              <w:rPr>
                <w:rFonts w:ascii="Cambria" w:hAnsi="Cambria" w:cs="Arial"/>
                <w:b/>
                <w:bCs/>
                <w:color w:val="000000"/>
                <w:sz w:val="15"/>
                <w:szCs w:val="15"/>
              </w:rPr>
            </w:pPr>
            <w:r>
              <w:rPr>
                <w:rFonts w:ascii="Cambria" w:hAnsi="Cambria"/>
                <w:b/>
                <w:color w:val="000000"/>
                <w:sz w:val="15"/>
              </w:rPr>
              <w:t>191 424</w:t>
            </w:r>
          </w:p>
        </w:tc>
        <w:tc>
          <w:tcPr>
            <w:tcW w:w="659" w:type="pct"/>
            <w:tcBorders>
              <w:top w:val="single" w:sz="4" w:space="0" w:color="auto"/>
              <w:left w:val="nil"/>
              <w:bottom w:val="single" w:sz="8" w:space="0" w:color="auto"/>
              <w:right w:val="nil"/>
            </w:tcBorders>
            <w:shd w:val="clear" w:color="000000" w:fill="FFFFFF"/>
            <w:noWrap/>
            <w:vAlign w:val="bottom"/>
            <w:hideMark/>
          </w:tcPr>
          <w:p w14:paraId="270414A3" w14:textId="77777777" w:rsidR="009E50B5" w:rsidRPr="009E50B5" w:rsidRDefault="009E50B5" w:rsidP="00454EE7">
            <w:pPr>
              <w:spacing w:line="18" w:lineRule="atLeast"/>
              <w:jc w:val="right"/>
              <w:rPr>
                <w:rFonts w:ascii="Cambria" w:hAnsi="Cambria" w:cs="Arial"/>
                <w:b/>
                <w:bCs/>
                <w:color w:val="000000"/>
                <w:sz w:val="15"/>
                <w:szCs w:val="15"/>
              </w:rPr>
            </w:pPr>
            <w:r>
              <w:rPr>
                <w:rFonts w:ascii="Cambria" w:hAnsi="Cambria"/>
                <w:b/>
                <w:color w:val="000000"/>
                <w:sz w:val="15"/>
              </w:rPr>
              <w:t>(87 190)</w:t>
            </w:r>
          </w:p>
        </w:tc>
        <w:tc>
          <w:tcPr>
            <w:tcW w:w="656" w:type="pct"/>
            <w:tcBorders>
              <w:top w:val="single" w:sz="4" w:space="0" w:color="auto"/>
              <w:left w:val="nil"/>
              <w:bottom w:val="single" w:sz="8" w:space="0" w:color="auto"/>
              <w:right w:val="nil"/>
            </w:tcBorders>
            <w:shd w:val="clear" w:color="000000" w:fill="FFFFFF"/>
            <w:noWrap/>
            <w:vAlign w:val="bottom"/>
            <w:hideMark/>
          </w:tcPr>
          <w:p w14:paraId="6298722D" w14:textId="77777777" w:rsidR="009E50B5" w:rsidRPr="009E50B5" w:rsidRDefault="009E50B5" w:rsidP="00454EE7">
            <w:pPr>
              <w:spacing w:line="18" w:lineRule="atLeast"/>
              <w:jc w:val="right"/>
              <w:rPr>
                <w:rFonts w:ascii="Cambria" w:hAnsi="Cambria" w:cs="Arial"/>
                <w:b/>
                <w:bCs/>
                <w:color w:val="000000"/>
                <w:sz w:val="15"/>
                <w:szCs w:val="15"/>
              </w:rPr>
            </w:pPr>
            <w:r>
              <w:rPr>
                <w:rFonts w:ascii="Cambria" w:hAnsi="Cambria"/>
                <w:b/>
                <w:color w:val="000000"/>
                <w:sz w:val="15"/>
              </w:rPr>
              <w:t>14 093 329</w:t>
            </w:r>
          </w:p>
        </w:tc>
      </w:tr>
    </w:tbl>
    <w:p w14:paraId="74E3CF1E" w14:textId="46D464BF" w:rsidR="001B2036" w:rsidRDefault="001B2036" w:rsidP="00454EE7">
      <w:pPr>
        <w:spacing w:after="200" w:line="18" w:lineRule="atLeast"/>
        <w:jc w:val="both"/>
        <w:rPr>
          <w:rFonts w:ascii="Cambria" w:hAnsi="Cambria"/>
          <w:sz w:val="22"/>
          <w:szCs w:val="22"/>
        </w:rPr>
      </w:pPr>
      <w:r>
        <w:rPr>
          <w:rFonts w:ascii="Cambria" w:hAnsi="Cambria"/>
          <w:sz w:val="22"/>
        </w:rPr>
        <w:t xml:space="preserve">La colonne « Autres » comprend les effets de la reclassification des prêts de « à long terme » à « à court terme », y compris les obligations de leasing, liés au passage du temps, ainsi que l'effet des renégociations et des résiliations des contrats de leasing opérationnel. </w:t>
      </w:r>
    </w:p>
    <w:p w14:paraId="628D9A59" w14:textId="77777777" w:rsidR="005D29E4" w:rsidRPr="00C7223A" w:rsidRDefault="005D29E4" w:rsidP="005D29E4">
      <w:pPr>
        <w:pStyle w:val="Titolo2"/>
        <w:numPr>
          <w:ilvl w:val="0"/>
          <w:numId w:val="6"/>
        </w:numPr>
        <w:spacing w:line="240" w:lineRule="auto"/>
        <w:ind w:left="357" w:right="0" w:hanging="357"/>
        <w:jc w:val="left"/>
        <w:rPr>
          <w:i w:val="0"/>
        </w:rPr>
      </w:pPr>
      <w:bookmarkStart w:id="214" w:name="_Toc112768722"/>
      <w:r>
        <w:rPr>
          <w:i w:val="0"/>
        </w:rPr>
        <w:t xml:space="preserve">Événements significatifs </w:t>
      </w:r>
      <w:bookmarkStart w:id="215" w:name="_Hlk82676893"/>
      <w:r>
        <w:rPr>
          <w:i w:val="0"/>
        </w:rPr>
        <w:t>survenus après la fin de la période</w:t>
      </w:r>
      <w:bookmarkEnd w:id="214"/>
      <w:bookmarkEnd w:id="215"/>
    </w:p>
    <w:p w14:paraId="6D672A43" w14:textId="77777777" w:rsidR="008F33CF" w:rsidRPr="00C17031" w:rsidRDefault="008F33CF" w:rsidP="008F33CF">
      <w:pPr>
        <w:rPr>
          <w:rFonts w:ascii="Cambria" w:hAnsi="Cambria"/>
          <w:highlight w:val="yellow"/>
        </w:rPr>
      </w:pPr>
    </w:p>
    <w:p w14:paraId="3E122292" w14:textId="6629C039" w:rsidR="009654BA" w:rsidRPr="00082C98" w:rsidRDefault="00EA173D" w:rsidP="00C7223A">
      <w:pPr>
        <w:spacing w:line="276" w:lineRule="auto"/>
        <w:jc w:val="both"/>
        <w:rPr>
          <w:rFonts w:ascii="Cambria" w:hAnsi="Cambria"/>
          <w:sz w:val="22"/>
          <w:szCs w:val="22"/>
        </w:rPr>
      </w:pPr>
      <w:r>
        <w:rPr>
          <w:rFonts w:ascii="Cambria" w:hAnsi="Cambria"/>
          <w:sz w:val="22"/>
        </w:rPr>
        <w:t xml:space="preserve">Le gouvernement italien a donné une impulsion considérable au plan de vaccination et a poursuivi la mise en œuvre d'une série de fermetures partielles, différentes selon les Régions, et plus ciblées selon </w:t>
      </w:r>
      <w:r>
        <w:rPr>
          <w:rFonts w:ascii="Cambria" w:hAnsi="Cambria"/>
          <w:sz w:val="22"/>
        </w:rPr>
        <w:lastRenderedPageBreak/>
        <w:t xml:space="preserve">les zones géographiques. Ces deux actions ont largement contribué à réduire la propagation du Covid-19, même si ces derniers temps, de nouvelles variantes du virus augmentent à nouveau le nombre de cas de contagion. </w:t>
      </w:r>
    </w:p>
    <w:p w14:paraId="5B2A2790" w14:textId="2DC4CA58" w:rsidR="00365DB4" w:rsidRPr="00082C98" w:rsidRDefault="00365DB4" w:rsidP="00C7223A">
      <w:pPr>
        <w:spacing w:line="276" w:lineRule="auto"/>
        <w:jc w:val="both"/>
        <w:rPr>
          <w:rFonts w:ascii="Cambria" w:hAnsi="Cambria"/>
          <w:sz w:val="22"/>
          <w:szCs w:val="22"/>
        </w:rPr>
      </w:pPr>
      <w:r>
        <w:rPr>
          <w:rFonts w:ascii="Cambria" w:hAnsi="Cambria"/>
          <w:sz w:val="22"/>
        </w:rPr>
        <w:t>Il est donc indéniable que la situation générale reste très complexe, continuant à entraver le retour à la normale qui favoriserait certainement une croissance significative des ventes dans nos points de vente.</w:t>
      </w:r>
    </w:p>
    <w:p w14:paraId="29CD35B1" w14:textId="1EF721B9" w:rsidR="00253054" w:rsidRPr="00082C98" w:rsidRDefault="00AA7879" w:rsidP="00C7223A">
      <w:pPr>
        <w:spacing w:line="276" w:lineRule="auto"/>
        <w:jc w:val="both"/>
        <w:rPr>
          <w:rFonts w:ascii="Cambria" w:hAnsi="Cambria"/>
          <w:sz w:val="22"/>
          <w:szCs w:val="22"/>
        </w:rPr>
      </w:pPr>
      <w:r>
        <w:rPr>
          <w:rFonts w:ascii="Cambria" w:hAnsi="Cambria"/>
          <w:sz w:val="22"/>
        </w:rPr>
        <w:t xml:space="preserve">Compte tenu de cette condition générale du marché, les organes administratifs ont continué à prendre des mesures pour réduire les coûts de l'entreprise afin d'assurer, en tout état de cause, l'équilibre économique et financier du Groupe. </w:t>
      </w:r>
    </w:p>
    <w:p w14:paraId="409189C3" w14:textId="299D880F" w:rsidR="005C756C" w:rsidRPr="00C17031" w:rsidRDefault="00082C98" w:rsidP="00C7223A">
      <w:pPr>
        <w:spacing w:line="276" w:lineRule="auto"/>
        <w:jc w:val="both"/>
        <w:rPr>
          <w:rFonts w:ascii="Cambria" w:hAnsi="Cambria"/>
          <w:sz w:val="22"/>
          <w:szCs w:val="22"/>
        </w:rPr>
      </w:pPr>
      <w:r>
        <w:rPr>
          <w:rFonts w:ascii="Cambria" w:hAnsi="Cambria"/>
          <w:sz w:val="22"/>
        </w:rPr>
        <w:t>La mise en œuvre massive et significative du plan de vaccination de l'ensemble de la population incite à un optimisme prudent, dans la conviction que ce n'est que de cette manière que l'on pourra rapidement revenir à une situation sociale et économique tout à fait normale.</w:t>
      </w:r>
    </w:p>
    <w:p w14:paraId="2A5EDC1A" w14:textId="77777777" w:rsidR="00877C9B" w:rsidRPr="00C17031" w:rsidRDefault="00877C9B" w:rsidP="00C7223A">
      <w:pPr>
        <w:spacing w:line="276" w:lineRule="auto"/>
        <w:jc w:val="both"/>
        <w:rPr>
          <w:rFonts w:ascii="Cambria" w:hAnsi="Cambria"/>
          <w:sz w:val="22"/>
          <w:szCs w:val="22"/>
        </w:rPr>
      </w:pPr>
    </w:p>
    <w:p w14:paraId="142E9841" w14:textId="77777777" w:rsidR="00C568C1" w:rsidRDefault="00C568C1" w:rsidP="00C568C1">
      <w:pPr>
        <w:pStyle w:val="Titolo2"/>
        <w:numPr>
          <w:ilvl w:val="0"/>
          <w:numId w:val="6"/>
        </w:numPr>
        <w:spacing w:line="240" w:lineRule="auto"/>
        <w:ind w:left="357" w:right="0" w:hanging="357"/>
        <w:jc w:val="left"/>
        <w:rPr>
          <w:i w:val="0"/>
        </w:rPr>
      </w:pPr>
      <w:bookmarkStart w:id="216" w:name="_Toc112768723"/>
      <w:r>
        <w:rPr>
          <w:i w:val="0"/>
        </w:rPr>
        <w:t>Transactions avec des parties liées</w:t>
      </w:r>
      <w:bookmarkEnd w:id="216"/>
    </w:p>
    <w:p w14:paraId="5A93C20A" w14:textId="77777777" w:rsidR="00C568C1" w:rsidRPr="00C17031" w:rsidRDefault="00C568C1" w:rsidP="00C568C1">
      <w:pPr>
        <w:spacing w:line="276" w:lineRule="auto"/>
        <w:jc w:val="both"/>
        <w:rPr>
          <w:rFonts w:ascii="Cambria" w:hAnsi="Cambria"/>
          <w:sz w:val="22"/>
          <w:szCs w:val="22"/>
        </w:rPr>
      </w:pPr>
    </w:p>
    <w:p w14:paraId="26CD2546" w14:textId="485A9907" w:rsidR="00DB1F35" w:rsidRDefault="00792509" w:rsidP="00253054">
      <w:pPr>
        <w:spacing w:line="276" w:lineRule="auto"/>
        <w:jc w:val="both"/>
        <w:rPr>
          <w:rFonts w:ascii="Cambria" w:hAnsi="Cambria"/>
          <w:sz w:val="22"/>
          <w:szCs w:val="22"/>
        </w:rPr>
      </w:pPr>
      <w:r>
        <w:rPr>
          <w:rFonts w:ascii="Cambria" w:hAnsi="Cambria"/>
          <w:sz w:val="22"/>
        </w:rPr>
        <w:t xml:space="preserve">Au cours de l'exercice, Take Off a vendu à la société liée Horizon Srl un entrepôt industriel situé à Monopoli, via </w:t>
      </w:r>
      <w:proofErr w:type="spellStart"/>
      <w:r>
        <w:rPr>
          <w:rFonts w:ascii="Cambria" w:hAnsi="Cambria"/>
          <w:sz w:val="22"/>
        </w:rPr>
        <w:t>Baione</w:t>
      </w:r>
      <w:proofErr w:type="spellEnd"/>
      <w:r>
        <w:rPr>
          <w:rFonts w:ascii="Cambria" w:hAnsi="Cambria"/>
          <w:sz w:val="22"/>
        </w:rPr>
        <w:t xml:space="preserve"> n° 216, pour une valeur totale de 640 000 euros, et dont la valeur a fait l'objet d'un rapport spécial d'équité émis par un expert indépendant. La vente de l'immeuble a généré une plus-value de 18 000 euros.</w:t>
      </w:r>
    </w:p>
    <w:p w14:paraId="77AE8888" w14:textId="3841AF36" w:rsidR="00C64E5A" w:rsidRDefault="00852F61" w:rsidP="00C64E5A">
      <w:pPr>
        <w:spacing w:line="276" w:lineRule="auto"/>
        <w:jc w:val="both"/>
        <w:rPr>
          <w:rFonts w:ascii="Cambria" w:hAnsi="Cambria"/>
          <w:sz w:val="22"/>
          <w:szCs w:val="22"/>
        </w:rPr>
      </w:pPr>
      <w:r>
        <w:rPr>
          <w:rFonts w:ascii="Cambria" w:hAnsi="Cambria"/>
          <w:sz w:val="22"/>
        </w:rPr>
        <w:t xml:space="preserve">Take Off a signé deux contrats de location avec la société liée Horizon Srl concernant le point de vente d'Ostuni et le centre logistique et les bureaux de via </w:t>
      </w:r>
      <w:proofErr w:type="spellStart"/>
      <w:r>
        <w:rPr>
          <w:rFonts w:ascii="Cambria" w:hAnsi="Cambria"/>
          <w:sz w:val="22"/>
        </w:rPr>
        <w:t>Baione</w:t>
      </w:r>
      <w:proofErr w:type="spellEnd"/>
      <w:r>
        <w:rPr>
          <w:rFonts w:ascii="Cambria" w:hAnsi="Cambria"/>
          <w:sz w:val="22"/>
        </w:rPr>
        <w:t xml:space="preserve"> (Monopoli), dont les loyers ont été déterminés par une évaluation spécifique et réduits en pourcentage, pour tenir compte du contexte actuel du marché. Les contrats de location prévoient également une période initiale sans loyer avec la régularisation associée à partir du 1er janvier 2021.</w:t>
      </w:r>
    </w:p>
    <w:p w14:paraId="1AB8E2BE" w14:textId="77777777" w:rsidR="008B0B05" w:rsidRPr="00C17031" w:rsidRDefault="008B0B05" w:rsidP="00253054">
      <w:pPr>
        <w:spacing w:line="276" w:lineRule="auto"/>
        <w:jc w:val="both"/>
        <w:rPr>
          <w:rFonts w:ascii="Cambria" w:hAnsi="Cambria"/>
          <w:sz w:val="22"/>
          <w:szCs w:val="22"/>
        </w:rPr>
      </w:pPr>
    </w:p>
    <w:p w14:paraId="651BAE61" w14:textId="77777777" w:rsidR="00B06CA8" w:rsidRPr="00C17031" w:rsidRDefault="00B06CA8" w:rsidP="00253054">
      <w:pPr>
        <w:spacing w:line="276" w:lineRule="auto"/>
        <w:jc w:val="both"/>
        <w:rPr>
          <w:rFonts w:ascii="Cambria" w:hAnsi="Cambria"/>
          <w:sz w:val="22"/>
          <w:szCs w:val="22"/>
        </w:rPr>
      </w:pPr>
    </w:p>
    <w:p w14:paraId="2AD4C287" w14:textId="77777777" w:rsidR="001432DD" w:rsidRPr="001432DD" w:rsidRDefault="00E5196E" w:rsidP="007C6746">
      <w:pPr>
        <w:jc w:val="center"/>
      </w:pPr>
      <w:r>
        <w:t>****</w:t>
      </w:r>
    </w:p>
    <w:p w14:paraId="28F3DC69" w14:textId="61740697" w:rsidR="00E16D12" w:rsidRPr="00C17031" w:rsidRDefault="00256B2C" w:rsidP="00E16D12">
      <w:pPr>
        <w:spacing w:after="200" w:line="276" w:lineRule="auto"/>
        <w:jc w:val="both"/>
        <w:rPr>
          <w:rFonts w:ascii="Cambria" w:hAnsi="Cambria"/>
          <w:sz w:val="22"/>
          <w:szCs w:val="22"/>
        </w:rPr>
      </w:pPr>
      <w:r>
        <w:rPr>
          <w:rFonts w:ascii="Cambria" w:hAnsi="Cambria"/>
          <w:sz w:val="22"/>
        </w:rPr>
        <w:t>Rome, le 07 septembre 2021</w:t>
      </w:r>
    </w:p>
    <w:p w14:paraId="2E5B8043" w14:textId="77777777" w:rsidR="00E16D12" w:rsidRPr="00C17031" w:rsidRDefault="00E16D12" w:rsidP="00E16D12">
      <w:pPr>
        <w:spacing w:after="200" w:line="276" w:lineRule="auto"/>
        <w:jc w:val="both"/>
        <w:rPr>
          <w:rFonts w:ascii="Cambria" w:hAnsi="Cambria"/>
          <w:sz w:val="22"/>
          <w:szCs w:val="22"/>
          <w:highlight w:val="green"/>
        </w:rPr>
      </w:pPr>
    </w:p>
    <w:p w14:paraId="07545532" w14:textId="77777777" w:rsidR="00E16D12" w:rsidRPr="00C17031" w:rsidRDefault="00C7223A" w:rsidP="00E16D12">
      <w:pPr>
        <w:spacing w:line="276" w:lineRule="auto"/>
        <w:ind w:left="3692" w:firstLine="284"/>
        <w:jc w:val="center"/>
        <w:rPr>
          <w:rFonts w:ascii="Cambria" w:hAnsi="Cambria"/>
          <w:sz w:val="22"/>
          <w:szCs w:val="22"/>
        </w:rPr>
      </w:pPr>
      <w:r>
        <w:rPr>
          <w:rFonts w:ascii="Cambria" w:hAnsi="Cambria"/>
          <w:sz w:val="22"/>
        </w:rPr>
        <w:t>Le Président du Conseil d'Administration</w:t>
      </w:r>
    </w:p>
    <w:p w14:paraId="4955243F" w14:textId="77777777" w:rsidR="00E16D12" w:rsidRPr="00C17031" w:rsidRDefault="007366DA" w:rsidP="00E16D12">
      <w:pPr>
        <w:spacing w:line="276" w:lineRule="auto"/>
        <w:ind w:left="3976"/>
        <w:jc w:val="center"/>
        <w:rPr>
          <w:rFonts w:ascii="Cambria" w:hAnsi="Cambria"/>
          <w:sz w:val="22"/>
          <w:szCs w:val="22"/>
        </w:rPr>
      </w:pPr>
      <w:r>
        <w:rPr>
          <w:rFonts w:ascii="Cambria" w:hAnsi="Cambria"/>
          <w:sz w:val="22"/>
        </w:rPr>
        <w:t>Aldo Piccarreta</w:t>
      </w:r>
    </w:p>
    <w:p w14:paraId="625C70DB" w14:textId="77777777" w:rsidR="00E16D12" w:rsidRPr="00C17031" w:rsidRDefault="00E16D12" w:rsidP="00E16D12">
      <w:pPr>
        <w:spacing w:line="276" w:lineRule="auto"/>
        <w:ind w:left="3976"/>
        <w:jc w:val="center"/>
        <w:rPr>
          <w:rFonts w:ascii="Cambria" w:hAnsi="Cambria"/>
          <w:sz w:val="22"/>
          <w:szCs w:val="22"/>
          <w:highlight w:val="green"/>
        </w:rPr>
      </w:pPr>
    </w:p>
    <w:p w14:paraId="0F6277F3" w14:textId="77777777" w:rsidR="00E16D12" w:rsidRPr="00C17031" w:rsidRDefault="00E16D12" w:rsidP="00E16D12">
      <w:pPr>
        <w:spacing w:line="276" w:lineRule="auto"/>
        <w:rPr>
          <w:rFonts w:ascii="Cambria" w:hAnsi="Cambria"/>
          <w:sz w:val="22"/>
          <w:szCs w:val="22"/>
          <w:highlight w:val="green"/>
        </w:rPr>
      </w:pPr>
    </w:p>
    <w:p w14:paraId="4FA05874" w14:textId="77777777" w:rsidR="00E16D12" w:rsidRPr="00C17031" w:rsidRDefault="00E16D12" w:rsidP="00E16D12">
      <w:pPr>
        <w:spacing w:line="276" w:lineRule="auto"/>
        <w:rPr>
          <w:rFonts w:ascii="Cambria" w:hAnsi="Cambria"/>
          <w:sz w:val="22"/>
          <w:szCs w:val="22"/>
          <w:highlight w:val="green"/>
        </w:rPr>
      </w:pPr>
    </w:p>
    <w:p w14:paraId="556E364D" w14:textId="77777777" w:rsidR="00E16D12" w:rsidRPr="00C17031" w:rsidRDefault="00E16D12" w:rsidP="00E16D12">
      <w:pPr>
        <w:spacing w:line="276" w:lineRule="auto"/>
        <w:rPr>
          <w:rFonts w:ascii="Cambria" w:hAnsi="Cambria"/>
          <w:sz w:val="20"/>
          <w:szCs w:val="22"/>
          <w:highlight w:val="green"/>
        </w:rPr>
      </w:pPr>
    </w:p>
    <w:p w14:paraId="002611DA" w14:textId="7BC27CBF" w:rsidR="00E16D12" w:rsidRDefault="00E16D12" w:rsidP="00E16D12">
      <w:pPr>
        <w:spacing w:line="276" w:lineRule="auto"/>
        <w:rPr>
          <w:rFonts w:ascii="Cambria" w:hAnsi="Cambria"/>
          <w:sz w:val="20"/>
          <w:szCs w:val="22"/>
        </w:rPr>
      </w:pPr>
      <w:r>
        <w:rPr>
          <w:rFonts w:ascii="Cambria" w:hAnsi="Cambria"/>
          <w:sz w:val="20"/>
        </w:rPr>
        <w:t>Le soussigné Aldo Piccarreta, en qualité de représentant légal, aux termes et par effet de l'art. 23 du décret législatif n. 82/2005 et conscient des responsabilités pénales visées à l'art. 76 du décret présidentiel n. 445/2000 dans l'hypothèse de la falsification de documents et de fausses déclarations, certifie que les documents ci-joints sont conformes à ceux déposés dans les registres de la Société.</w:t>
      </w:r>
    </w:p>
    <w:p w14:paraId="6F38B22E" w14:textId="6D188638" w:rsidR="00D72487" w:rsidRDefault="00D72487" w:rsidP="00E16D12">
      <w:pPr>
        <w:spacing w:line="276" w:lineRule="auto"/>
        <w:rPr>
          <w:rFonts w:ascii="Cambria" w:hAnsi="Cambria"/>
          <w:sz w:val="20"/>
          <w:szCs w:val="22"/>
        </w:rPr>
      </w:pPr>
    </w:p>
    <w:p w14:paraId="60E207C1" w14:textId="5A50693A" w:rsidR="00D72487" w:rsidRDefault="00D72487" w:rsidP="00E16D12">
      <w:pPr>
        <w:spacing w:line="276" w:lineRule="auto"/>
        <w:rPr>
          <w:rFonts w:ascii="Cambria" w:hAnsi="Cambria"/>
          <w:sz w:val="20"/>
          <w:szCs w:val="22"/>
        </w:rPr>
      </w:pPr>
    </w:p>
    <w:p w14:paraId="59E1C869" w14:textId="45D24507" w:rsidR="00D72487" w:rsidRDefault="00D72487" w:rsidP="00E16D12">
      <w:pPr>
        <w:spacing w:line="276" w:lineRule="auto"/>
        <w:rPr>
          <w:rFonts w:ascii="Cambria" w:hAnsi="Cambria"/>
          <w:sz w:val="20"/>
          <w:szCs w:val="22"/>
        </w:rPr>
      </w:pPr>
    </w:p>
    <w:p w14:paraId="2EAEF210" w14:textId="08892576" w:rsidR="00D72487" w:rsidRDefault="00D72487">
      <w:pPr>
        <w:rPr>
          <w:rFonts w:ascii="Cambria" w:hAnsi="Cambria"/>
          <w:sz w:val="20"/>
          <w:szCs w:val="22"/>
        </w:rPr>
      </w:pPr>
      <w:r>
        <w:br w:type="page"/>
      </w:r>
    </w:p>
    <w:p w14:paraId="1085EC38" w14:textId="77777777" w:rsidR="005D6D2C" w:rsidRDefault="005D6D2C" w:rsidP="005D6D2C">
      <w:pPr>
        <w:jc w:val="center"/>
        <w:rPr>
          <w:rFonts w:ascii="Cambria" w:hAnsi="Cambria"/>
          <w:sz w:val="40"/>
        </w:rPr>
      </w:pPr>
    </w:p>
    <w:p w14:paraId="7DC4C66D" w14:textId="77777777" w:rsidR="005D6D2C" w:rsidRDefault="005D6D2C" w:rsidP="005D6D2C">
      <w:pPr>
        <w:jc w:val="center"/>
        <w:rPr>
          <w:rFonts w:ascii="Cambria" w:hAnsi="Cambria"/>
          <w:sz w:val="40"/>
        </w:rPr>
      </w:pPr>
    </w:p>
    <w:p w14:paraId="0E166D1F" w14:textId="77777777" w:rsidR="005D6D2C" w:rsidRDefault="005D6D2C" w:rsidP="005D6D2C">
      <w:pPr>
        <w:jc w:val="center"/>
        <w:rPr>
          <w:rFonts w:ascii="Cambria" w:hAnsi="Cambria"/>
          <w:sz w:val="40"/>
        </w:rPr>
      </w:pPr>
    </w:p>
    <w:p w14:paraId="74E85957" w14:textId="77777777" w:rsidR="005D6D2C" w:rsidRDefault="005D6D2C" w:rsidP="005D6D2C">
      <w:pPr>
        <w:jc w:val="center"/>
        <w:rPr>
          <w:rFonts w:ascii="Cambria" w:hAnsi="Cambria"/>
          <w:sz w:val="40"/>
        </w:rPr>
      </w:pPr>
    </w:p>
    <w:p w14:paraId="090D9006" w14:textId="77777777" w:rsidR="005D6D2C" w:rsidRDefault="005D6D2C" w:rsidP="005D6D2C">
      <w:pPr>
        <w:jc w:val="center"/>
        <w:rPr>
          <w:rFonts w:ascii="Cambria" w:hAnsi="Cambria"/>
          <w:sz w:val="40"/>
        </w:rPr>
      </w:pPr>
    </w:p>
    <w:p w14:paraId="0429F38B" w14:textId="77777777" w:rsidR="005D6D2C" w:rsidRDefault="005D6D2C" w:rsidP="005D6D2C">
      <w:pPr>
        <w:jc w:val="center"/>
        <w:rPr>
          <w:rFonts w:ascii="Cambria" w:hAnsi="Cambria"/>
          <w:sz w:val="40"/>
        </w:rPr>
      </w:pPr>
    </w:p>
    <w:p w14:paraId="783A3539" w14:textId="77777777" w:rsidR="005D6D2C" w:rsidRDefault="005D6D2C" w:rsidP="005D6D2C">
      <w:pPr>
        <w:jc w:val="center"/>
        <w:rPr>
          <w:rFonts w:ascii="Cambria" w:hAnsi="Cambria"/>
          <w:sz w:val="40"/>
        </w:rPr>
      </w:pPr>
    </w:p>
    <w:p w14:paraId="0F3C50D8" w14:textId="77777777" w:rsidR="005D6D2C" w:rsidRDefault="005D6D2C" w:rsidP="005D6D2C">
      <w:pPr>
        <w:jc w:val="center"/>
        <w:rPr>
          <w:rFonts w:ascii="Cambria" w:hAnsi="Cambria"/>
          <w:sz w:val="40"/>
        </w:rPr>
      </w:pPr>
      <w:bookmarkStart w:id="217" w:name="_Hlk82936054"/>
    </w:p>
    <w:p w14:paraId="5A2A7F72" w14:textId="77777777" w:rsidR="005D6D2C" w:rsidRDefault="005D6D2C" w:rsidP="005D6D2C">
      <w:pPr>
        <w:jc w:val="center"/>
        <w:rPr>
          <w:rFonts w:ascii="Cambria" w:hAnsi="Cambria"/>
          <w:sz w:val="40"/>
        </w:rPr>
      </w:pPr>
    </w:p>
    <w:p w14:paraId="53155356" w14:textId="77777777" w:rsidR="005D6D2C" w:rsidRDefault="005D6D2C" w:rsidP="005D6D2C">
      <w:pPr>
        <w:jc w:val="center"/>
        <w:rPr>
          <w:rFonts w:ascii="Cambria" w:hAnsi="Cambria"/>
          <w:sz w:val="40"/>
        </w:rPr>
      </w:pPr>
    </w:p>
    <w:p w14:paraId="2CC1C833" w14:textId="64367E0A" w:rsidR="005D6D2C" w:rsidRDefault="005D6D2C" w:rsidP="005D6D2C">
      <w:pPr>
        <w:jc w:val="center"/>
        <w:rPr>
          <w:rFonts w:ascii="Cambria" w:hAnsi="Cambria"/>
          <w:sz w:val="40"/>
        </w:rPr>
      </w:pPr>
      <w:r>
        <w:rPr>
          <w:noProof/>
          <w:highlight w:val="green"/>
        </w:rPr>
        <mc:AlternateContent>
          <mc:Choice Requires="wps">
            <w:drawing>
              <wp:anchor distT="0" distB="0" distL="114300" distR="114300" simplePos="0" relativeHeight="251653631" behindDoc="1" locked="0" layoutInCell="1" allowOverlap="1" wp14:anchorId="081D4D6A" wp14:editId="169AA5B4">
                <wp:simplePos x="0" y="0"/>
                <wp:positionH relativeFrom="column">
                  <wp:posOffset>-171450</wp:posOffset>
                </wp:positionH>
                <wp:positionV relativeFrom="paragraph">
                  <wp:posOffset>148590</wp:posOffset>
                </wp:positionV>
                <wp:extent cx="6372225" cy="1076325"/>
                <wp:effectExtent l="0" t="0" r="9525" b="476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76325"/>
                        </a:xfrm>
                        <a:prstGeom prst="rect">
                          <a:avLst/>
                        </a:prstGeom>
                        <a:solidFill>
                          <a:srgbClr val="C00000"/>
                        </a:solidFill>
                        <a:ln>
                          <a:noFill/>
                        </a:ln>
                        <a:effectLst>
                          <a:outerShdw dist="23000" dir="5400000" rotWithShape="0">
                            <a:srgbClr val="000000">
                              <a:alpha val="34999"/>
                            </a:srgbClr>
                          </a:outerShdw>
                        </a:effectLst>
                      </wps:spPr>
                      <wps:txbx>
                        <w:txbxContent>
                          <w:p w14:paraId="0478621F" w14:textId="77777777" w:rsidR="00FB17B8" w:rsidRPr="00C17031" w:rsidRDefault="00FB17B8" w:rsidP="00D72487">
                            <w:pPr>
                              <w:rPr>
                                <w:rFonts w:ascii="Cambria" w:hAnsi="Cambria"/>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D4D6A" id="_x0000_s1032" type="#_x0000_t202" style="position:absolute;left:0;text-align:left;margin-left:-13.5pt;margin-top:11.7pt;width:501.75pt;height:84.75pt;z-index:-251662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" fillcolor="#c00000" stroked="f">
                <v:shadow on="t" color="black" opacity="22936f" origin=",.5" offset="0,.63889mm"/>
                <v:textbox>
                  <w:txbxContent>
                    <w:p w14:paraId="0478621F" w14:textId="77777777" w:rsidR="00FB17B8" w:rsidRPr="00C17031" w:rsidRDefault="00FB17B8" w:rsidP="00D72487">
                      <w:pPr>
                        <w:rPr>
                          <w:rFonts w:ascii="Cambria" w:hAnsi="Cambria"/>
                          <w:sz w:val="36"/>
                        </w:rPr>
                      </w:pPr>
                    </w:p>
                  </w:txbxContent>
                </v:textbox>
              </v:shape>
            </w:pict>
          </mc:Fallback>
        </mc:AlternateContent>
      </w:r>
    </w:p>
    <w:p w14:paraId="0549300B" w14:textId="2F771271" w:rsidR="005D6D2C" w:rsidRPr="0061181E" w:rsidRDefault="005D6D2C" w:rsidP="0061181E">
      <w:pPr>
        <w:pStyle w:val="Titolo1"/>
        <w:spacing w:line="240" w:lineRule="auto"/>
        <w:ind w:left="0" w:right="0"/>
        <w:jc w:val="center"/>
        <w:rPr>
          <w:color w:val="FFFFFF" w:themeColor="background1"/>
          <w:sz w:val="40"/>
          <w:szCs w:val="40"/>
        </w:rPr>
      </w:pPr>
      <w:bookmarkStart w:id="218" w:name="_Toc112768724"/>
      <w:r>
        <w:rPr>
          <w:color w:val="FFFFFF" w:themeColor="background1"/>
          <w:sz w:val="40"/>
        </w:rPr>
        <w:t>Annexe - États financiers intermédiaires au 30 juin 2021 de Take Off S.p.A. et Over S.p.A.</w:t>
      </w:r>
      <w:bookmarkEnd w:id="218"/>
    </w:p>
    <w:p w14:paraId="5F1185D9" w14:textId="4450A0D2" w:rsidR="00D72487" w:rsidRPr="003E5EDC" w:rsidRDefault="00D72487" w:rsidP="00D72487">
      <w:pPr>
        <w:rPr>
          <w:highlight w:val="green"/>
        </w:rPr>
        <w:sectPr w:rsidR="00D72487" w:rsidRPr="003E5EDC" w:rsidSect="00A12AAA">
          <w:headerReference w:type="first" r:id="rId24"/>
          <w:footerReference w:type="first" r:id="rId25"/>
          <w:pgSz w:w="11906" w:h="16838" w:code="9"/>
          <w:pgMar w:top="819" w:right="1134" w:bottom="1134" w:left="1134" w:header="851" w:footer="709" w:gutter="1134"/>
          <w:cols w:space="708"/>
          <w:titlePg/>
          <w:docGrid w:linePitch="360"/>
        </w:sectPr>
      </w:pPr>
    </w:p>
    <w:p w14:paraId="3E48C0E8" w14:textId="1EC026FD" w:rsidR="00D72487" w:rsidRPr="00E92997" w:rsidRDefault="002C6435" w:rsidP="0061181E">
      <w:pPr>
        <w:pStyle w:val="Titolo2"/>
        <w:spacing w:line="240" w:lineRule="auto"/>
        <w:ind w:left="0" w:right="0"/>
        <w:jc w:val="left"/>
      </w:pPr>
      <w:bookmarkStart w:id="219" w:name="_Toc112768725"/>
      <w:r>
        <w:rPr>
          <w:i w:val="0"/>
        </w:rPr>
        <w:lastRenderedPageBreak/>
        <w:t>États financiers intermédiaires au 30 juin 2021 de Take Off S.p.A.</w:t>
      </w:r>
      <w:bookmarkEnd w:id="219"/>
    </w:p>
    <w:p w14:paraId="106EC496" w14:textId="66E28762" w:rsidR="00D72487" w:rsidRDefault="00D72487" w:rsidP="00E16D12">
      <w:pPr>
        <w:spacing w:line="276" w:lineRule="auto"/>
        <w:rPr>
          <w:rFonts w:ascii="Cambria" w:hAnsi="Cambria"/>
          <w:sz w:val="22"/>
          <w:szCs w:val="22"/>
        </w:rPr>
      </w:pPr>
    </w:p>
    <w:tbl>
      <w:tblPr>
        <w:tblW w:w="5000" w:type="pct"/>
        <w:tblCellMar>
          <w:left w:w="70" w:type="dxa"/>
          <w:right w:w="70" w:type="dxa"/>
        </w:tblCellMar>
        <w:tblLook w:val="04A0" w:firstRow="1" w:lastRow="0" w:firstColumn="1" w:lastColumn="0" w:noHBand="0" w:noVBand="1"/>
      </w:tblPr>
      <w:tblGrid>
        <w:gridCol w:w="6469"/>
        <w:gridCol w:w="1367"/>
        <w:gridCol w:w="1802"/>
      </w:tblGrid>
      <w:tr w:rsidR="005014F9" w14:paraId="15D73677" w14:textId="77777777" w:rsidTr="00717185">
        <w:trPr>
          <w:trHeight w:val="20"/>
        </w:trPr>
        <w:tc>
          <w:tcPr>
            <w:tcW w:w="3356" w:type="pct"/>
            <w:tcBorders>
              <w:top w:val="single" w:sz="4" w:space="0" w:color="0070C0"/>
              <w:left w:val="nil"/>
              <w:bottom w:val="single" w:sz="8" w:space="0" w:color="0070C0"/>
              <w:right w:val="nil"/>
            </w:tcBorders>
            <w:shd w:val="clear" w:color="auto" w:fill="auto"/>
            <w:noWrap/>
            <w:vAlign w:val="bottom"/>
            <w:hideMark/>
          </w:tcPr>
          <w:p w14:paraId="405A1198" w14:textId="77777777" w:rsidR="005014F9" w:rsidRDefault="005014F9">
            <w:pPr>
              <w:rPr>
                <w:rFonts w:ascii="Calibri Light" w:hAnsi="Calibri Light" w:cs="Calibri Light"/>
                <w:color w:val="000000"/>
                <w:sz w:val="18"/>
                <w:szCs w:val="18"/>
              </w:rPr>
            </w:pPr>
            <w:r>
              <w:rPr>
                <w:rFonts w:ascii="Calibri Light" w:hAnsi="Calibri Light"/>
                <w:color w:val="000000"/>
                <w:sz w:val="18"/>
              </w:rPr>
              <w:t>(</w:t>
            </w:r>
            <w:proofErr w:type="gramStart"/>
            <w:r>
              <w:rPr>
                <w:rFonts w:ascii="Calibri Light" w:hAnsi="Calibri Light"/>
                <w:color w:val="000000"/>
                <w:sz w:val="18"/>
              </w:rPr>
              <w:t>en</w:t>
            </w:r>
            <w:proofErr w:type="gramEnd"/>
            <w:r>
              <w:rPr>
                <w:rFonts w:ascii="Calibri Light" w:hAnsi="Calibri Light"/>
                <w:color w:val="000000"/>
                <w:sz w:val="18"/>
              </w:rPr>
              <w:t xml:space="preserve"> euros)</w:t>
            </w:r>
          </w:p>
        </w:tc>
        <w:tc>
          <w:tcPr>
            <w:tcW w:w="709" w:type="pct"/>
            <w:tcBorders>
              <w:top w:val="single" w:sz="4" w:space="0" w:color="0070C0"/>
              <w:left w:val="nil"/>
              <w:bottom w:val="single" w:sz="8" w:space="0" w:color="0070C0"/>
              <w:right w:val="nil"/>
            </w:tcBorders>
            <w:shd w:val="clear" w:color="auto" w:fill="auto"/>
            <w:hideMark/>
          </w:tcPr>
          <w:p w14:paraId="0258086D" w14:textId="2D25B158" w:rsidR="004566BD" w:rsidRDefault="005014F9">
            <w:pPr>
              <w:jc w:val="center"/>
              <w:rPr>
                <w:rFonts w:ascii="Calibri Light" w:hAnsi="Calibri Light" w:cs="Calibri Light"/>
                <w:b/>
                <w:bCs/>
                <w:sz w:val="18"/>
                <w:szCs w:val="18"/>
              </w:rPr>
            </w:pPr>
            <w:r>
              <w:rPr>
                <w:rFonts w:ascii="Calibri Light" w:hAnsi="Calibri Light"/>
                <w:b/>
                <w:sz w:val="18"/>
              </w:rPr>
              <w:t xml:space="preserve"> TAKE OFF </w:t>
            </w:r>
          </w:p>
          <w:p w14:paraId="5A61CAC2" w14:textId="441C077C" w:rsidR="005014F9" w:rsidRPr="0061181E" w:rsidRDefault="005014F9">
            <w:pPr>
              <w:jc w:val="center"/>
              <w:rPr>
                <w:rFonts w:ascii="Calibri Light" w:hAnsi="Calibri Light" w:cs="Calibri Light"/>
                <w:b/>
                <w:bCs/>
                <w:sz w:val="18"/>
                <w:szCs w:val="18"/>
              </w:rPr>
            </w:pPr>
            <w:r>
              <w:rPr>
                <w:rFonts w:ascii="Calibri Light" w:hAnsi="Calibri Light"/>
                <w:b/>
                <w:sz w:val="18"/>
              </w:rPr>
              <w:t>30 juin 2021</w:t>
            </w:r>
          </w:p>
        </w:tc>
        <w:tc>
          <w:tcPr>
            <w:tcW w:w="935" w:type="pct"/>
            <w:tcBorders>
              <w:top w:val="single" w:sz="4" w:space="0" w:color="0070C0"/>
              <w:left w:val="nil"/>
              <w:bottom w:val="single" w:sz="8" w:space="0" w:color="0070C0"/>
              <w:right w:val="nil"/>
            </w:tcBorders>
            <w:shd w:val="clear" w:color="auto" w:fill="auto"/>
            <w:hideMark/>
          </w:tcPr>
          <w:p w14:paraId="74AC6CCF" w14:textId="1A114F51" w:rsidR="005014F9" w:rsidRPr="0061181E" w:rsidRDefault="005014F9">
            <w:pPr>
              <w:jc w:val="center"/>
              <w:rPr>
                <w:rFonts w:ascii="Calibri Light" w:hAnsi="Calibri Light" w:cs="Calibri Light"/>
                <w:b/>
                <w:bCs/>
                <w:sz w:val="18"/>
                <w:szCs w:val="18"/>
              </w:rPr>
            </w:pPr>
            <w:r>
              <w:rPr>
                <w:rFonts w:ascii="Calibri Light" w:hAnsi="Calibri Light"/>
                <w:b/>
                <w:sz w:val="18"/>
              </w:rPr>
              <w:t xml:space="preserve">TAKE OFF </w:t>
            </w:r>
            <w:r>
              <w:rPr>
                <w:rFonts w:ascii="Calibri Light" w:hAnsi="Calibri Light"/>
                <w:b/>
                <w:bCs/>
                <w:sz w:val="18"/>
                <w:szCs w:val="18"/>
              </w:rPr>
              <w:br/>
            </w:r>
            <w:r>
              <w:rPr>
                <w:rFonts w:ascii="Calibri Light" w:hAnsi="Calibri Light"/>
                <w:b/>
                <w:sz w:val="18"/>
              </w:rPr>
              <w:t>31 décembre 2020</w:t>
            </w:r>
          </w:p>
        </w:tc>
      </w:tr>
      <w:tr w:rsidR="005014F9" w14:paraId="5452A11E" w14:textId="77777777" w:rsidTr="00717185">
        <w:trPr>
          <w:trHeight w:val="20"/>
        </w:trPr>
        <w:tc>
          <w:tcPr>
            <w:tcW w:w="3356" w:type="pct"/>
            <w:tcBorders>
              <w:top w:val="nil"/>
              <w:left w:val="nil"/>
              <w:bottom w:val="nil"/>
              <w:right w:val="nil"/>
            </w:tcBorders>
            <w:shd w:val="clear" w:color="auto" w:fill="auto"/>
            <w:noWrap/>
            <w:vAlign w:val="bottom"/>
            <w:hideMark/>
          </w:tcPr>
          <w:p w14:paraId="7C51310B" w14:textId="77777777" w:rsidR="005014F9" w:rsidRDefault="005014F9">
            <w:pPr>
              <w:rPr>
                <w:rFonts w:ascii="Calibri Light" w:hAnsi="Calibri Light" w:cs="Calibri Light"/>
                <w:b/>
                <w:bCs/>
                <w:color w:val="000000"/>
                <w:sz w:val="18"/>
                <w:szCs w:val="18"/>
              </w:rPr>
            </w:pPr>
            <w:r>
              <w:rPr>
                <w:rFonts w:ascii="Calibri Light" w:hAnsi="Calibri Light"/>
                <w:b/>
                <w:color w:val="000000"/>
                <w:sz w:val="18"/>
              </w:rPr>
              <w:t>ACTIF</w:t>
            </w:r>
          </w:p>
        </w:tc>
        <w:tc>
          <w:tcPr>
            <w:tcW w:w="709" w:type="pct"/>
            <w:tcBorders>
              <w:top w:val="nil"/>
              <w:left w:val="nil"/>
              <w:bottom w:val="nil"/>
              <w:right w:val="nil"/>
            </w:tcBorders>
            <w:shd w:val="clear" w:color="auto" w:fill="auto"/>
            <w:vAlign w:val="bottom"/>
            <w:hideMark/>
          </w:tcPr>
          <w:p w14:paraId="51D36D94" w14:textId="77777777" w:rsidR="005014F9" w:rsidRDefault="005014F9">
            <w:pPr>
              <w:rPr>
                <w:rFonts w:ascii="Calibri Light" w:hAnsi="Calibri Light" w:cs="Calibri Light"/>
                <w:b/>
                <w:bCs/>
                <w:color w:val="000000"/>
                <w:sz w:val="18"/>
                <w:szCs w:val="18"/>
              </w:rPr>
            </w:pPr>
          </w:p>
        </w:tc>
        <w:tc>
          <w:tcPr>
            <w:tcW w:w="935" w:type="pct"/>
            <w:tcBorders>
              <w:top w:val="nil"/>
              <w:left w:val="nil"/>
              <w:bottom w:val="nil"/>
              <w:right w:val="nil"/>
            </w:tcBorders>
            <w:shd w:val="clear" w:color="auto" w:fill="auto"/>
            <w:vAlign w:val="bottom"/>
            <w:hideMark/>
          </w:tcPr>
          <w:p w14:paraId="371FA6E6" w14:textId="77777777" w:rsidR="005014F9" w:rsidRDefault="005014F9">
            <w:pPr>
              <w:jc w:val="center"/>
              <w:rPr>
                <w:sz w:val="20"/>
                <w:szCs w:val="20"/>
              </w:rPr>
            </w:pPr>
          </w:p>
        </w:tc>
      </w:tr>
      <w:tr w:rsidR="005014F9" w14:paraId="657D781B" w14:textId="77777777" w:rsidTr="00717185">
        <w:trPr>
          <w:trHeight w:val="20"/>
        </w:trPr>
        <w:tc>
          <w:tcPr>
            <w:tcW w:w="3356" w:type="pct"/>
            <w:tcBorders>
              <w:top w:val="nil"/>
              <w:left w:val="nil"/>
              <w:bottom w:val="nil"/>
              <w:right w:val="nil"/>
            </w:tcBorders>
            <w:shd w:val="clear" w:color="auto" w:fill="auto"/>
            <w:noWrap/>
            <w:vAlign w:val="bottom"/>
            <w:hideMark/>
          </w:tcPr>
          <w:p w14:paraId="00FBD465" w14:textId="77777777" w:rsidR="005014F9" w:rsidRDefault="005014F9">
            <w:pPr>
              <w:jc w:val="center"/>
              <w:rPr>
                <w:sz w:val="20"/>
                <w:szCs w:val="20"/>
              </w:rPr>
            </w:pPr>
          </w:p>
        </w:tc>
        <w:tc>
          <w:tcPr>
            <w:tcW w:w="709" w:type="pct"/>
            <w:tcBorders>
              <w:top w:val="nil"/>
              <w:left w:val="nil"/>
              <w:bottom w:val="nil"/>
              <w:right w:val="nil"/>
            </w:tcBorders>
            <w:shd w:val="clear" w:color="auto" w:fill="auto"/>
            <w:vAlign w:val="bottom"/>
            <w:hideMark/>
          </w:tcPr>
          <w:p w14:paraId="580FC7A9" w14:textId="77777777" w:rsidR="005014F9" w:rsidRDefault="005014F9">
            <w:pPr>
              <w:rPr>
                <w:sz w:val="20"/>
                <w:szCs w:val="20"/>
              </w:rPr>
            </w:pPr>
          </w:p>
        </w:tc>
        <w:tc>
          <w:tcPr>
            <w:tcW w:w="935" w:type="pct"/>
            <w:tcBorders>
              <w:top w:val="nil"/>
              <w:left w:val="nil"/>
              <w:bottom w:val="nil"/>
              <w:right w:val="nil"/>
            </w:tcBorders>
            <w:shd w:val="clear" w:color="auto" w:fill="auto"/>
            <w:vAlign w:val="bottom"/>
            <w:hideMark/>
          </w:tcPr>
          <w:p w14:paraId="706B753C" w14:textId="77777777" w:rsidR="005014F9" w:rsidRDefault="005014F9">
            <w:pPr>
              <w:jc w:val="center"/>
              <w:rPr>
                <w:sz w:val="20"/>
                <w:szCs w:val="20"/>
              </w:rPr>
            </w:pPr>
          </w:p>
        </w:tc>
      </w:tr>
      <w:tr w:rsidR="005014F9" w14:paraId="7B60E7F3" w14:textId="77777777" w:rsidTr="00717185">
        <w:trPr>
          <w:trHeight w:val="20"/>
        </w:trPr>
        <w:tc>
          <w:tcPr>
            <w:tcW w:w="3356" w:type="pct"/>
            <w:tcBorders>
              <w:top w:val="nil"/>
              <w:left w:val="nil"/>
              <w:bottom w:val="nil"/>
              <w:right w:val="nil"/>
            </w:tcBorders>
            <w:shd w:val="clear" w:color="auto" w:fill="auto"/>
            <w:noWrap/>
            <w:vAlign w:val="bottom"/>
            <w:hideMark/>
          </w:tcPr>
          <w:p w14:paraId="197580A6" w14:textId="77777777" w:rsidR="005014F9" w:rsidRDefault="005014F9">
            <w:pPr>
              <w:rPr>
                <w:rFonts w:ascii="Calibri Light" w:hAnsi="Calibri Light" w:cs="Calibri Light"/>
                <w:b/>
                <w:bCs/>
                <w:color w:val="000000"/>
                <w:sz w:val="18"/>
                <w:szCs w:val="18"/>
              </w:rPr>
            </w:pPr>
            <w:r>
              <w:rPr>
                <w:rFonts w:ascii="Calibri Light" w:hAnsi="Calibri Light"/>
                <w:b/>
                <w:color w:val="000000"/>
                <w:sz w:val="18"/>
              </w:rPr>
              <w:t>Actifs à long terme</w:t>
            </w:r>
          </w:p>
        </w:tc>
        <w:tc>
          <w:tcPr>
            <w:tcW w:w="709" w:type="pct"/>
            <w:tcBorders>
              <w:top w:val="nil"/>
              <w:left w:val="nil"/>
              <w:bottom w:val="nil"/>
              <w:right w:val="nil"/>
            </w:tcBorders>
            <w:shd w:val="clear" w:color="auto" w:fill="auto"/>
            <w:noWrap/>
            <w:vAlign w:val="bottom"/>
            <w:hideMark/>
          </w:tcPr>
          <w:p w14:paraId="4BD515CE" w14:textId="77777777" w:rsidR="005014F9" w:rsidRDefault="005014F9">
            <w:pPr>
              <w:rPr>
                <w:rFonts w:ascii="Calibri Light" w:hAnsi="Calibri Light" w:cs="Calibri Light"/>
                <w:b/>
                <w:bCs/>
                <w:color w:val="000000"/>
                <w:sz w:val="18"/>
                <w:szCs w:val="18"/>
              </w:rPr>
            </w:pPr>
          </w:p>
        </w:tc>
        <w:tc>
          <w:tcPr>
            <w:tcW w:w="935" w:type="pct"/>
            <w:tcBorders>
              <w:top w:val="nil"/>
              <w:left w:val="nil"/>
              <w:bottom w:val="nil"/>
              <w:right w:val="nil"/>
            </w:tcBorders>
            <w:shd w:val="clear" w:color="auto" w:fill="auto"/>
            <w:noWrap/>
            <w:vAlign w:val="bottom"/>
            <w:hideMark/>
          </w:tcPr>
          <w:p w14:paraId="48B24DD6" w14:textId="77777777" w:rsidR="005014F9" w:rsidRDefault="005014F9">
            <w:pPr>
              <w:rPr>
                <w:sz w:val="20"/>
                <w:szCs w:val="20"/>
              </w:rPr>
            </w:pPr>
          </w:p>
        </w:tc>
      </w:tr>
      <w:tr w:rsidR="005014F9" w14:paraId="441324D7" w14:textId="77777777" w:rsidTr="00717185">
        <w:trPr>
          <w:trHeight w:val="20"/>
        </w:trPr>
        <w:tc>
          <w:tcPr>
            <w:tcW w:w="3356" w:type="pct"/>
            <w:tcBorders>
              <w:top w:val="nil"/>
              <w:left w:val="nil"/>
              <w:bottom w:val="nil"/>
              <w:right w:val="nil"/>
            </w:tcBorders>
            <w:shd w:val="clear" w:color="auto" w:fill="auto"/>
            <w:noWrap/>
            <w:vAlign w:val="bottom"/>
            <w:hideMark/>
          </w:tcPr>
          <w:p w14:paraId="4FAF53FB" w14:textId="77777777" w:rsidR="005014F9" w:rsidRDefault="005014F9">
            <w:pPr>
              <w:rPr>
                <w:rFonts w:ascii="Calibri Light" w:hAnsi="Calibri Light" w:cs="Calibri Light"/>
                <w:color w:val="000000"/>
                <w:sz w:val="18"/>
                <w:szCs w:val="18"/>
              </w:rPr>
            </w:pPr>
            <w:r>
              <w:rPr>
                <w:rFonts w:ascii="Calibri Light" w:hAnsi="Calibri Light"/>
                <w:color w:val="000000"/>
                <w:sz w:val="18"/>
              </w:rPr>
              <w:t>Immobilisations corporelles</w:t>
            </w:r>
          </w:p>
        </w:tc>
        <w:tc>
          <w:tcPr>
            <w:tcW w:w="709" w:type="pct"/>
            <w:tcBorders>
              <w:top w:val="nil"/>
              <w:left w:val="nil"/>
              <w:bottom w:val="nil"/>
              <w:right w:val="nil"/>
            </w:tcBorders>
            <w:shd w:val="clear" w:color="auto" w:fill="auto"/>
            <w:noWrap/>
            <w:vAlign w:val="bottom"/>
            <w:hideMark/>
          </w:tcPr>
          <w:p w14:paraId="1435A405"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1 313 252</w:t>
            </w:r>
          </w:p>
        </w:tc>
        <w:tc>
          <w:tcPr>
            <w:tcW w:w="935" w:type="pct"/>
            <w:tcBorders>
              <w:top w:val="nil"/>
              <w:left w:val="nil"/>
              <w:bottom w:val="nil"/>
              <w:right w:val="nil"/>
            </w:tcBorders>
            <w:shd w:val="clear" w:color="auto" w:fill="auto"/>
            <w:noWrap/>
            <w:vAlign w:val="bottom"/>
            <w:hideMark/>
          </w:tcPr>
          <w:p w14:paraId="68E21381"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1 951 743</w:t>
            </w:r>
          </w:p>
        </w:tc>
      </w:tr>
      <w:tr w:rsidR="005014F9" w14:paraId="0D0E6331" w14:textId="77777777" w:rsidTr="00717185">
        <w:trPr>
          <w:trHeight w:val="20"/>
        </w:trPr>
        <w:tc>
          <w:tcPr>
            <w:tcW w:w="3356" w:type="pct"/>
            <w:tcBorders>
              <w:top w:val="nil"/>
              <w:left w:val="nil"/>
              <w:bottom w:val="nil"/>
              <w:right w:val="nil"/>
            </w:tcBorders>
            <w:shd w:val="clear" w:color="auto" w:fill="auto"/>
            <w:noWrap/>
            <w:vAlign w:val="bottom"/>
            <w:hideMark/>
          </w:tcPr>
          <w:p w14:paraId="2D7911F1" w14:textId="77777777" w:rsidR="005014F9" w:rsidRDefault="005014F9">
            <w:pPr>
              <w:rPr>
                <w:rFonts w:ascii="Calibri Light" w:hAnsi="Calibri Light" w:cs="Calibri Light"/>
                <w:color w:val="000000"/>
                <w:sz w:val="18"/>
                <w:szCs w:val="18"/>
              </w:rPr>
            </w:pPr>
            <w:r>
              <w:rPr>
                <w:rFonts w:ascii="Calibri Light" w:hAnsi="Calibri Light"/>
                <w:color w:val="000000"/>
                <w:sz w:val="18"/>
              </w:rPr>
              <w:t>Immobilisations incorporelles</w:t>
            </w:r>
          </w:p>
        </w:tc>
        <w:tc>
          <w:tcPr>
            <w:tcW w:w="709" w:type="pct"/>
            <w:tcBorders>
              <w:top w:val="nil"/>
              <w:left w:val="nil"/>
              <w:bottom w:val="nil"/>
              <w:right w:val="nil"/>
            </w:tcBorders>
            <w:shd w:val="clear" w:color="auto" w:fill="auto"/>
            <w:noWrap/>
            <w:vAlign w:val="bottom"/>
            <w:hideMark/>
          </w:tcPr>
          <w:p w14:paraId="18B2091E"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114 744</w:t>
            </w:r>
          </w:p>
        </w:tc>
        <w:tc>
          <w:tcPr>
            <w:tcW w:w="935" w:type="pct"/>
            <w:tcBorders>
              <w:top w:val="nil"/>
              <w:left w:val="nil"/>
              <w:bottom w:val="nil"/>
              <w:right w:val="nil"/>
            </w:tcBorders>
            <w:shd w:val="clear" w:color="auto" w:fill="auto"/>
            <w:noWrap/>
            <w:vAlign w:val="bottom"/>
            <w:hideMark/>
          </w:tcPr>
          <w:p w14:paraId="01149114"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15 185</w:t>
            </w:r>
          </w:p>
        </w:tc>
      </w:tr>
      <w:tr w:rsidR="005014F9" w14:paraId="08796BD1" w14:textId="77777777" w:rsidTr="00717185">
        <w:trPr>
          <w:trHeight w:val="20"/>
        </w:trPr>
        <w:tc>
          <w:tcPr>
            <w:tcW w:w="3356" w:type="pct"/>
            <w:tcBorders>
              <w:top w:val="nil"/>
              <w:left w:val="nil"/>
              <w:bottom w:val="nil"/>
              <w:right w:val="nil"/>
            </w:tcBorders>
            <w:shd w:val="clear" w:color="auto" w:fill="auto"/>
            <w:noWrap/>
            <w:vAlign w:val="bottom"/>
            <w:hideMark/>
          </w:tcPr>
          <w:p w14:paraId="7C0007BE" w14:textId="77777777" w:rsidR="005014F9" w:rsidRDefault="005014F9">
            <w:pPr>
              <w:rPr>
                <w:rFonts w:ascii="Calibri Light" w:hAnsi="Calibri Light" w:cs="Calibri Light"/>
                <w:color w:val="000000"/>
                <w:sz w:val="18"/>
                <w:szCs w:val="18"/>
              </w:rPr>
            </w:pPr>
            <w:r>
              <w:rPr>
                <w:rFonts w:ascii="Calibri Light" w:hAnsi="Calibri Light"/>
                <w:color w:val="000000"/>
                <w:sz w:val="18"/>
              </w:rPr>
              <w:t>Droits d’utilisation</w:t>
            </w:r>
          </w:p>
        </w:tc>
        <w:tc>
          <w:tcPr>
            <w:tcW w:w="709" w:type="pct"/>
            <w:tcBorders>
              <w:top w:val="nil"/>
              <w:left w:val="nil"/>
              <w:bottom w:val="nil"/>
              <w:right w:val="nil"/>
            </w:tcBorders>
            <w:shd w:val="clear" w:color="auto" w:fill="auto"/>
            <w:noWrap/>
            <w:vAlign w:val="bottom"/>
            <w:hideMark/>
          </w:tcPr>
          <w:p w14:paraId="28361187"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6 818 746</w:t>
            </w:r>
          </w:p>
        </w:tc>
        <w:tc>
          <w:tcPr>
            <w:tcW w:w="935" w:type="pct"/>
            <w:tcBorders>
              <w:top w:val="nil"/>
              <w:left w:val="nil"/>
              <w:bottom w:val="nil"/>
              <w:right w:val="nil"/>
            </w:tcBorders>
            <w:shd w:val="clear" w:color="auto" w:fill="auto"/>
            <w:noWrap/>
            <w:vAlign w:val="bottom"/>
            <w:hideMark/>
          </w:tcPr>
          <w:p w14:paraId="3D4B2FE6"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7 423 281</w:t>
            </w:r>
          </w:p>
        </w:tc>
      </w:tr>
      <w:tr w:rsidR="005014F9" w14:paraId="37B30FCD" w14:textId="77777777" w:rsidTr="00717185">
        <w:trPr>
          <w:trHeight w:val="20"/>
        </w:trPr>
        <w:tc>
          <w:tcPr>
            <w:tcW w:w="3356" w:type="pct"/>
            <w:tcBorders>
              <w:top w:val="nil"/>
              <w:left w:val="nil"/>
              <w:bottom w:val="nil"/>
              <w:right w:val="nil"/>
            </w:tcBorders>
            <w:shd w:val="clear" w:color="auto" w:fill="auto"/>
            <w:noWrap/>
            <w:vAlign w:val="bottom"/>
            <w:hideMark/>
          </w:tcPr>
          <w:p w14:paraId="5C17650E" w14:textId="77777777" w:rsidR="005014F9" w:rsidRDefault="005014F9">
            <w:pPr>
              <w:rPr>
                <w:rFonts w:ascii="Calibri Light" w:hAnsi="Calibri Light" w:cs="Calibri Light"/>
                <w:color w:val="000000"/>
                <w:sz w:val="18"/>
                <w:szCs w:val="18"/>
              </w:rPr>
            </w:pPr>
            <w:r>
              <w:rPr>
                <w:rFonts w:ascii="Calibri Light" w:hAnsi="Calibri Light"/>
                <w:color w:val="000000"/>
                <w:sz w:val="18"/>
              </w:rPr>
              <w:t>Autres créances à long terme</w:t>
            </w:r>
          </w:p>
        </w:tc>
        <w:tc>
          <w:tcPr>
            <w:tcW w:w="709" w:type="pct"/>
            <w:tcBorders>
              <w:top w:val="nil"/>
              <w:left w:val="nil"/>
              <w:bottom w:val="nil"/>
              <w:right w:val="nil"/>
            </w:tcBorders>
            <w:shd w:val="clear" w:color="auto" w:fill="auto"/>
            <w:noWrap/>
            <w:vAlign w:val="bottom"/>
            <w:hideMark/>
          </w:tcPr>
          <w:p w14:paraId="088CC2E0"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407 868</w:t>
            </w:r>
          </w:p>
        </w:tc>
        <w:tc>
          <w:tcPr>
            <w:tcW w:w="935" w:type="pct"/>
            <w:tcBorders>
              <w:top w:val="nil"/>
              <w:left w:val="nil"/>
              <w:bottom w:val="nil"/>
              <w:right w:val="nil"/>
            </w:tcBorders>
            <w:shd w:val="clear" w:color="auto" w:fill="auto"/>
            <w:noWrap/>
            <w:vAlign w:val="bottom"/>
            <w:hideMark/>
          </w:tcPr>
          <w:p w14:paraId="1B1CB75C"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398 590</w:t>
            </w:r>
          </w:p>
        </w:tc>
      </w:tr>
      <w:tr w:rsidR="005014F9" w14:paraId="5D5A9A2E" w14:textId="77777777" w:rsidTr="00717185">
        <w:trPr>
          <w:trHeight w:val="20"/>
        </w:trPr>
        <w:tc>
          <w:tcPr>
            <w:tcW w:w="3356" w:type="pct"/>
            <w:tcBorders>
              <w:top w:val="nil"/>
              <w:left w:val="nil"/>
              <w:bottom w:val="nil"/>
              <w:right w:val="nil"/>
            </w:tcBorders>
            <w:shd w:val="clear" w:color="auto" w:fill="auto"/>
            <w:noWrap/>
            <w:vAlign w:val="bottom"/>
            <w:hideMark/>
          </w:tcPr>
          <w:p w14:paraId="6B71FAF8" w14:textId="77777777" w:rsidR="005014F9" w:rsidRDefault="005014F9">
            <w:pPr>
              <w:rPr>
                <w:rFonts w:ascii="Calibri Light" w:hAnsi="Calibri Light" w:cs="Calibri Light"/>
                <w:color w:val="000000"/>
                <w:sz w:val="18"/>
                <w:szCs w:val="18"/>
              </w:rPr>
            </w:pPr>
            <w:r>
              <w:rPr>
                <w:rFonts w:ascii="Calibri Light" w:hAnsi="Calibri Light"/>
                <w:color w:val="000000"/>
                <w:sz w:val="18"/>
              </w:rPr>
              <w:t>Actif d’impôt différé</w:t>
            </w:r>
          </w:p>
        </w:tc>
        <w:tc>
          <w:tcPr>
            <w:tcW w:w="709" w:type="pct"/>
            <w:tcBorders>
              <w:top w:val="nil"/>
              <w:left w:val="nil"/>
              <w:bottom w:val="nil"/>
              <w:right w:val="nil"/>
            </w:tcBorders>
            <w:shd w:val="clear" w:color="auto" w:fill="auto"/>
            <w:noWrap/>
            <w:vAlign w:val="bottom"/>
            <w:hideMark/>
          </w:tcPr>
          <w:p w14:paraId="0EB5F196"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137 460</w:t>
            </w:r>
          </w:p>
        </w:tc>
        <w:tc>
          <w:tcPr>
            <w:tcW w:w="935" w:type="pct"/>
            <w:tcBorders>
              <w:top w:val="nil"/>
              <w:left w:val="nil"/>
              <w:bottom w:val="nil"/>
              <w:right w:val="nil"/>
            </w:tcBorders>
            <w:shd w:val="clear" w:color="auto" w:fill="auto"/>
            <w:noWrap/>
            <w:vAlign w:val="bottom"/>
            <w:hideMark/>
          </w:tcPr>
          <w:p w14:paraId="7501B3C6"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162 031</w:t>
            </w:r>
          </w:p>
        </w:tc>
      </w:tr>
      <w:tr w:rsidR="005014F9" w14:paraId="621975CD" w14:textId="77777777" w:rsidTr="00717185">
        <w:trPr>
          <w:trHeight w:val="20"/>
        </w:trPr>
        <w:tc>
          <w:tcPr>
            <w:tcW w:w="3356" w:type="pct"/>
            <w:tcBorders>
              <w:top w:val="nil"/>
              <w:left w:val="nil"/>
              <w:bottom w:val="nil"/>
              <w:right w:val="nil"/>
            </w:tcBorders>
            <w:shd w:val="clear" w:color="auto" w:fill="auto"/>
            <w:noWrap/>
            <w:vAlign w:val="bottom"/>
            <w:hideMark/>
          </w:tcPr>
          <w:p w14:paraId="77D9BC3C" w14:textId="77777777" w:rsidR="005014F9" w:rsidRDefault="005014F9">
            <w:pPr>
              <w:rPr>
                <w:rFonts w:ascii="Calibri Light" w:hAnsi="Calibri Light" w:cs="Calibri Light"/>
                <w:b/>
                <w:bCs/>
                <w:color w:val="000000"/>
                <w:sz w:val="18"/>
                <w:szCs w:val="18"/>
              </w:rPr>
            </w:pPr>
            <w:r>
              <w:rPr>
                <w:rFonts w:ascii="Calibri Light" w:hAnsi="Calibri Light"/>
                <w:b/>
                <w:color w:val="000000"/>
                <w:sz w:val="18"/>
              </w:rPr>
              <w:t>TOTAL ACTIFS À LONG TERME</w:t>
            </w:r>
          </w:p>
        </w:tc>
        <w:tc>
          <w:tcPr>
            <w:tcW w:w="709" w:type="pct"/>
            <w:tcBorders>
              <w:top w:val="single" w:sz="4" w:space="0" w:color="auto"/>
              <w:left w:val="nil"/>
              <w:bottom w:val="nil"/>
              <w:right w:val="nil"/>
            </w:tcBorders>
            <w:shd w:val="clear" w:color="auto" w:fill="auto"/>
            <w:noWrap/>
            <w:vAlign w:val="bottom"/>
            <w:hideMark/>
          </w:tcPr>
          <w:p w14:paraId="77174EB7"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8 792 069</w:t>
            </w:r>
          </w:p>
        </w:tc>
        <w:tc>
          <w:tcPr>
            <w:tcW w:w="935" w:type="pct"/>
            <w:tcBorders>
              <w:top w:val="single" w:sz="4" w:space="0" w:color="auto"/>
              <w:left w:val="nil"/>
              <w:bottom w:val="nil"/>
              <w:right w:val="nil"/>
            </w:tcBorders>
            <w:shd w:val="clear" w:color="auto" w:fill="auto"/>
            <w:noWrap/>
            <w:vAlign w:val="bottom"/>
            <w:hideMark/>
          </w:tcPr>
          <w:p w14:paraId="5433CBAC"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9 950 830</w:t>
            </w:r>
          </w:p>
        </w:tc>
      </w:tr>
      <w:tr w:rsidR="005014F9" w14:paraId="0CC1E929" w14:textId="77777777" w:rsidTr="00717185">
        <w:trPr>
          <w:trHeight w:val="20"/>
        </w:trPr>
        <w:tc>
          <w:tcPr>
            <w:tcW w:w="3356" w:type="pct"/>
            <w:tcBorders>
              <w:top w:val="nil"/>
              <w:left w:val="nil"/>
              <w:bottom w:val="nil"/>
              <w:right w:val="nil"/>
            </w:tcBorders>
            <w:shd w:val="clear" w:color="auto" w:fill="auto"/>
            <w:noWrap/>
            <w:vAlign w:val="bottom"/>
            <w:hideMark/>
          </w:tcPr>
          <w:p w14:paraId="05C91E08" w14:textId="77777777" w:rsidR="005014F9" w:rsidRDefault="005014F9">
            <w:pPr>
              <w:jc w:val="right"/>
              <w:rPr>
                <w:rFonts w:ascii="Calibri Light" w:hAnsi="Calibri Light" w:cs="Calibri Light"/>
                <w:b/>
                <w:bCs/>
                <w:color w:val="000000"/>
                <w:sz w:val="18"/>
                <w:szCs w:val="18"/>
              </w:rPr>
            </w:pPr>
          </w:p>
        </w:tc>
        <w:tc>
          <w:tcPr>
            <w:tcW w:w="709" w:type="pct"/>
            <w:tcBorders>
              <w:top w:val="nil"/>
              <w:left w:val="nil"/>
              <w:bottom w:val="nil"/>
              <w:right w:val="nil"/>
            </w:tcBorders>
            <w:shd w:val="clear" w:color="auto" w:fill="auto"/>
            <w:noWrap/>
            <w:vAlign w:val="bottom"/>
            <w:hideMark/>
          </w:tcPr>
          <w:p w14:paraId="0F91C33E" w14:textId="77777777" w:rsidR="005014F9" w:rsidRDefault="005014F9">
            <w:pPr>
              <w:rPr>
                <w:sz w:val="20"/>
                <w:szCs w:val="20"/>
              </w:rPr>
            </w:pPr>
          </w:p>
        </w:tc>
        <w:tc>
          <w:tcPr>
            <w:tcW w:w="935" w:type="pct"/>
            <w:tcBorders>
              <w:top w:val="nil"/>
              <w:left w:val="nil"/>
              <w:bottom w:val="nil"/>
              <w:right w:val="nil"/>
            </w:tcBorders>
            <w:shd w:val="clear" w:color="auto" w:fill="auto"/>
            <w:noWrap/>
            <w:vAlign w:val="bottom"/>
            <w:hideMark/>
          </w:tcPr>
          <w:p w14:paraId="65FBED0D" w14:textId="77777777" w:rsidR="005014F9" w:rsidRDefault="005014F9">
            <w:pPr>
              <w:rPr>
                <w:sz w:val="20"/>
                <w:szCs w:val="20"/>
              </w:rPr>
            </w:pPr>
          </w:p>
        </w:tc>
      </w:tr>
      <w:tr w:rsidR="005014F9" w14:paraId="46260AF9" w14:textId="77777777" w:rsidTr="00717185">
        <w:trPr>
          <w:trHeight w:val="20"/>
        </w:trPr>
        <w:tc>
          <w:tcPr>
            <w:tcW w:w="3356" w:type="pct"/>
            <w:tcBorders>
              <w:top w:val="nil"/>
              <w:left w:val="nil"/>
              <w:bottom w:val="nil"/>
              <w:right w:val="nil"/>
            </w:tcBorders>
            <w:shd w:val="clear" w:color="auto" w:fill="auto"/>
            <w:noWrap/>
            <w:vAlign w:val="bottom"/>
            <w:hideMark/>
          </w:tcPr>
          <w:p w14:paraId="061A90C8" w14:textId="77777777" w:rsidR="005014F9" w:rsidRDefault="005014F9">
            <w:pPr>
              <w:rPr>
                <w:rFonts w:ascii="Calibri Light" w:hAnsi="Calibri Light" w:cs="Calibri Light"/>
                <w:b/>
                <w:bCs/>
                <w:color w:val="000000"/>
                <w:sz w:val="18"/>
                <w:szCs w:val="18"/>
              </w:rPr>
            </w:pPr>
            <w:r>
              <w:rPr>
                <w:rFonts w:ascii="Calibri Light" w:hAnsi="Calibri Light"/>
                <w:b/>
                <w:color w:val="000000"/>
                <w:sz w:val="18"/>
              </w:rPr>
              <w:t>Actif circulant</w:t>
            </w:r>
          </w:p>
        </w:tc>
        <w:tc>
          <w:tcPr>
            <w:tcW w:w="709" w:type="pct"/>
            <w:tcBorders>
              <w:top w:val="nil"/>
              <w:left w:val="nil"/>
              <w:bottom w:val="nil"/>
              <w:right w:val="nil"/>
            </w:tcBorders>
            <w:shd w:val="clear" w:color="auto" w:fill="auto"/>
            <w:noWrap/>
            <w:vAlign w:val="bottom"/>
            <w:hideMark/>
          </w:tcPr>
          <w:p w14:paraId="4430F5B0" w14:textId="77777777" w:rsidR="005014F9" w:rsidRDefault="005014F9">
            <w:pPr>
              <w:rPr>
                <w:rFonts w:ascii="Calibri Light" w:hAnsi="Calibri Light" w:cs="Calibri Light"/>
                <w:b/>
                <w:bCs/>
                <w:color w:val="000000"/>
                <w:sz w:val="18"/>
                <w:szCs w:val="18"/>
              </w:rPr>
            </w:pPr>
          </w:p>
        </w:tc>
        <w:tc>
          <w:tcPr>
            <w:tcW w:w="935" w:type="pct"/>
            <w:tcBorders>
              <w:top w:val="nil"/>
              <w:left w:val="nil"/>
              <w:bottom w:val="nil"/>
              <w:right w:val="nil"/>
            </w:tcBorders>
            <w:shd w:val="clear" w:color="auto" w:fill="auto"/>
            <w:noWrap/>
            <w:vAlign w:val="bottom"/>
            <w:hideMark/>
          </w:tcPr>
          <w:p w14:paraId="254E4126" w14:textId="77777777" w:rsidR="005014F9" w:rsidRDefault="005014F9">
            <w:pPr>
              <w:rPr>
                <w:sz w:val="20"/>
                <w:szCs w:val="20"/>
              </w:rPr>
            </w:pPr>
          </w:p>
        </w:tc>
      </w:tr>
      <w:tr w:rsidR="005014F9" w14:paraId="5E28BA48" w14:textId="77777777" w:rsidTr="00717185">
        <w:trPr>
          <w:trHeight w:val="20"/>
        </w:trPr>
        <w:tc>
          <w:tcPr>
            <w:tcW w:w="3356" w:type="pct"/>
            <w:tcBorders>
              <w:top w:val="nil"/>
              <w:left w:val="nil"/>
              <w:bottom w:val="nil"/>
              <w:right w:val="nil"/>
            </w:tcBorders>
            <w:shd w:val="clear" w:color="auto" w:fill="auto"/>
            <w:noWrap/>
            <w:vAlign w:val="bottom"/>
            <w:hideMark/>
          </w:tcPr>
          <w:p w14:paraId="3C7FC6D4" w14:textId="77777777" w:rsidR="005014F9" w:rsidRDefault="005014F9">
            <w:pPr>
              <w:rPr>
                <w:rFonts w:ascii="Calibri Light" w:hAnsi="Calibri Light" w:cs="Calibri Light"/>
                <w:color w:val="000000"/>
                <w:sz w:val="18"/>
                <w:szCs w:val="18"/>
              </w:rPr>
            </w:pPr>
            <w:r>
              <w:rPr>
                <w:rFonts w:ascii="Calibri Light" w:hAnsi="Calibri Light"/>
                <w:color w:val="000000"/>
                <w:sz w:val="18"/>
              </w:rPr>
              <w:t>Stocks</w:t>
            </w:r>
          </w:p>
        </w:tc>
        <w:tc>
          <w:tcPr>
            <w:tcW w:w="709" w:type="pct"/>
            <w:tcBorders>
              <w:top w:val="nil"/>
              <w:left w:val="nil"/>
              <w:bottom w:val="nil"/>
              <w:right w:val="nil"/>
            </w:tcBorders>
            <w:shd w:val="clear" w:color="auto" w:fill="auto"/>
            <w:noWrap/>
            <w:vAlign w:val="bottom"/>
            <w:hideMark/>
          </w:tcPr>
          <w:p w14:paraId="0CFB7ABA"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6 718 903</w:t>
            </w:r>
          </w:p>
        </w:tc>
        <w:tc>
          <w:tcPr>
            <w:tcW w:w="935" w:type="pct"/>
            <w:tcBorders>
              <w:top w:val="nil"/>
              <w:left w:val="nil"/>
              <w:bottom w:val="nil"/>
              <w:right w:val="nil"/>
            </w:tcBorders>
            <w:shd w:val="clear" w:color="auto" w:fill="auto"/>
            <w:noWrap/>
            <w:vAlign w:val="bottom"/>
            <w:hideMark/>
          </w:tcPr>
          <w:p w14:paraId="269FDE87"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7 320 936</w:t>
            </w:r>
          </w:p>
        </w:tc>
      </w:tr>
      <w:tr w:rsidR="005014F9" w14:paraId="2AFF1441" w14:textId="77777777" w:rsidTr="00717185">
        <w:trPr>
          <w:trHeight w:val="20"/>
        </w:trPr>
        <w:tc>
          <w:tcPr>
            <w:tcW w:w="3356" w:type="pct"/>
            <w:tcBorders>
              <w:top w:val="nil"/>
              <w:left w:val="nil"/>
              <w:bottom w:val="nil"/>
              <w:right w:val="nil"/>
            </w:tcBorders>
            <w:shd w:val="clear" w:color="auto" w:fill="auto"/>
            <w:noWrap/>
            <w:vAlign w:val="bottom"/>
            <w:hideMark/>
          </w:tcPr>
          <w:p w14:paraId="5B7F42CF" w14:textId="77777777" w:rsidR="005014F9" w:rsidRDefault="005014F9">
            <w:pPr>
              <w:rPr>
                <w:rFonts w:ascii="Calibri Light" w:hAnsi="Calibri Light" w:cs="Calibri Light"/>
                <w:color w:val="000000"/>
                <w:sz w:val="18"/>
                <w:szCs w:val="18"/>
              </w:rPr>
            </w:pPr>
            <w:r>
              <w:rPr>
                <w:rFonts w:ascii="Calibri Light" w:hAnsi="Calibri Light"/>
                <w:color w:val="000000"/>
                <w:sz w:val="18"/>
              </w:rPr>
              <w:t>Créances commerciales</w:t>
            </w:r>
          </w:p>
        </w:tc>
        <w:tc>
          <w:tcPr>
            <w:tcW w:w="709" w:type="pct"/>
            <w:tcBorders>
              <w:top w:val="nil"/>
              <w:left w:val="nil"/>
              <w:bottom w:val="nil"/>
              <w:right w:val="nil"/>
            </w:tcBorders>
            <w:shd w:val="clear" w:color="auto" w:fill="auto"/>
            <w:noWrap/>
            <w:vAlign w:val="bottom"/>
            <w:hideMark/>
          </w:tcPr>
          <w:p w14:paraId="3C32D332"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0</w:t>
            </w:r>
          </w:p>
        </w:tc>
        <w:tc>
          <w:tcPr>
            <w:tcW w:w="935" w:type="pct"/>
            <w:tcBorders>
              <w:top w:val="nil"/>
              <w:left w:val="nil"/>
              <w:bottom w:val="nil"/>
              <w:right w:val="nil"/>
            </w:tcBorders>
            <w:shd w:val="clear" w:color="auto" w:fill="auto"/>
            <w:noWrap/>
            <w:vAlign w:val="bottom"/>
            <w:hideMark/>
          </w:tcPr>
          <w:p w14:paraId="04DCF065"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34 447</w:t>
            </w:r>
          </w:p>
        </w:tc>
      </w:tr>
      <w:tr w:rsidR="005014F9" w14:paraId="1701CE2D" w14:textId="77777777" w:rsidTr="00717185">
        <w:trPr>
          <w:trHeight w:val="20"/>
        </w:trPr>
        <w:tc>
          <w:tcPr>
            <w:tcW w:w="3356" w:type="pct"/>
            <w:tcBorders>
              <w:top w:val="nil"/>
              <w:left w:val="nil"/>
              <w:bottom w:val="nil"/>
              <w:right w:val="nil"/>
            </w:tcBorders>
            <w:shd w:val="clear" w:color="auto" w:fill="auto"/>
            <w:noWrap/>
            <w:vAlign w:val="bottom"/>
            <w:hideMark/>
          </w:tcPr>
          <w:p w14:paraId="16B8D8FC" w14:textId="77777777" w:rsidR="005014F9" w:rsidRDefault="005014F9">
            <w:pPr>
              <w:rPr>
                <w:rFonts w:ascii="Calibri Light" w:hAnsi="Calibri Light" w:cs="Calibri Light"/>
                <w:color w:val="000000"/>
                <w:sz w:val="18"/>
                <w:szCs w:val="18"/>
              </w:rPr>
            </w:pPr>
            <w:r>
              <w:rPr>
                <w:rFonts w:ascii="Calibri Light" w:hAnsi="Calibri Light"/>
                <w:color w:val="000000"/>
                <w:sz w:val="18"/>
              </w:rPr>
              <w:t>Autres créances à court terme</w:t>
            </w:r>
          </w:p>
        </w:tc>
        <w:tc>
          <w:tcPr>
            <w:tcW w:w="709" w:type="pct"/>
            <w:tcBorders>
              <w:top w:val="nil"/>
              <w:left w:val="nil"/>
              <w:bottom w:val="nil"/>
              <w:right w:val="nil"/>
            </w:tcBorders>
            <w:shd w:val="clear" w:color="auto" w:fill="auto"/>
            <w:noWrap/>
            <w:vAlign w:val="bottom"/>
            <w:hideMark/>
          </w:tcPr>
          <w:p w14:paraId="4C68E714"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214 106</w:t>
            </w:r>
          </w:p>
        </w:tc>
        <w:tc>
          <w:tcPr>
            <w:tcW w:w="935" w:type="pct"/>
            <w:tcBorders>
              <w:top w:val="nil"/>
              <w:left w:val="nil"/>
              <w:bottom w:val="nil"/>
              <w:right w:val="nil"/>
            </w:tcBorders>
            <w:shd w:val="clear" w:color="auto" w:fill="auto"/>
            <w:noWrap/>
            <w:vAlign w:val="bottom"/>
            <w:hideMark/>
          </w:tcPr>
          <w:p w14:paraId="6F75D88F"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179 723</w:t>
            </w:r>
          </w:p>
        </w:tc>
      </w:tr>
      <w:tr w:rsidR="005014F9" w14:paraId="6719FFBC" w14:textId="77777777" w:rsidTr="00717185">
        <w:trPr>
          <w:trHeight w:val="20"/>
        </w:trPr>
        <w:tc>
          <w:tcPr>
            <w:tcW w:w="3356" w:type="pct"/>
            <w:tcBorders>
              <w:top w:val="nil"/>
              <w:left w:val="nil"/>
              <w:bottom w:val="nil"/>
              <w:right w:val="nil"/>
            </w:tcBorders>
            <w:shd w:val="clear" w:color="auto" w:fill="auto"/>
            <w:noWrap/>
            <w:vAlign w:val="bottom"/>
            <w:hideMark/>
          </w:tcPr>
          <w:p w14:paraId="3B4F614D" w14:textId="77777777" w:rsidR="005014F9" w:rsidRDefault="005014F9">
            <w:pPr>
              <w:rPr>
                <w:rFonts w:ascii="Calibri Light" w:hAnsi="Calibri Light" w:cs="Calibri Light"/>
                <w:color w:val="000000"/>
                <w:sz w:val="18"/>
                <w:szCs w:val="18"/>
              </w:rPr>
            </w:pPr>
            <w:r>
              <w:rPr>
                <w:rFonts w:ascii="Calibri Light" w:hAnsi="Calibri Light"/>
                <w:color w:val="000000"/>
                <w:sz w:val="18"/>
              </w:rPr>
              <w:t>Créances fiscales</w:t>
            </w:r>
          </w:p>
        </w:tc>
        <w:tc>
          <w:tcPr>
            <w:tcW w:w="709" w:type="pct"/>
            <w:tcBorders>
              <w:top w:val="nil"/>
              <w:left w:val="nil"/>
              <w:bottom w:val="nil"/>
              <w:right w:val="nil"/>
            </w:tcBorders>
            <w:shd w:val="clear" w:color="auto" w:fill="auto"/>
            <w:noWrap/>
            <w:vAlign w:val="bottom"/>
            <w:hideMark/>
          </w:tcPr>
          <w:p w14:paraId="6F548F5A"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1 321 711</w:t>
            </w:r>
          </w:p>
        </w:tc>
        <w:tc>
          <w:tcPr>
            <w:tcW w:w="935" w:type="pct"/>
            <w:tcBorders>
              <w:top w:val="nil"/>
              <w:left w:val="nil"/>
              <w:bottom w:val="nil"/>
              <w:right w:val="nil"/>
            </w:tcBorders>
            <w:shd w:val="clear" w:color="auto" w:fill="auto"/>
            <w:noWrap/>
            <w:vAlign w:val="bottom"/>
            <w:hideMark/>
          </w:tcPr>
          <w:p w14:paraId="1A0C5B5F"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15 473</w:t>
            </w:r>
          </w:p>
        </w:tc>
      </w:tr>
      <w:tr w:rsidR="005014F9" w14:paraId="4026ADCB" w14:textId="77777777" w:rsidTr="00717185">
        <w:trPr>
          <w:trHeight w:val="20"/>
        </w:trPr>
        <w:tc>
          <w:tcPr>
            <w:tcW w:w="3356" w:type="pct"/>
            <w:tcBorders>
              <w:top w:val="nil"/>
              <w:left w:val="nil"/>
              <w:bottom w:val="nil"/>
              <w:right w:val="nil"/>
            </w:tcBorders>
            <w:shd w:val="clear" w:color="auto" w:fill="auto"/>
            <w:noWrap/>
            <w:vAlign w:val="bottom"/>
            <w:hideMark/>
          </w:tcPr>
          <w:p w14:paraId="36ECB80E" w14:textId="77777777" w:rsidR="005014F9" w:rsidRDefault="005014F9">
            <w:pPr>
              <w:rPr>
                <w:rFonts w:ascii="Calibri Light" w:hAnsi="Calibri Light" w:cs="Calibri Light"/>
                <w:color w:val="000000"/>
                <w:sz w:val="18"/>
                <w:szCs w:val="18"/>
              </w:rPr>
            </w:pPr>
            <w:r>
              <w:rPr>
                <w:rFonts w:ascii="Calibri Light" w:hAnsi="Calibri Light"/>
                <w:color w:val="000000"/>
                <w:sz w:val="18"/>
              </w:rPr>
              <w:t>Trésorerie et équivalents de trésorerie</w:t>
            </w:r>
          </w:p>
        </w:tc>
        <w:tc>
          <w:tcPr>
            <w:tcW w:w="709" w:type="pct"/>
            <w:tcBorders>
              <w:top w:val="nil"/>
              <w:left w:val="nil"/>
              <w:bottom w:val="nil"/>
              <w:right w:val="nil"/>
            </w:tcBorders>
            <w:shd w:val="clear" w:color="auto" w:fill="auto"/>
            <w:noWrap/>
            <w:vAlign w:val="bottom"/>
            <w:hideMark/>
          </w:tcPr>
          <w:p w14:paraId="325DBA97"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11 927 343</w:t>
            </w:r>
          </w:p>
        </w:tc>
        <w:tc>
          <w:tcPr>
            <w:tcW w:w="935" w:type="pct"/>
            <w:tcBorders>
              <w:top w:val="nil"/>
              <w:left w:val="nil"/>
              <w:bottom w:val="nil"/>
              <w:right w:val="nil"/>
            </w:tcBorders>
            <w:shd w:val="clear" w:color="auto" w:fill="auto"/>
            <w:noWrap/>
            <w:vAlign w:val="bottom"/>
            <w:hideMark/>
          </w:tcPr>
          <w:p w14:paraId="50CC13F6"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11 798 400</w:t>
            </w:r>
          </w:p>
        </w:tc>
      </w:tr>
      <w:tr w:rsidR="005014F9" w14:paraId="4551C7B8" w14:textId="77777777" w:rsidTr="00717185">
        <w:trPr>
          <w:trHeight w:val="20"/>
        </w:trPr>
        <w:tc>
          <w:tcPr>
            <w:tcW w:w="3356" w:type="pct"/>
            <w:tcBorders>
              <w:top w:val="nil"/>
              <w:left w:val="nil"/>
              <w:bottom w:val="nil"/>
              <w:right w:val="nil"/>
            </w:tcBorders>
            <w:shd w:val="clear" w:color="auto" w:fill="auto"/>
            <w:noWrap/>
            <w:vAlign w:val="bottom"/>
            <w:hideMark/>
          </w:tcPr>
          <w:p w14:paraId="26E60E07" w14:textId="77777777" w:rsidR="005014F9" w:rsidRDefault="005014F9">
            <w:pPr>
              <w:rPr>
                <w:rFonts w:ascii="Calibri Light" w:hAnsi="Calibri Light" w:cs="Calibri Light"/>
                <w:b/>
                <w:bCs/>
                <w:color w:val="000000"/>
                <w:sz w:val="18"/>
                <w:szCs w:val="18"/>
              </w:rPr>
            </w:pPr>
            <w:r>
              <w:rPr>
                <w:rFonts w:ascii="Calibri Light" w:hAnsi="Calibri Light"/>
                <w:b/>
                <w:color w:val="000000"/>
                <w:sz w:val="18"/>
              </w:rPr>
              <w:t>TOTAL ACTIF CIRCULANT</w:t>
            </w:r>
          </w:p>
        </w:tc>
        <w:tc>
          <w:tcPr>
            <w:tcW w:w="709" w:type="pct"/>
            <w:tcBorders>
              <w:top w:val="single" w:sz="4" w:space="0" w:color="auto"/>
              <w:left w:val="nil"/>
              <w:bottom w:val="nil"/>
              <w:right w:val="nil"/>
            </w:tcBorders>
            <w:shd w:val="clear" w:color="auto" w:fill="auto"/>
            <w:noWrap/>
            <w:vAlign w:val="bottom"/>
            <w:hideMark/>
          </w:tcPr>
          <w:p w14:paraId="62B4EEBE"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20 182 063</w:t>
            </w:r>
          </w:p>
        </w:tc>
        <w:tc>
          <w:tcPr>
            <w:tcW w:w="935" w:type="pct"/>
            <w:tcBorders>
              <w:top w:val="single" w:sz="4" w:space="0" w:color="auto"/>
              <w:left w:val="nil"/>
              <w:bottom w:val="nil"/>
              <w:right w:val="nil"/>
            </w:tcBorders>
            <w:shd w:val="clear" w:color="auto" w:fill="auto"/>
            <w:noWrap/>
            <w:vAlign w:val="bottom"/>
            <w:hideMark/>
          </w:tcPr>
          <w:p w14:paraId="5237E4CF"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19 348 979</w:t>
            </w:r>
          </w:p>
        </w:tc>
      </w:tr>
      <w:tr w:rsidR="005014F9" w14:paraId="12BB9194" w14:textId="77777777" w:rsidTr="00717185">
        <w:trPr>
          <w:trHeight w:val="20"/>
        </w:trPr>
        <w:tc>
          <w:tcPr>
            <w:tcW w:w="3356" w:type="pct"/>
            <w:tcBorders>
              <w:top w:val="nil"/>
              <w:left w:val="nil"/>
              <w:bottom w:val="nil"/>
              <w:right w:val="nil"/>
            </w:tcBorders>
            <w:shd w:val="clear" w:color="auto" w:fill="auto"/>
            <w:noWrap/>
            <w:vAlign w:val="bottom"/>
            <w:hideMark/>
          </w:tcPr>
          <w:p w14:paraId="6D67B49C" w14:textId="77777777" w:rsidR="005014F9" w:rsidRDefault="005014F9">
            <w:pPr>
              <w:jc w:val="right"/>
              <w:rPr>
                <w:rFonts w:ascii="Calibri Light" w:hAnsi="Calibri Light" w:cs="Calibri Light"/>
                <w:b/>
                <w:bCs/>
                <w:color w:val="000000"/>
                <w:sz w:val="18"/>
                <w:szCs w:val="18"/>
              </w:rPr>
            </w:pPr>
          </w:p>
        </w:tc>
        <w:tc>
          <w:tcPr>
            <w:tcW w:w="709" w:type="pct"/>
            <w:tcBorders>
              <w:top w:val="nil"/>
              <w:left w:val="nil"/>
              <w:bottom w:val="nil"/>
              <w:right w:val="nil"/>
            </w:tcBorders>
            <w:shd w:val="clear" w:color="auto" w:fill="auto"/>
            <w:noWrap/>
            <w:vAlign w:val="bottom"/>
            <w:hideMark/>
          </w:tcPr>
          <w:p w14:paraId="3E88AB8D" w14:textId="77777777" w:rsidR="005014F9" w:rsidRDefault="005014F9">
            <w:pPr>
              <w:rPr>
                <w:sz w:val="20"/>
                <w:szCs w:val="20"/>
              </w:rPr>
            </w:pPr>
          </w:p>
        </w:tc>
        <w:tc>
          <w:tcPr>
            <w:tcW w:w="935" w:type="pct"/>
            <w:tcBorders>
              <w:top w:val="nil"/>
              <w:left w:val="nil"/>
              <w:bottom w:val="nil"/>
              <w:right w:val="nil"/>
            </w:tcBorders>
            <w:shd w:val="clear" w:color="auto" w:fill="auto"/>
            <w:noWrap/>
            <w:vAlign w:val="bottom"/>
            <w:hideMark/>
          </w:tcPr>
          <w:p w14:paraId="1C2A02D6" w14:textId="77777777" w:rsidR="005014F9" w:rsidRDefault="005014F9">
            <w:pPr>
              <w:rPr>
                <w:sz w:val="20"/>
                <w:szCs w:val="20"/>
              </w:rPr>
            </w:pPr>
          </w:p>
        </w:tc>
      </w:tr>
      <w:tr w:rsidR="005014F9" w14:paraId="7684D0D1" w14:textId="77777777" w:rsidTr="00717185">
        <w:trPr>
          <w:trHeight w:val="20"/>
        </w:trPr>
        <w:tc>
          <w:tcPr>
            <w:tcW w:w="3356" w:type="pct"/>
            <w:tcBorders>
              <w:top w:val="nil"/>
              <w:left w:val="nil"/>
              <w:bottom w:val="nil"/>
              <w:right w:val="nil"/>
            </w:tcBorders>
            <w:shd w:val="clear" w:color="auto" w:fill="auto"/>
            <w:noWrap/>
            <w:vAlign w:val="bottom"/>
            <w:hideMark/>
          </w:tcPr>
          <w:p w14:paraId="40CC9955" w14:textId="77777777" w:rsidR="005014F9" w:rsidRDefault="005014F9">
            <w:pPr>
              <w:rPr>
                <w:rFonts w:ascii="Calibri Light" w:hAnsi="Calibri Light" w:cs="Calibri Light"/>
                <w:b/>
                <w:bCs/>
                <w:color w:val="000000"/>
                <w:sz w:val="18"/>
                <w:szCs w:val="18"/>
              </w:rPr>
            </w:pPr>
            <w:r>
              <w:rPr>
                <w:rFonts w:ascii="Calibri Light" w:hAnsi="Calibri Light"/>
                <w:b/>
                <w:color w:val="000000"/>
                <w:sz w:val="18"/>
              </w:rPr>
              <w:t>TOTAL ACTIF</w:t>
            </w:r>
          </w:p>
        </w:tc>
        <w:tc>
          <w:tcPr>
            <w:tcW w:w="709" w:type="pct"/>
            <w:tcBorders>
              <w:top w:val="single" w:sz="4" w:space="0" w:color="auto"/>
              <w:left w:val="nil"/>
              <w:bottom w:val="single" w:sz="8" w:space="0" w:color="auto"/>
              <w:right w:val="nil"/>
            </w:tcBorders>
            <w:shd w:val="clear" w:color="auto" w:fill="auto"/>
            <w:noWrap/>
            <w:vAlign w:val="bottom"/>
            <w:hideMark/>
          </w:tcPr>
          <w:p w14:paraId="04231F0F"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28 974 133</w:t>
            </w:r>
          </w:p>
        </w:tc>
        <w:tc>
          <w:tcPr>
            <w:tcW w:w="935" w:type="pct"/>
            <w:tcBorders>
              <w:top w:val="single" w:sz="4" w:space="0" w:color="auto"/>
              <w:left w:val="nil"/>
              <w:bottom w:val="single" w:sz="8" w:space="0" w:color="auto"/>
              <w:right w:val="nil"/>
            </w:tcBorders>
            <w:shd w:val="clear" w:color="auto" w:fill="auto"/>
            <w:noWrap/>
            <w:vAlign w:val="bottom"/>
            <w:hideMark/>
          </w:tcPr>
          <w:p w14:paraId="526B395F"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29 299 809</w:t>
            </w:r>
          </w:p>
        </w:tc>
      </w:tr>
      <w:tr w:rsidR="005014F9" w14:paraId="2AF35D01" w14:textId="77777777" w:rsidTr="00717185">
        <w:trPr>
          <w:trHeight w:val="20"/>
        </w:trPr>
        <w:tc>
          <w:tcPr>
            <w:tcW w:w="3356" w:type="pct"/>
            <w:tcBorders>
              <w:top w:val="nil"/>
              <w:left w:val="nil"/>
              <w:bottom w:val="nil"/>
              <w:right w:val="nil"/>
            </w:tcBorders>
            <w:shd w:val="clear" w:color="auto" w:fill="auto"/>
            <w:noWrap/>
            <w:vAlign w:val="bottom"/>
            <w:hideMark/>
          </w:tcPr>
          <w:p w14:paraId="604BE3ED" w14:textId="77777777" w:rsidR="005014F9" w:rsidRDefault="005014F9">
            <w:pPr>
              <w:jc w:val="right"/>
              <w:rPr>
                <w:rFonts w:ascii="Calibri Light" w:hAnsi="Calibri Light" w:cs="Calibri Light"/>
                <w:b/>
                <w:bCs/>
                <w:color w:val="000000"/>
                <w:sz w:val="18"/>
                <w:szCs w:val="18"/>
              </w:rPr>
            </w:pPr>
          </w:p>
        </w:tc>
        <w:tc>
          <w:tcPr>
            <w:tcW w:w="709" w:type="pct"/>
            <w:tcBorders>
              <w:top w:val="nil"/>
              <w:left w:val="nil"/>
              <w:bottom w:val="nil"/>
              <w:right w:val="nil"/>
            </w:tcBorders>
            <w:shd w:val="clear" w:color="auto" w:fill="auto"/>
            <w:noWrap/>
            <w:vAlign w:val="bottom"/>
            <w:hideMark/>
          </w:tcPr>
          <w:p w14:paraId="5A73DAA1" w14:textId="77777777" w:rsidR="005014F9" w:rsidRDefault="005014F9">
            <w:pPr>
              <w:rPr>
                <w:sz w:val="20"/>
                <w:szCs w:val="20"/>
              </w:rPr>
            </w:pPr>
          </w:p>
        </w:tc>
        <w:tc>
          <w:tcPr>
            <w:tcW w:w="935" w:type="pct"/>
            <w:tcBorders>
              <w:top w:val="nil"/>
              <w:left w:val="nil"/>
              <w:bottom w:val="nil"/>
              <w:right w:val="nil"/>
            </w:tcBorders>
            <w:shd w:val="clear" w:color="auto" w:fill="auto"/>
            <w:noWrap/>
            <w:vAlign w:val="bottom"/>
            <w:hideMark/>
          </w:tcPr>
          <w:p w14:paraId="29974308" w14:textId="77777777" w:rsidR="005014F9" w:rsidRDefault="005014F9">
            <w:pPr>
              <w:rPr>
                <w:sz w:val="20"/>
                <w:szCs w:val="20"/>
              </w:rPr>
            </w:pPr>
          </w:p>
        </w:tc>
      </w:tr>
      <w:tr w:rsidR="005014F9" w14:paraId="08FEDF6D" w14:textId="77777777" w:rsidTr="00717185">
        <w:trPr>
          <w:trHeight w:val="20"/>
        </w:trPr>
        <w:tc>
          <w:tcPr>
            <w:tcW w:w="3356" w:type="pct"/>
            <w:tcBorders>
              <w:top w:val="nil"/>
              <w:left w:val="nil"/>
              <w:bottom w:val="nil"/>
              <w:right w:val="nil"/>
            </w:tcBorders>
            <w:shd w:val="clear" w:color="auto" w:fill="auto"/>
            <w:noWrap/>
            <w:vAlign w:val="bottom"/>
            <w:hideMark/>
          </w:tcPr>
          <w:p w14:paraId="5543B3B2" w14:textId="77777777" w:rsidR="005014F9" w:rsidRDefault="005014F9">
            <w:pPr>
              <w:rPr>
                <w:rFonts w:ascii="Calibri Light" w:hAnsi="Calibri Light" w:cs="Calibri Light"/>
                <w:b/>
                <w:bCs/>
                <w:sz w:val="18"/>
                <w:szCs w:val="18"/>
              </w:rPr>
            </w:pPr>
            <w:r>
              <w:rPr>
                <w:rFonts w:ascii="Calibri Light" w:hAnsi="Calibri Light"/>
                <w:b/>
                <w:sz w:val="18"/>
              </w:rPr>
              <w:t xml:space="preserve">CAPITAUX PROPRES </w:t>
            </w:r>
          </w:p>
        </w:tc>
        <w:tc>
          <w:tcPr>
            <w:tcW w:w="709" w:type="pct"/>
            <w:tcBorders>
              <w:top w:val="nil"/>
              <w:left w:val="nil"/>
              <w:bottom w:val="nil"/>
              <w:right w:val="nil"/>
            </w:tcBorders>
            <w:shd w:val="clear" w:color="auto" w:fill="auto"/>
            <w:noWrap/>
            <w:vAlign w:val="bottom"/>
            <w:hideMark/>
          </w:tcPr>
          <w:p w14:paraId="2151A6AE" w14:textId="77777777" w:rsidR="005014F9" w:rsidRDefault="005014F9">
            <w:pPr>
              <w:rPr>
                <w:rFonts w:ascii="Calibri Light" w:hAnsi="Calibri Light" w:cs="Calibri Light"/>
                <w:b/>
                <w:bCs/>
                <w:sz w:val="18"/>
                <w:szCs w:val="18"/>
              </w:rPr>
            </w:pPr>
          </w:p>
        </w:tc>
        <w:tc>
          <w:tcPr>
            <w:tcW w:w="935" w:type="pct"/>
            <w:tcBorders>
              <w:top w:val="nil"/>
              <w:left w:val="nil"/>
              <w:bottom w:val="nil"/>
              <w:right w:val="nil"/>
            </w:tcBorders>
            <w:shd w:val="clear" w:color="auto" w:fill="auto"/>
            <w:noWrap/>
            <w:vAlign w:val="bottom"/>
            <w:hideMark/>
          </w:tcPr>
          <w:p w14:paraId="54743415" w14:textId="77777777" w:rsidR="005014F9" w:rsidRDefault="005014F9">
            <w:pPr>
              <w:rPr>
                <w:sz w:val="20"/>
                <w:szCs w:val="20"/>
              </w:rPr>
            </w:pPr>
          </w:p>
        </w:tc>
      </w:tr>
      <w:tr w:rsidR="005014F9" w14:paraId="0B03DDBF" w14:textId="77777777" w:rsidTr="00717185">
        <w:trPr>
          <w:trHeight w:val="20"/>
        </w:trPr>
        <w:tc>
          <w:tcPr>
            <w:tcW w:w="3356" w:type="pct"/>
            <w:tcBorders>
              <w:top w:val="nil"/>
              <w:left w:val="nil"/>
              <w:bottom w:val="nil"/>
              <w:right w:val="nil"/>
            </w:tcBorders>
            <w:shd w:val="clear" w:color="auto" w:fill="auto"/>
            <w:noWrap/>
            <w:vAlign w:val="bottom"/>
            <w:hideMark/>
          </w:tcPr>
          <w:p w14:paraId="34CE0B40" w14:textId="77777777" w:rsidR="005014F9" w:rsidRDefault="005014F9">
            <w:pPr>
              <w:rPr>
                <w:rFonts w:ascii="Calibri Light" w:hAnsi="Calibri Light" w:cs="Calibri Light"/>
                <w:sz w:val="18"/>
                <w:szCs w:val="18"/>
              </w:rPr>
            </w:pPr>
            <w:r>
              <w:rPr>
                <w:rFonts w:ascii="Calibri Light" w:hAnsi="Calibri Light"/>
                <w:sz w:val="18"/>
              </w:rPr>
              <w:t>Capital social</w:t>
            </w:r>
          </w:p>
        </w:tc>
        <w:tc>
          <w:tcPr>
            <w:tcW w:w="709" w:type="pct"/>
            <w:tcBorders>
              <w:top w:val="nil"/>
              <w:left w:val="nil"/>
              <w:bottom w:val="nil"/>
              <w:right w:val="nil"/>
            </w:tcBorders>
            <w:shd w:val="clear" w:color="auto" w:fill="auto"/>
            <w:noWrap/>
            <w:vAlign w:val="bottom"/>
            <w:hideMark/>
          </w:tcPr>
          <w:p w14:paraId="5F9267FF"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1 000 000</w:t>
            </w:r>
          </w:p>
        </w:tc>
        <w:tc>
          <w:tcPr>
            <w:tcW w:w="935" w:type="pct"/>
            <w:tcBorders>
              <w:top w:val="nil"/>
              <w:left w:val="nil"/>
              <w:bottom w:val="nil"/>
              <w:right w:val="nil"/>
            </w:tcBorders>
            <w:shd w:val="clear" w:color="auto" w:fill="auto"/>
            <w:noWrap/>
            <w:vAlign w:val="bottom"/>
            <w:hideMark/>
          </w:tcPr>
          <w:p w14:paraId="0EAC81FF"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1 000 000</w:t>
            </w:r>
          </w:p>
        </w:tc>
      </w:tr>
      <w:tr w:rsidR="005014F9" w14:paraId="1F6499F6" w14:textId="77777777" w:rsidTr="00717185">
        <w:trPr>
          <w:trHeight w:val="20"/>
        </w:trPr>
        <w:tc>
          <w:tcPr>
            <w:tcW w:w="3356" w:type="pct"/>
            <w:tcBorders>
              <w:top w:val="nil"/>
              <w:left w:val="nil"/>
              <w:bottom w:val="nil"/>
              <w:right w:val="nil"/>
            </w:tcBorders>
            <w:shd w:val="clear" w:color="auto" w:fill="auto"/>
            <w:noWrap/>
            <w:vAlign w:val="bottom"/>
            <w:hideMark/>
          </w:tcPr>
          <w:p w14:paraId="2E5E8E27" w14:textId="77777777" w:rsidR="005014F9" w:rsidRDefault="005014F9">
            <w:pPr>
              <w:rPr>
                <w:rFonts w:ascii="Calibri Light" w:hAnsi="Calibri Light" w:cs="Calibri Light"/>
                <w:sz w:val="18"/>
                <w:szCs w:val="18"/>
              </w:rPr>
            </w:pPr>
            <w:r>
              <w:rPr>
                <w:rFonts w:ascii="Calibri Light" w:hAnsi="Calibri Light"/>
                <w:sz w:val="18"/>
              </w:rPr>
              <w:t>Réserve légale</w:t>
            </w:r>
          </w:p>
        </w:tc>
        <w:tc>
          <w:tcPr>
            <w:tcW w:w="709" w:type="pct"/>
            <w:tcBorders>
              <w:top w:val="nil"/>
              <w:left w:val="nil"/>
              <w:bottom w:val="nil"/>
              <w:right w:val="nil"/>
            </w:tcBorders>
            <w:shd w:val="clear" w:color="auto" w:fill="auto"/>
            <w:noWrap/>
            <w:vAlign w:val="bottom"/>
            <w:hideMark/>
          </w:tcPr>
          <w:p w14:paraId="7C80369F"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200 000</w:t>
            </w:r>
          </w:p>
        </w:tc>
        <w:tc>
          <w:tcPr>
            <w:tcW w:w="935" w:type="pct"/>
            <w:tcBorders>
              <w:top w:val="nil"/>
              <w:left w:val="nil"/>
              <w:bottom w:val="nil"/>
              <w:right w:val="nil"/>
            </w:tcBorders>
            <w:shd w:val="clear" w:color="auto" w:fill="auto"/>
            <w:noWrap/>
            <w:vAlign w:val="bottom"/>
            <w:hideMark/>
          </w:tcPr>
          <w:p w14:paraId="5DBC6467"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154 066</w:t>
            </w:r>
          </w:p>
        </w:tc>
      </w:tr>
      <w:tr w:rsidR="005014F9" w14:paraId="125C1B4B" w14:textId="77777777" w:rsidTr="00717185">
        <w:trPr>
          <w:trHeight w:val="20"/>
        </w:trPr>
        <w:tc>
          <w:tcPr>
            <w:tcW w:w="3356" w:type="pct"/>
            <w:tcBorders>
              <w:top w:val="nil"/>
              <w:left w:val="nil"/>
              <w:bottom w:val="nil"/>
              <w:right w:val="nil"/>
            </w:tcBorders>
            <w:shd w:val="clear" w:color="auto" w:fill="auto"/>
            <w:noWrap/>
            <w:vAlign w:val="bottom"/>
            <w:hideMark/>
          </w:tcPr>
          <w:p w14:paraId="71734456" w14:textId="77777777" w:rsidR="005014F9" w:rsidRDefault="005014F9">
            <w:pPr>
              <w:rPr>
                <w:rFonts w:ascii="Calibri Light" w:hAnsi="Calibri Light" w:cs="Calibri Light"/>
                <w:sz w:val="18"/>
                <w:szCs w:val="18"/>
              </w:rPr>
            </w:pPr>
            <w:r>
              <w:rPr>
                <w:rFonts w:ascii="Calibri Light" w:hAnsi="Calibri Light"/>
                <w:sz w:val="18"/>
              </w:rPr>
              <w:t>Réserve pour écarts de conversion</w:t>
            </w:r>
          </w:p>
        </w:tc>
        <w:tc>
          <w:tcPr>
            <w:tcW w:w="709" w:type="pct"/>
            <w:tcBorders>
              <w:top w:val="nil"/>
              <w:left w:val="nil"/>
              <w:bottom w:val="nil"/>
              <w:right w:val="nil"/>
            </w:tcBorders>
            <w:shd w:val="clear" w:color="auto" w:fill="auto"/>
            <w:noWrap/>
            <w:vAlign w:val="bottom"/>
            <w:hideMark/>
          </w:tcPr>
          <w:p w14:paraId="6E118C81"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2 440 366</w:t>
            </w:r>
          </w:p>
        </w:tc>
        <w:tc>
          <w:tcPr>
            <w:tcW w:w="935" w:type="pct"/>
            <w:tcBorders>
              <w:top w:val="nil"/>
              <w:left w:val="nil"/>
              <w:bottom w:val="nil"/>
              <w:right w:val="nil"/>
            </w:tcBorders>
            <w:shd w:val="clear" w:color="auto" w:fill="auto"/>
            <w:noWrap/>
            <w:vAlign w:val="bottom"/>
            <w:hideMark/>
          </w:tcPr>
          <w:p w14:paraId="3248150B"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2 440 366</w:t>
            </w:r>
          </w:p>
        </w:tc>
      </w:tr>
      <w:tr w:rsidR="005014F9" w14:paraId="5A05D5F9" w14:textId="77777777" w:rsidTr="00717185">
        <w:trPr>
          <w:trHeight w:val="20"/>
        </w:trPr>
        <w:tc>
          <w:tcPr>
            <w:tcW w:w="3356" w:type="pct"/>
            <w:tcBorders>
              <w:top w:val="nil"/>
              <w:left w:val="nil"/>
              <w:bottom w:val="nil"/>
              <w:right w:val="nil"/>
            </w:tcBorders>
            <w:shd w:val="clear" w:color="auto" w:fill="auto"/>
            <w:noWrap/>
            <w:vAlign w:val="bottom"/>
            <w:hideMark/>
          </w:tcPr>
          <w:p w14:paraId="728FCCFB" w14:textId="77777777" w:rsidR="005014F9" w:rsidRDefault="005014F9">
            <w:pPr>
              <w:rPr>
                <w:rFonts w:ascii="Calibri Light" w:hAnsi="Calibri Light" w:cs="Calibri Light"/>
                <w:sz w:val="18"/>
                <w:szCs w:val="18"/>
              </w:rPr>
            </w:pPr>
            <w:r>
              <w:rPr>
                <w:rFonts w:ascii="Calibri Light" w:hAnsi="Calibri Light"/>
                <w:sz w:val="18"/>
              </w:rPr>
              <w:t>Autres réserves</w:t>
            </w:r>
          </w:p>
        </w:tc>
        <w:tc>
          <w:tcPr>
            <w:tcW w:w="709" w:type="pct"/>
            <w:tcBorders>
              <w:top w:val="nil"/>
              <w:left w:val="nil"/>
              <w:bottom w:val="nil"/>
              <w:right w:val="nil"/>
            </w:tcBorders>
            <w:shd w:val="clear" w:color="auto" w:fill="auto"/>
            <w:noWrap/>
            <w:vAlign w:val="bottom"/>
            <w:hideMark/>
          </w:tcPr>
          <w:p w14:paraId="11B7B6FE"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2 268 668</w:t>
            </w:r>
          </w:p>
        </w:tc>
        <w:tc>
          <w:tcPr>
            <w:tcW w:w="935" w:type="pct"/>
            <w:tcBorders>
              <w:top w:val="nil"/>
              <w:left w:val="nil"/>
              <w:bottom w:val="nil"/>
              <w:right w:val="nil"/>
            </w:tcBorders>
            <w:shd w:val="clear" w:color="auto" w:fill="auto"/>
            <w:noWrap/>
            <w:vAlign w:val="bottom"/>
            <w:hideMark/>
          </w:tcPr>
          <w:p w14:paraId="4FF3E0D9"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2 866 269</w:t>
            </w:r>
          </w:p>
        </w:tc>
      </w:tr>
      <w:tr w:rsidR="005014F9" w14:paraId="47A1D0E1" w14:textId="77777777" w:rsidTr="00717185">
        <w:trPr>
          <w:trHeight w:val="20"/>
        </w:trPr>
        <w:tc>
          <w:tcPr>
            <w:tcW w:w="3356" w:type="pct"/>
            <w:tcBorders>
              <w:top w:val="nil"/>
              <w:left w:val="nil"/>
              <w:bottom w:val="nil"/>
              <w:right w:val="nil"/>
            </w:tcBorders>
            <w:shd w:val="clear" w:color="auto" w:fill="auto"/>
            <w:noWrap/>
            <w:vAlign w:val="bottom"/>
            <w:hideMark/>
          </w:tcPr>
          <w:p w14:paraId="2CEE95F0" w14:textId="77777777" w:rsidR="005014F9" w:rsidRDefault="005014F9">
            <w:pPr>
              <w:rPr>
                <w:rFonts w:ascii="Calibri Light" w:hAnsi="Calibri Light" w:cs="Calibri Light"/>
                <w:sz w:val="18"/>
                <w:szCs w:val="18"/>
              </w:rPr>
            </w:pPr>
            <w:r>
              <w:rPr>
                <w:rFonts w:ascii="Calibri Light" w:hAnsi="Calibri Light"/>
                <w:sz w:val="18"/>
              </w:rPr>
              <w:t>Réserve pour les régimes de prévoyance (OCI) - actualisée</w:t>
            </w:r>
          </w:p>
        </w:tc>
        <w:tc>
          <w:tcPr>
            <w:tcW w:w="709" w:type="pct"/>
            <w:tcBorders>
              <w:top w:val="nil"/>
              <w:left w:val="nil"/>
              <w:bottom w:val="nil"/>
              <w:right w:val="nil"/>
            </w:tcBorders>
            <w:shd w:val="clear" w:color="auto" w:fill="auto"/>
            <w:noWrap/>
            <w:vAlign w:val="bottom"/>
            <w:hideMark/>
          </w:tcPr>
          <w:p w14:paraId="57FAE1EA"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(123 840)</w:t>
            </w:r>
          </w:p>
        </w:tc>
        <w:tc>
          <w:tcPr>
            <w:tcW w:w="935" w:type="pct"/>
            <w:tcBorders>
              <w:top w:val="nil"/>
              <w:left w:val="nil"/>
              <w:bottom w:val="nil"/>
              <w:right w:val="nil"/>
            </w:tcBorders>
            <w:shd w:val="clear" w:color="auto" w:fill="auto"/>
            <w:noWrap/>
            <w:vAlign w:val="bottom"/>
            <w:hideMark/>
          </w:tcPr>
          <w:p w14:paraId="4EB9C405"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(122 345)</w:t>
            </w:r>
          </w:p>
        </w:tc>
      </w:tr>
      <w:tr w:rsidR="005014F9" w14:paraId="1B2FF9B9" w14:textId="77777777" w:rsidTr="00717185">
        <w:trPr>
          <w:trHeight w:val="20"/>
        </w:trPr>
        <w:tc>
          <w:tcPr>
            <w:tcW w:w="3356" w:type="pct"/>
            <w:tcBorders>
              <w:top w:val="nil"/>
              <w:left w:val="nil"/>
              <w:bottom w:val="nil"/>
              <w:right w:val="nil"/>
            </w:tcBorders>
            <w:shd w:val="clear" w:color="auto" w:fill="auto"/>
            <w:noWrap/>
            <w:vAlign w:val="bottom"/>
            <w:hideMark/>
          </w:tcPr>
          <w:p w14:paraId="25D71225" w14:textId="77777777" w:rsidR="005014F9" w:rsidRDefault="005014F9">
            <w:pPr>
              <w:rPr>
                <w:rFonts w:ascii="Calibri Light" w:hAnsi="Calibri Light" w:cs="Calibri Light"/>
                <w:sz w:val="18"/>
                <w:szCs w:val="18"/>
              </w:rPr>
            </w:pPr>
            <w:r>
              <w:rPr>
                <w:rFonts w:ascii="Calibri Light" w:hAnsi="Calibri Light"/>
                <w:sz w:val="18"/>
              </w:rPr>
              <w:t>Bénéfices/pertes des périodes précédentes</w:t>
            </w:r>
          </w:p>
        </w:tc>
        <w:tc>
          <w:tcPr>
            <w:tcW w:w="709" w:type="pct"/>
            <w:tcBorders>
              <w:top w:val="nil"/>
              <w:left w:val="nil"/>
              <w:bottom w:val="nil"/>
              <w:right w:val="nil"/>
            </w:tcBorders>
            <w:shd w:val="clear" w:color="auto" w:fill="auto"/>
            <w:noWrap/>
            <w:vAlign w:val="bottom"/>
            <w:hideMark/>
          </w:tcPr>
          <w:p w14:paraId="46DFD714"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0</w:t>
            </w:r>
          </w:p>
        </w:tc>
        <w:tc>
          <w:tcPr>
            <w:tcW w:w="935" w:type="pct"/>
            <w:tcBorders>
              <w:top w:val="nil"/>
              <w:left w:val="nil"/>
              <w:bottom w:val="nil"/>
              <w:right w:val="nil"/>
            </w:tcBorders>
            <w:shd w:val="clear" w:color="auto" w:fill="auto"/>
            <w:noWrap/>
            <w:vAlign w:val="bottom"/>
            <w:hideMark/>
          </w:tcPr>
          <w:p w14:paraId="144AF89A"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758 491</w:t>
            </w:r>
          </w:p>
        </w:tc>
      </w:tr>
      <w:tr w:rsidR="005014F9" w14:paraId="6F557462" w14:textId="77777777" w:rsidTr="00717185">
        <w:trPr>
          <w:trHeight w:val="20"/>
        </w:trPr>
        <w:tc>
          <w:tcPr>
            <w:tcW w:w="3356" w:type="pct"/>
            <w:tcBorders>
              <w:top w:val="nil"/>
              <w:left w:val="nil"/>
              <w:bottom w:val="nil"/>
              <w:right w:val="nil"/>
            </w:tcBorders>
            <w:shd w:val="clear" w:color="auto" w:fill="auto"/>
            <w:noWrap/>
            <w:vAlign w:val="bottom"/>
            <w:hideMark/>
          </w:tcPr>
          <w:p w14:paraId="1A8BF684" w14:textId="77777777" w:rsidR="005014F9" w:rsidRDefault="005014F9">
            <w:pPr>
              <w:rPr>
                <w:rFonts w:ascii="Calibri Light" w:hAnsi="Calibri Light" w:cs="Calibri Light"/>
                <w:sz w:val="18"/>
                <w:szCs w:val="18"/>
              </w:rPr>
            </w:pPr>
            <w:r>
              <w:rPr>
                <w:rFonts w:ascii="Calibri Light" w:hAnsi="Calibri Light"/>
                <w:sz w:val="18"/>
              </w:rPr>
              <w:t>Résultat pour la période</w:t>
            </w:r>
          </w:p>
        </w:tc>
        <w:tc>
          <w:tcPr>
            <w:tcW w:w="709" w:type="pct"/>
            <w:tcBorders>
              <w:top w:val="nil"/>
              <w:left w:val="nil"/>
              <w:bottom w:val="nil"/>
              <w:right w:val="nil"/>
            </w:tcBorders>
            <w:shd w:val="clear" w:color="auto" w:fill="auto"/>
            <w:noWrap/>
            <w:vAlign w:val="bottom"/>
            <w:hideMark/>
          </w:tcPr>
          <w:p w14:paraId="067CE44C"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1 215 553</w:t>
            </w:r>
          </w:p>
        </w:tc>
        <w:tc>
          <w:tcPr>
            <w:tcW w:w="935" w:type="pct"/>
            <w:tcBorders>
              <w:top w:val="nil"/>
              <w:left w:val="nil"/>
              <w:bottom w:val="nil"/>
              <w:right w:val="nil"/>
            </w:tcBorders>
            <w:shd w:val="clear" w:color="auto" w:fill="auto"/>
            <w:noWrap/>
            <w:vAlign w:val="bottom"/>
            <w:hideMark/>
          </w:tcPr>
          <w:p w14:paraId="004EEFE2"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1 189 841</w:t>
            </w:r>
          </w:p>
        </w:tc>
      </w:tr>
      <w:tr w:rsidR="005014F9" w14:paraId="36AA4F48" w14:textId="77777777" w:rsidTr="00717185">
        <w:trPr>
          <w:trHeight w:val="20"/>
        </w:trPr>
        <w:tc>
          <w:tcPr>
            <w:tcW w:w="3356" w:type="pct"/>
            <w:tcBorders>
              <w:top w:val="nil"/>
              <w:left w:val="nil"/>
              <w:bottom w:val="nil"/>
              <w:right w:val="nil"/>
            </w:tcBorders>
            <w:shd w:val="clear" w:color="auto" w:fill="auto"/>
            <w:noWrap/>
            <w:vAlign w:val="bottom"/>
            <w:hideMark/>
          </w:tcPr>
          <w:p w14:paraId="3C5ED827" w14:textId="77777777" w:rsidR="005014F9" w:rsidRDefault="005014F9">
            <w:pPr>
              <w:rPr>
                <w:rFonts w:ascii="Calibri Light" w:hAnsi="Calibri Light" w:cs="Calibri Light"/>
                <w:b/>
                <w:bCs/>
                <w:sz w:val="18"/>
                <w:szCs w:val="18"/>
              </w:rPr>
            </w:pPr>
            <w:r>
              <w:rPr>
                <w:rFonts w:ascii="Calibri Light" w:hAnsi="Calibri Light"/>
                <w:b/>
                <w:sz w:val="18"/>
              </w:rPr>
              <w:t>TOTAL CAPITAUX PROPRES</w:t>
            </w:r>
          </w:p>
        </w:tc>
        <w:tc>
          <w:tcPr>
            <w:tcW w:w="709" w:type="pct"/>
            <w:tcBorders>
              <w:top w:val="single" w:sz="4" w:space="0" w:color="auto"/>
              <w:left w:val="nil"/>
              <w:bottom w:val="single" w:sz="8" w:space="0" w:color="auto"/>
              <w:right w:val="nil"/>
            </w:tcBorders>
            <w:shd w:val="clear" w:color="auto" w:fill="auto"/>
            <w:noWrap/>
            <w:vAlign w:val="bottom"/>
            <w:hideMark/>
          </w:tcPr>
          <w:p w14:paraId="1D971E78"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7 000 747</w:t>
            </w:r>
          </w:p>
        </w:tc>
        <w:tc>
          <w:tcPr>
            <w:tcW w:w="935" w:type="pct"/>
            <w:tcBorders>
              <w:top w:val="single" w:sz="4" w:space="0" w:color="auto"/>
              <w:left w:val="nil"/>
              <w:bottom w:val="single" w:sz="8" w:space="0" w:color="auto"/>
              <w:right w:val="nil"/>
            </w:tcBorders>
            <w:shd w:val="clear" w:color="auto" w:fill="auto"/>
            <w:noWrap/>
            <w:vAlign w:val="bottom"/>
            <w:hideMark/>
          </w:tcPr>
          <w:p w14:paraId="4978B450"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8 286 690</w:t>
            </w:r>
          </w:p>
        </w:tc>
      </w:tr>
      <w:tr w:rsidR="005014F9" w14:paraId="42462AA8" w14:textId="77777777" w:rsidTr="00717185">
        <w:trPr>
          <w:trHeight w:val="20"/>
        </w:trPr>
        <w:tc>
          <w:tcPr>
            <w:tcW w:w="3356" w:type="pct"/>
            <w:tcBorders>
              <w:top w:val="nil"/>
              <w:left w:val="nil"/>
              <w:bottom w:val="nil"/>
              <w:right w:val="nil"/>
            </w:tcBorders>
            <w:shd w:val="clear" w:color="auto" w:fill="auto"/>
            <w:noWrap/>
            <w:vAlign w:val="bottom"/>
            <w:hideMark/>
          </w:tcPr>
          <w:p w14:paraId="3EB05E6A" w14:textId="77777777" w:rsidR="005014F9" w:rsidRDefault="005014F9">
            <w:pPr>
              <w:jc w:val="right"/>
              <w:rPr>
                <w:rFonts w:ascii="Calibri Light" w:hAnsi="Calibri Light" w:cs="Calibri Light"/>
                <w:b/>
                <w:bCs/>
                <w:color w:val="000000"/>
                <w:sz w:val="18"/>
                <w:szCs w:val="18"/>
              </w:rPr>
            </w:pPr>
          </w:p>
        </w:tc>
        <w:tc>
          <w:tcPr>
            <w:tcW w:w="709" w:type="pct"/>
            <w:tcBorders>
              <w:top w:val="nil"/>
              <w:left w:val="nil"/>
              <w:bottom w:val="nil"/>
              <w:right w:val="nil"/>
            </w:tcBorders>
            <w:shd w:val="clear" w:color="auto" w:fill="auto"/>
            <w:noWrap/>
            <w:vAlign w:val="bottom"/>
            <w:hideMark/>
          </w:tcPr>
          <w:p w14:paraId="0F22D982" w14:textId="77777777" w:rsidR="005014F9" w:rsidRDefault="005014F9">
            <w:pPr>
              <w:rPr>
                <w:sz w:val="20"/>
                <w:szCs w:val="20"/>
              </w:rPr>
            </w:pPr>
          </w:p>
        </w:tc>
        <w:tc>
          <w:tcPr>
            <w:tcW w:w="935" w:type="pct"/>
            <w:tcBorders>
              <w:top w:val="nil"/>
              <w:left w:val="nil"/>
              <w:bottom w:val="nil"/>
              <w:right w:val="nil"/>
            </w:tcBorders>
            <w:shd w:val="clear" w:color="auto" w:fill="auto"/>
            <w:noWrap/>
            <w:vAlign w:val="bottom"/>
            <w:hideMark/>
          </w:tcPr>
          <w:p w14:paraId="46FF1144" w14:textId="77777777" w:rsidR="005014F9" w:rsidRDefault="005014F9">
            <w:pPr>
              <w:rPr>
                <w:sz w:val="20"/>
                <w:szCs w:val="20"/>
              </w:rPr>
            </w:pPr>
          </w:p>
        </w:tc>
      </w:tr>
      <w:tr w:rsidR="005014F9" w14:paraId="46CFE0B6" w14:textId="77777777" w:rsidTr="00717185">
        <w:trPr>
          <w:trHeight w:val="20"/>
        </w:trPr>
        <w:tc>
          <w:tcPr>
            <w:tcW w:w="3356" w:type="pct"/>
            <w:tcBorders>
              <w:top w:val="nil"/>
              <w:left w:val="nil"/>
              <w:bottom w:val="nil"/>
              <w:right w:val="nil"/>
            </w:tcBorders>
            <w:shd w:val="clear" w:color="auto" w:fill="auto"/>
            <w:noWrap/>
            <w:vAlign w:val="bottom"/>
            <w:hideMark/>
          </w:tcPr>
          <w:p w14:paraId="18DF376A" w14:textId="77777777" w:rsidR="005014F9" w:rsidRDefault="005014F9">
            <w:pPr>
              <w:rPr>
                <w:rFonts w:ascii="Calibri Light" w:hAnsi="Calibri Light" w:cs="Calibri Light"/>
                <w:b/>
                <w:bCs/>
                <w:sz w:val="18"/>
                <w:szCs w:val="18"/>
              </w:rPr>
            </w:pPr>
            <w:r>
              <w:rPr>
                <w:rFonts w:ascii="Calibri Light" w:hAnsi="Calibri Light"/>
                <w:b/>
                <w:sz w:val="18"/>
              </w:rPr>
              <w:t>PASSIF</w:t>
            </w:r>
          </w:p>
        </w:tc>
        <w:tc>
          <w:tcPr>
            <w:tcW w:w="709" w:type="pct"/>
            <w:tcBorders>
              <w:top w:val="nil"/>
              <w:left w:val="nil"/>
              <w:bottom w:val="nil"/>
              <w:right w:val="nil"/>
            </w:tcBorders>
            <w:shd w:val="clear" w:color="auto" w:fill="auto"/>
            <w:noWrap/>
            <w:vAlign w:val="bottom"/>
            <w:hideMark/>
          </w:tcPr>
          <w:p w14:paraId="465DA2D1" w14:textId="77777777" w:rsidR="005014F9" w:rsidRDefault="005014F9">
            <w:pPr>
              <w:rPr>
                <w:rFonts w:ascii="Calibri Light" w:hAnsi="Calibri Light" w:cs="Calibri Light"/>
                <w:b/>
                <w:bCs/>
                <w:sz w:val="18"/>
                <w:szCs w:val="18"/>
              </w:rPr>
            </w:pPr>
          </w:p>
        </w:tc>
        <w:tc>
          <w:tcPr>
            <w:tcW w:w="935" w:type="pct"/>
            <w:tcBorders>
              <w:top w:val="nil"/>
              <w:left w:val="nil"/>
              <w:bottom w:val="nil"/>
              <w:right w:val="nil"/>
            </w:tcBorders>
            <w:shd w:val="clear" w:color="auto" w:fill="auto"/>
            <w:noWrap/>
            <w:vAlign w:val="bottom"/>
            <w:hideMark/>
          </w:tcPr>
          <w:p w14:paraId="113C0671" w14:textId="77777777" w:rsidR="005014F9" w:rsidRDefault="005014F9">
            <w:pPr>
              <w:rPr>
                <w:sz w:val="20"/>
                <w:szCs w:val="20"/>
              </w:rPr>
            </w:pPr>
          </w:p>
        </w:tc>
      </w:tr>
      <w:tr w:rsidR="005014F9" w14:paraId="20F9959E" w14:textId="77777777" w:rsidTr="00717185">
        <w:trPr>
          <w:trHeight w:val="20"/>
        </w:trPr>
        <w:tc>
          <w:tcPr>
            <w:tcW w:w="3356" w:type="pct"/>
            <w:tcBorders>
              <w:top w:val="nil"/>
              <w:left w:val="nil"/>
              <w:bottom w:val="nil"/>
              <w:right w:val="nil"/>
            </w:tcBorders>
            <w:shd w:val="clear" w:color="auto" w:fill="auto"/>
            <w:noWrap/>
            <w:vAlign w:val="bottom"/>
            <w:hideMark/>
          </w:tcPr>
          <w:p w14:paraId="2FEC80C8" w14:textId="77777777" w:rsidR="005014F9" w:rsidRDefault="005014F9">
            <w:pPr>
              <w:rPr>
                <w:rFonts w:ascii="Calibri Light" w:hAnsi="Calibri Light" w:cs="Calibri Light"/>
                <w:b/>
                <w:bCs/>
                <w:sz w:val="18"/>
                <w:szCs w:val="18"/>
              </w:rPr>
            </w:pPr>
            <w:r>
              <w:rPr>
                <w:rFonts w:ascii="Calibri Light" w:hAnsi="Calibri Light"/>
                <w:b/>
                <w:sz w:val="18"/>
              </w:rPr>
              <w:t>Passif à long terme</w:t>
            </w:r>
          </w:p>
        </w:tc>
        <w:tc>
          <w:tcPr>
            <w:tcW w:w="709" w:type="pct"/>
            <w:tcBorders>
              <w:top w:val="nil"/>
              <w:left w:val="nil"/>
              <w:bottom w:val="nil"/>
              <w:right w:val="nil"/>
            </w:tcBorders>
            <w:shd w:val="clear" w:color="auto" w:fill="auto"/>
            <w:noWrap/>
            <w:vAlign w:val="bottom"/>
            <w:hideMark/>
          </w:tcPr>
          <w:p w14:paraId="1F154A41" w14:textId="77777777" w:rsidR="005014F9" w:rsidRDefault="005014F9">
            <w:pPr>
              <w:rPr>
                <w:rFonts w:ascii="Calibri Light" w:hAnsi="Calibri Light" w:cs="Calibri Light"/>
                <w:b/>
                <w:bCs/>
                <w:sz w:val="18"/>
                <w:szCs w:val="18"/>
              </w:rPr>
            </w:pPr>
          </w:p>
        </w:tc>
        <w:tc>
          <w:tcPr>
            <w:tcW w:w="935" w:type="pct"/>
            <w:tcBorders>
              <w:top w:val="nil"/>
              <w:left w:val="nil"/>
              <w:bottom w:val="nil"/>
              <w:right w:val="nil"/>
            </w:tcBorders>
            <w:shd w:val="clear" w:color="auto" w:fill="auto"/>
            <w:noWrap/>
            <w:vAlign w:val="bottom"/>
            <w:hideMark/>
          </w:tcPr>
          <w:p w14:paraId="0ECE720A" w14:textId="77777777" w:rsidR="005014F9" w:rsidRDefault="005014F9">
            <w:pPr>
              <w:rPr>
                <w:sz w:val="20"/>
                <w:szCs w:val="20"/>
              </w:rPr>
            </w:pPr>
          </w:p>
        </w:tc>
      </w:tr>
      <w:tr w:rsidR="005014F9" w14:paraId="34FFB5A9" w14:textId="77777777" w:rsidTr="00717185">
        <w:trPr>
          <w:trHeight w:val="20"/>
        </w:trPr>
        <w:tc>
          <w:tcPr>
            <w:tcW w:w="3356" w:type="pct"/>
            <w:tcBorders>
              <w:top w:val="nil"/>
              <w:left w:val="nil"/>
              <w:bottom w:val="nil"/>
              <w:right w:val="nil"/>
            </w:tcBorders>
            <w:shd w:val="clear" w:color="auto" w:fill="auto"/>
            <w:noWrap/>
            <w:vAlign w:val="bottom"/>
            <w:hideMark/>
          </w:tcPr>
          <w:p w14:paraId="21ED99C7" w14:textId="77777777" w:rsidR="005014F9" w:rsidRDefault="005014F9">
            <w:pPr>
              <w:rPr>
                <w:rFonts w:ascii="Calibri Light" w:hAnsi="Calibri Light" w:cs="Calibri Light"/>
                <w:sz w:val="18"/>
                <w:szCs w:val="18"/>
              </w:rPr>
            </w:pPr>
            <w:r>
              <w:rPr>
                <w:rFonts w:ascii="Calibri Light" w:hAnsi="Calibri Light"/>
                <w:sz w:val="18"/>
              </w:rPr>
              <w:t>Prêts à moyen et long terme</w:t>
            </w:r>
          </w:p>
        </w:tc>
        <w:tc>
          <w:tcPr>
            <w:tcW w:w="709" w:type="pct"/>
            <w:tcBorders>
              <w:top w:val="nil"/>
              <w:left w:val="nil"/>
              <w:bottom w:val="nil"/>
              <w:right w:val="nil"/>
            </w:tcBorders>
            <w:shd w:val="clear" w:color="auto" w:fill="auto"/>
            <w:noWrap/>
            <w:vAlign w:val="bottom"/>
            <w:hideMark/>
          </w:tcPr>
          <w:p w14:paraId="333136CB"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4 197 711</w:t>
            </w:r>
          </w:p>
        </w:tc>
        <w:tc>
          <w:tcPr>
            <w:tcW w:w="935" w:type="pct"/>
            <w:tcBorders>
              <w:top w:val="nil"/>
              <w:left w:val="nil"/>
              <w:bottom w:val="nil"/>
              <w:right w:val="nil"/>
            </w:tcBorders>
            <w:shd w:val="clear" w:color="auto" w:fill="auto"/>
            <w:noWrap/>
            <w:vAlign w:val="bottom"/>
            <w:hideMark/>
          </w:tcPr>
          <w:p w14:paraId="020FD8E0"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4 115 858</w:t>
            </w:r>
          </w:p>
        </w:tc>
      </w:tr>
      <w:tr w:rsidR="005014F9" w14:paraId="04796BB0" w14:textId="77777777" w:rsidTr="00717185">
        <w:trPr>
          <w:trHeight w:val="20"/>
        </w:trPr>
        <w:tc>
          <w:tcPr>
            <w:tcW w:w="3356" w:type="pct"/>
            <w:tcBorders>
              <w:top w:val="nil"/>
              <w:left w:val="nil"/>
              <w:bottom w:val="nil"/>
              <w:right w:val="nil"/>
            </w:tcBorders>
            <w:shd w:val="clear" w:color="auto" w:fill="auto"/>
            <w:noWrap/>
            <w:vAlign w:val="bottom"/>
            <w:hideMark/>
          </w:tcPr>
          <w:p w14:paraId="50E8D549" w14:textId="77777777" w:rsidR="005014F9" w:rsidRDefault="005014F9">
            <w:pPr>
              <w:rPr>
                <w:rFonts w:ascii="Calibri Light" w:hAnsi="Calibri Light" w:cs="Calibri Light"/>
                <w:sz w:val="18"/>
                <w:szCs w:val="18"/>
              </w:rPr>
            </w:pPr>
            <w:r>
              <w:rPr>
                <w:rFonts w:ascii="Calibri Light" w:hAnsi="Calibri Light"/>
                <w:sz w:val="18"/>
              </w:rPr>
              <w:t>Autres passifs financiers à long terme</w:t>
            </w:r>
          </w:p>
        </w:tc>
        <w:tc>
          <w:tcPr>
            <w:tcW w:w="709" w:type="pct"/>
            <w:tcBorders>
              <w:top w:val="nil"/>
              <w:left w:val="nil"/>
              <w:bottom w:val="nil"/>
              <w:right w:val="nil"/>
            </w:tcBorders>
            <w:shd w:val="clear" w:color="auto" w:fill="auto"/>
            <w:noWrap/>
            <w:vAlign w:val="bottom"/>
            <w:hideMark/>
          </w:tcPr>
          <w:p w14:paraId="0F4B278A"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4 283 618</w:t>
            </w:r>
          </w:p>
        </w:tc>
        <w:tc>
          <w:tcPr>
            <w:tcW w:w="935" w:type="pct"/>
            <w:tcBorders>
              <w:top w:val="nil"/>
              <w:left w:val="nil"/>
              <w:bottom w:val="nil"/>
              <w:right w:val="nil"/>
            </w:tcBorders>
            <w:shd w:val="clear" w:color="auto" w:fill="auto"/>
            <w:noWrap/>
            <w:vAlign w:val="bottom"/>
            <w:hideMark/>
          </w:tcPr>
          <w:p w14:paraId="5138A0B0"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6 274 910</w:t>
            </w:r>
          </w:p>
        </w:tc>
      </w:tr>
      <w:tr w:rsidR="005014F9" w14:paraId="0F0EBC5B" w14:textId="77777777" w:rsidTr="00717185">
        <w:trPr>
          <w:trHeight w:val="20"/>
        </w:trPr>
        <w:tc>
          <w:tcPr>
            <w:tcW w:w="3356" w:type="pct"/>
            <w:tcBorders>
              <w:top w:val="nil"/>
              <w:left w:val="nil"/>
              <w:bottom w:val="nil"/>
              <w:right w:val="nil"/>
            </w:tcBorders>
            <w:shd w:val="clear" w:color="auto" w:fill="auto"/>
            <w:noWrap/>
            <w:vAlign w:val="bottom"/>
            <w:hideMark/>
          </w:tcPr>
          <w:p w14:paraId="4124FA0E" w14:textId="77777777" w:rsidR="005014F9" w:rsidRDefault="005014F9">
            <w:pPr>
              <w:rPr>
                <w:rFonts w:ascii="Calibri Light" w:hAnsi="Calibri Light" w:cs="Calibri Light"/>
                <w:sz w:val="18"/>
                <w:szCs w:val="18"/>
              </w:rPr>
            </w:pPr>
            <w:r>
              <w:rPr>
                <w:rFonts w:ascii="Calibri Light" w:hAnsi="Calibri Light"/>
                <w:sz w:val="18"/>
              </w:rPr>
              <w:t>Passifs liés à des avantages sociaux futurs</w:t>
            </w:r>
          </w:p>
        </w:tc>
        <w:tc>
          <w:tcPr>
            <w:tcW w:w="709" w:type="pct"/>
            <w:tcBorders>
              <w:top w:val="nil"/>
              <w:left w:val="nil"/>
              <w:bottom w:val="nil"/>
              <w:right w:val="nil"/>
            </w:tcBorders>
            <w:shd w:val="clear" w:color="auto" w:fill="auto"/>
            <w:noWrap/>
            <w:vAlign w:val="bottom"/>
            <w:hideMark/>
          </w:tcPr>
          <w:p w14:paraId="4299D0FD"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613 784</w:t>
            </w:r>
          </w:p>
        </w:tc>
        <w:tc>
          <w:tcPr>
            <w:tcW w:w="935" w:type="pct"/>
            <w:tcBorders>
              <w:top w:val="nil"/>
              <w:left w:val="nil"/>
              <w:bottom w:val="nil"/>
              <w:right w:val="nil"/>
            </w:tcBorders>
            <w:shd w:val="clear" w:color="auto" w:fill="auto"/>
            <w:noWrap/>
            <w:vAlign w:val="bottom"/>
            <w:hideMark/>
          </w:tcPr>
          <w:p w14:paraId="21F354F3"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524 456</w:t>
            </w:r>
          </w:p>
        </w:tc>
      </w:tr>
      <w:tr w:rsidR="005014F9" w14:paraId="3005AC42" w14:textId="77777777" w:rsidTr="00717185">
        <w:trPr>
          <w:trHeight w:val="20"/>
        </w:trPr>
        <w:tc>
          <w:tcPr>
            <w:tcW w:w="3356" w:type="pct"/>
            <w:tcBorders>
              <w:top w:val="nil"/>
              <w:left w:val="nil"/>
              <w:bottom w:val="nil"/>
              <w:right w:val="nil"/>
            </w:tcBorders>
            <w:shd w:val="clear" w:color="auto" w:fill="auto"/>
            <w:noWrap/>
            <w:vAlign w:val="bottom"/>
            <w:hideMark/>
          </w:tcPr>
          <w:p w14:paraId="435CACE0" w14:textId="77777777" w:rsidR="005014F9" w:rsidRDefault="005014F9">
            <w:pPr>
              <w:rPr>
                <w:rFonts w:ascii="Calibri Light" w:hAnsi="Calibri Light" w:cs="Calibri Light"/>
                <w:sz w:val="18"/>
                <w:szCs w:val="18"/>
              </w:rPr>
            </w:pPr>
            <w:r>
              <w:rPr>
                <w:rFonts w:ascii="Calibri Light" w:hAnsi="Calibri Light"/>
                <w:sz w:val="18"/>
              </w:rPr>
              <w:t>Provisions pour risques et charges</w:t>
            </w:r>
          </w:p>
        </w:tc>
        <w:tc>
          <w:tcPr>
            <w:tcW w:w="709" w:type="pct"/>
            <w:tcBorders>
              <w:top w:val="nil"/>
              <w:left w:val="nil"/>
              <w:bottom w:val="nil"/>
              <w:right w:val="nil"/>
            </w:tcBorders>
            <w:shd w:val="clear" w:color="auto" w:fill="auto"/>
            <w:noWrap/>
            <w:vAlign w:val="bottom"/>
            <w:hideMark/>
          </w:tcPr>
          <w:p w14:paraId="5560E198"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42 531</w:t>
            </w:r>
          </w:p>
        </w:tc>
        <w:tc>
          <w:tcPr>
            <w:tcW w:w="935" w:type="pct"/>
            <w:tcBorders>
              <w:top w:val="nil"/>
              <w:left w:val="nil"/>
              <w:bottom w:val="nil"/>
              <w:right w:val="nil"/>
            </w:tcBorders>
            <w:shd w:val="clear" w:color="auto" w:fill="auto"/>
            <w:noWrap/>
            <w:vAlign w:val="bottom"/>
            <w:hideMark/>
          </w:tcPr>
          <w:p w14:paraId="00BB645B"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42 531</w:t>
            </w:r>
          </w:p>
        </w:tc>
      </w:tr>
      <w:tr w:rsidR="005014F9" w14:paraId="2682A866" w14:textId="77777777" w:rsidTr="00717185">
        <w:trPr>
          <w:trHeight w:val="20"/>
        </w:trPr>
        <w:tc>
          <w:tcPr>
            <w:tcW w:w="3356" w:type="pct"/>
            <w:tcBorders>
              <w:top w:val="nil"/>
              <w:left w:val="nil"/>
              <w:bottom w:val="nil"/>
              <w:right w:val="nil"/>
            </w:tcBorders>
            <w:shd w:val="clear" w:color="auto" w:fill="auto"/>
            <w:noWrap/>
            <w:vAlign w:val="bottom"/>
            <w:hideMark/>
          </w:tcPr>
          <w:p w14:paraId="324456F1" w14:textId="77777777" w:rsidR="005014F9" w:rsidRDefault="005014F9">
            <w:pPr>
              <w:rPr>
                <w:rFonts w:ascii="Calibri Light" w:hAnsi="Calibri Light" w:cs="Calibri Light"/>
                <w:sz w:val="18"/>
                <w:szCs w:val="18"/>
              </w:rPr>
            </w:pPr>
            <w:r>
              <w:rPr>
                <w:rFonts w:ascii="Calibri Light" w:hAnsi="Calibri Light"/>
                <w:sz w:val="18"/>
              </w:rPr>
              <w:t>Impôts différés passif</w:t>
            </w:r>
          </w:p>
        </w:tc>
        <w:tc>
          <w:tcPr>
            <w:tcW w:w="709" w:type="pct"/>
            <w:tcBorders>
              <w:top w:val="nil"/>
              <w:left w:val="nil"/>
              <w:bottom w:val="single" w:sz="4" w:space="0" w:color="auto"/>
              <w:right w:val="nil"/>
            </w:tcBorders>
            <w:shd w:val="clear" w:color="auto" w:fill="auto"/>
            <w:noWrap/>
            <w:vAlign w:val="bottom"/>
            <w:hideMark/>
          </w:tcPr>
          <w:p w14:paraId="02C81E17"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108</w:t>
            </w:r>
          </w:p>
        </w:tc>
        <w:tc>
          <w:tcPr>
            <w:tcW w:w="935" w:type="pct"/>
            <w:tcBorders>
              <w:top w:val="nil"/>
              <w:left w:val="nil"/>
              <w:bottom w:val="single" w:sz="4" w:space="0" w:color="auto"/>
              <w:right w:val="nil"/>
            </w:tcBorders>
            <w:shd w:val="clear" w:color="auto" w:fill="auto"/>
            <w:noWrap/>
            <w:vAlign w:val="bottom"/>
            <w:hideMark/>
          </w:tcPr>
          <w:p w14:paraId="52371738"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108</w:t>
            </w:r>
          </w:p>
        </w:tc>
      </w:tr>
      <w:tr w:rsidR="005014F9" w14:paraId="78071D18" w14:textId="77777777" w:rsidTr="00717185">
        <w:trPr>
          <w:trHeight w:val="20"/>
        </w:trPr>
        <w:tc>
          <w:tcPr>
            <w:tcW w:w="3356" w:type="pct"/>
            <w:tcBorders>
              <w:top w:val="nil"/>
              <w:left w:val="nil"/>
              <w:bottom w:val="nil"/>
              <w:right w:val="nil"/>
            </w:tcBorders>
            <w:shd w:val="clear" w:color="auto" w:fill="auto"/>
            <w:noWrap/>
            <w:vAlign w:val="bottom"/>
            <w:hideMark/>
          </w:tcPr>
          <w:p w14:paraId="7D830E7E" w14:textId="77777777" w:rsidR="005014F9" w:rsidRDefault="005014F9">
            <w:pPr>
              <w:rPr>
                <w:rFonts w:ascii="Calibri Light" w:hAnsi="Calibri Light" w:cs="Calibri Light"/>
                <w:b/>
                <w:bCs/>
                <w:color w:val="000000"/>
                <w:sz w:val="18"/>
                <w:szCs w:val="18"/>
              </w:rPr>
            </w:pPr>
            <w:r>
              <w:rPr>
                <w:rFonts w:ascii="Calibri Light" w:hAnsi="Calibri Light"/>
                <w:b/>
                <w:color w:val="000000"/>
                <w:sz w:val="18"/>
              </w:rPr>
              <w:t>TOTAL PASSIFS À LONG TERME</w:t>
            </w:r>
          </w:p>
        </w:tc>
        <w:tc>
          <w:tcPr>
            <w:tcW w:w="709" w:type="pct"/>
            <w:tcBorders>
              <w:top w:val="nil"/>
              <w:left w:val="nil"/>
              <w:bottom w:val="nil"/>
              <w:right w:val="nil"/>
            </w:tcBorders>
            <w:shd w:val="clear" w:color="auto" w:fill="auto"/>
            <w:noWrap/>
            <w:vAlign w:val="bottom"/>
            <w:hideMark/>
          </w:tcPr>
          <w:p w14:paraId="27CFF5E1"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9 137 752</w:t>
            </w:r>
          </w:p>
        </w:tc>
        <w:tc>
          <w:tcPr>
            <w:tcW w:w="935" w:type="pct"/>
            <w:tcBorders>
              <w:top w:val="nil"/>
              <w:left w:val="nil"/>
              <w:bottom w:val="nil"/>
              <w:right w:val="nil"/>
            </w:tcBorders>
            <w:shd w:val="clear" w:color="auto" w:fill="auto"/>
            <w:noWrap/>
            <w:vAlign w:val="bottom"/>
            <w:hideMark/>
          </w:tcPr>
          <w:p w14:paraId="70188730"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10 957 863</w:t>
            </w:r>
          </w:p>
        </w:tc>
      </w:tr>
      <w:tr w:rsidR="005014F9" w14:paraId="5C7FA889" w14:textId="77777777" w:rsidTr="00717185">
        <w:trPr>
          <w:trHeight w:val="20"/>
        </w:trPr>
        <w:tc>
          <w:tcPr>
            <w:tcW w:w="3356" w:type="pct"/>
            <w:tcBorders>
              <w:top w:val="nil"/>
              <w:left w:val="nil"/>
              <w:bottom w:val="nil"/>
              <w:right w:val="nil"/>
            </w:tcBorders>
            <w:shd w:val="clear" w:color="auto" w:fill="auto"/>
            <w:noWrap/>
            <w:vAlign w:val="bottom"/>
            <w:hideMark/>
          </w:tcPr>
          <w:p w14:paraId="43F407D9" w14:textId="77777777" w:rsidR="005014F9" w:rsidRDefault="005014F9">
            <w:pPr>
              <w:jc w:val="right"/>
              <w:rPr>
                <w:rFonts w:ascii="Calibri Light" w:hAnsi="Calibri Light" w:cs="Calibri Light"/>
                <w:b/>
                <w:bCs/>
                <w:color w:val="000000"/>
                <w:sz w:val="18"/>
                <w:szCs w:val="18"/>
              </w:rPr>
            </w:pPr>
          </w:p>
        </w:tc>
        <w:tc>
          <w:tcPr>
            <w:tcW w:w="709" w:type="pct"/>
            <w:tcBorders>
              <w:top w:val="nil"/>
              <w:left w:val="nil"/>
              <w:bottom w:val="nil"/>
              <w:right w:val="nil"/>
            </w:tcBorders>
            <w:shd w:val="clear" w:color="auto" w:fill="auto"/>
            <w:noWrap/>
            <w:vAlign w:val="bottom"/>
            <w:hideMark/>
          </w:tcPr>
          <w:p w14:paraId="03DDD97E" w14:textId="77777777" w:rsidR="005014F9" w:rsidRDefault="005014F9">
            <w:pPr>
              <w:rPr>
                <w:sz w:val="20"/>
                <w:szCs w:val="20"/>
              </w:rPr>
            </w:pPr>
          </w:p>
        </w:tc>
        <w:tc>
          <w:tcPr>
            <w:tcW w:w="935" w:type="pct"/>
            <w:tcBorders>
              <w:top w:val="nil"/>
              <w:left w:val="nil"/>
              <w:bottom w:val="nil"/>
              <w:right w:val="nil"/>
            </w:tcBorders>
            <w:shd w:val="clear" w:color="auto" w:fill="auto"/>
            <w:noWrap/>
            <w:vAlign w:val="bottom"/>
            <w:hideMark/>
          </w:tcPr>
          <w:p w14:paraId="70ED5917" w14:textId="77777777" w:rsidR="005014F9" w:rsidRDefault="005014F9">
            <w:pPr>
              <w:rPr>
                <w:sz w:val="20"/>
                <w:szCs w:val="20"/>
              </w:rPr>
            </w:pPr>
          </w:p>
        </w:tc>
      </w:tr>
      <w:tr w:rsidR="005014F9" w14:paraId="7A80C8E1" w14:textId="77777777" w:rsidTr="00717185">
        <w:trPr>
          <w:trHeight w:val="20"/>
        </w:trPr>
        <w:tc>
          <w:tcPr>
            <w:tcW w:w="3356" w:type="pct"/>
            <w:tcBorders>
              <w:top w:val="nil"/>
              <w:left w:val="nil"/>
              <w:bottom w:val="nil"/>
              <w:right w:val="nil"/>
            </w:tcBorders>
            <w:shd w:val="clear" w:color="auto" w:fill="auto"/>
            <w:noWrap/>
            <w:vAlign w:val="bottom"/>
            <w:hideMark/>
          </w:tcPr>
          <w:p w14:paraId="2871803D" w14:textId="77777777" w:rsidR="005014F9" w:rsidRDefault="005014F9">
            <w:pPr>
              <w:rPr>
                <w:rFonts w:ascii="Calibri Light" w:hAnsi="Calibri Light" w:cs="Calibri Light"/>
                <w:b/>
                <w:bCs/>
                <w:sz w:val="18"/>
                <w:szCs w:val="18"/>
              </w:rPr>
            </w:pPr>
            <w:r>
              <w:rPr>
                <w:rFonts w:ascii="Calibri Light" w:hAnsi="Calibri Light"/>
                <w:b/>
                <w:sz w:val="18"/>
              </w:rPr>
              <w:t>Passif à court terme</w:t>
            </w:r>
          </w:p>
        </w:tc>
        <w:tc>
          <w:tcPr>
            <w:tcW w:w="709" w:type="pct"/>
            <w:tcBorders>
              <w:top w:val="nil"/>
              <w:left w:val="nil"/>
              <w:bottom w:val="nil"/>
              <w:right w:val="nil"/>
            </w:tcBorders>
            <w:shd w:val="clear" w:color="auto" w:fill="auto"/>
            <w:noWrap/>
            <w:vAlign w:val="bottom"/>
            <w:hideMark/>
          </w:tcPr>
          <w:p w14:paraId="2551704A" w14:textId="77777777" w:rsidR="005014F9" w:rsidRDefault="005014F9">
            <w:pPr>
              <w:rPr>
                <w:rFonts w:ascii="Calibri Light" w:hAnsi="Calibri Light" w:cs="Calibri Light"/>
                <w:b/>
                <w:bCs/>
                <w:sz w:val="18"/>
                <w:szCs w:val="18"/>
              </w:rPr>
            </w:pPr>
          </w:p>
        </w:tc>
        <w:tc>
          <w:tcPr>
            <w:tcW w:w="935" w:type="pct"/>
            <w:tcBorders>
              <w:top w:val="nil"/>
              <w:left w:val="nil"/>
              <w:bottom w:val="nil"/>
              <w:right w:val="nil"/>
            </w:tcBorders>
            <w:shd w:val="clear" w:color="auto" w:fill="auto"/>
            <w:noWrap/>
            <w:vAlign w:val="bottom"/>
            <w:hideMark/>
          </w:tcPr>
          <w:p w14:paraId="404D8F57" w14:textId="77777777" w:rsidR="005014F9" w:rsidRDefault="005014F9">
            <w:pPr>
              <w:rPr>
                <w:sz w:val="20"/>
                <w:szCs w:val="20"/>
              </w:rPr>
            </w:pPr>
          </w:p>
        </w:tc>
      </w:tr>
      <w:tr w:rsidR="005014F9" w14:paraId="6F9963DE" w14:textId="77777777" w:rsidTr="00717185">
        <w:trPr>
          <w:trHeight w:val="20"/>
        </w:trPr>
        <w:tc>
          <w:tcPr>
            <w:tcW w:w="3356" w:type="pct"/>
            <w:tcBorders>
              <w:top w:val="nil"/>
              <w:left w:val="nil"/>
              <w:bottom w:val="nil"/>
              <w:right w:val="nil"/>
            </w:tcBorders>
            <w:shd w:val="clear" w:color="auto" w:fill="auto"/>
            <w:noWrap/>
            <w:vAlign w:val="bottom"/>
            <w:hideMark/>
          </w:tcPr>
          <w:p w14:paraId="39A75C7F" w14:textId="77777777" w:rsidR="005014F9" w:rsidRDefault="005014F9">
            <w:pPr>
              <w:rPr>
                <w:rFonts w:ascii="Calibri Light" w:hAnsi="Calibri Light" w:cs="Calibri Light"/>
                <w:color w:val="000000"/>
                <w:sz w:val="18"/>
                <w:szCs w:val="18"/>
              </w:rPr>
            </w:pPr>
            <w:r>
              <w:rPr>
                <w:rFonts w:ascii="Calibri Light" w:hAnsi="Calibri Light"/>
                <w:color w:val="000000"/>
                <w:sz w:val="18"/>
              </w:rPr>
              <w:t>Dettes envers les banques et part à court terme des prêts à long terme</w:t>
            </w:r>
          </w:p>
        </w:tc>
        <w:tc>
          <w:tcPr>
            <w:tcW w:w="709" w:type="pct"/>
            <w:tcBorders>
              <w:top w:val="nil"/>
              <w:left w:val="nil"/>
              <w:bottom w:val="nil"/>
              <w:right w:val="nil"/>
            </w:tcBorders>
            <w:shd w:val="clear" w:color="auto" w:fill="auto"/>
            <w:noWrap/>
            <w:vAlign w:val="bottom"/>
            <w:hideMark/>
          </w:tcPr>
          <w:p w14:paraId="6494383F"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2 461 030</w:t>
            </w:r>
          </w:p>
        </w:tc>
        <w:tc>
          <w:tcPr>
            <w:tcW w:w="935" w:type="pct"/>
            <w:tcBorders>
              <w:top w:val="nil"/>
              <w:left w:val="nil"/>
              <w:bottom w:val="nil"/>
              <w:right w:val="nil"/>
            </w:tcBorders>
            <w:shd w:val="clear" w:color="auto" w:fill="auto"/>
            <w:noWrap/>
            <w:vAlign w:val="bottom"/>
            <w:hideMark/>
          </w:tcPr>
          <w:p w14:paraId="253EA700"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1 477 061</w:t>
            </w:r>
          </w:p>
        </w:tc>
      </w:tr>
      <w:tr w:rsidR="005014F9" w14:paraId="2796ECA6" w14:textId="77777777" w:rsidTr="00717185">
        <w:trPr>
          <w:trHeight w:val="20"/>
        </w:trPr>
        <w:tc>
          <w:tcPr>
            <w:tcW w:w="3356" w:type="pct"/>
            <w:tcBorders>
              <w:top w:val="nil"/>
              <w:left w:val="nil"/>
              <w:bottom w:val="nil"/>
              <w:right w:val="nil"/>
            </w:tcBorders>
            <w:shd w:val="clear" w:color="auto" w:fill="auto"/>
            <w:noWrap/>
            <w:vAlign w:val="bottom"/>
            <w:hideMark/>
          </w:tcPr>
          <w:p w14:paraId="6A9936AE" w14:textId="77777777" w:rsidR="005014F9" w:rsidRDefault="005014F9">
            <w:pPr>
              <w:rPr>
                <w:rFonts w:ascii="Calibri Light" w:hAnsi="Calibri Light" w:cs="Calibri Light"/>
                <w:color w:val="000000"/>
                <w:sz w:val="18"/>
                <w:szCs w:val="18"/>
              </w:rPr>
            </w:pPr>
            <w:r>
              <w:rPr>
                <w:rFonts w:ascii="Calibri Light" w:hAnsi="Calibri Light"/>
                <w:color w:val="000000"/>
                <w:sz w:val="18"/>
              </w:rPr>
              <w:t>Autres passifs financiers exigibles</w:t>
            </w:r>
          </w:p>
        </w:tc>
        <w:tc>
          <w:tcPr>
            <w:tcW w:w="709" w:type="pct"/>
            <w:tcBorders>
              <w:top w:val="nil"/>
              <w:left w:val="nil"/>
              <w:bottom w:val="nil"/>
              <w:right w:val="nil"/>
            </w:tcBorders>
            <w:shd w:val="clear" w:color="auto" w:fill="auto"/>
            <w:noWrap/>
            <w:vAlign w:val="bottom"/>
            <w:hideMark/>
          </w:tcPr>
          <w:p w14:paraId="12D394F2"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2 809 757</w:t>
            </w:r>
          </w:p>
        </w:tc>
        <w:tc>
          <w:tcPr>
            <w:tcW w:w="935" w:type="pct"/>
            <w:tcBorders>
              <w:top w:val="nil"/>
              <w:left w:val="nil"/>
              <w:bottom w:val="nil"/>
              <w:right w:val="nil"/>
            </w:tcBorders>
            <w:shd w:val="clear" w:color="auto" w:fill="auto"/>
            <w:noWrap/>
            <w:vAlign w:val="bottom"/>
            <w:hideMark/>
          </w:tcPr>
          <w:p w14:paraId="5A05B252"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1 396 043</w:t>
            </w:r>
          </w:p>
        </w:tc>
      </w:tr>
      <w:tr w:rsidR="005014F9" w14:paraId="73EA40E7" w14:textId="77777777" w:rsidTr="00717185">
        <w:trPr>
          <w:trHeight w:val="20"/>
        </w:trPr>
        <w:tc>
          <w:tcPr>
            <w:tcW w:w="3356" w:type="pct"/>
            <w:tcBorders>
              <w:top w:val="nil"/>
              <w:left w:val="nil"/>
              <w:bottom w:val="nil"/>
              <w:right w:val="nil"/>
            </w:tcBorders>
            <w:shd w:val="clear" w:color="auto" w:fill="auto"/>
            <w:noWrap/>
            <w:vAlign w:val="bottom"/>
            <w:hideMark/>
          </w:tcPr>
          <w:p w14:paraId="6401759E" w14:textId="77777777" w:rsidR="005014F9" w:rsidRDefault="005014F9">
            <w:pPr>
              <w:rPr>
                <w:rFonts w:ascii="Calibri Light" w:hAnsi="Calibri Light" w:cs="Calibri Light"/>
                <w:color w:val="000000"/>
                <w:sz w:val="18"/>
                <w:szCs w:val="18"/>
              </w:rPr>
            </w:pPr>
            <w:r>
              <w:rPr>
                <w:rFonts w:ascii="Calibri Light" w:hAnsi="Calibri Light"/>
                <w:color w:val="000000"/>
                <w:sz w:val="18"/>
              </w:rPr>
              <w:t>Dettes commerciales</w:t>
            </w:r>
          </w:p>
        </w:tc>
        <w:tc>
          <w:tcPr>
            <w:tcW w:w="709" w:type="pct"/>
            <w:tcBorders>
              <w:top w:val="nil"/>
              <w:left w:val="nil"/>
              <w:bottom w:val="nil"/>
              <w:right w:val="nil"/>
            </w:tcBorders>
            <w:shd w:val="clear" w:color="auto" w:fill="auto"/>
            <w:noWrap/>
            <w:vAlign w:val="bottom"/>
            <w:hideMark/>
          </w:tcPr>
          <w:p w14:paraId="270A1C05"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1 483 766</w:t>
            </w:r>
          </w:p>
        </w:tc>
        <w:tc>
          <w:tcPr>
            <w:tcW w:w="935" w:type="pct"/>
            <w:tcBorders>
              <w:top w:val="nil"/>
              <w:left w:val="nil"/>
              <w:bottom w:val="nil"/>
              <w:right w:val="nil"/>
            </w:tcBorders>
            <w:shd w:val="clear" w:color="auto" w:fill="auto"/>
            <w:noWrap/>
            <w:vAlign w:val="bottom"/>
            <w:hideMark/>
          </w:tcPr>
          <w:p w14:paraId="49E1BBB1"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3 932 546</w:t>
            </w:r>
          </w:p>
        </w:tc>
      </w:tr>
      <w:tr w:rsidR="005014F9" w14:paraId="73996ED9" w14:textId="77777777" w:rsidTr="00717185">
        <w:trPr>
          <w:trHeight w:val="20"/>
        </w:trPr>
        <w:tc>
          <w:tcPr>
            <w:tcW w:w="3356" w:type="pct"/>
            <w:tcBorders>
              <w:top w:val="nil"/>
              <w:left w:val="nil"/>
              <w:bottom w:val="nil"/>
              <w:right w:val="nil"/>
            </w:tcBorders>
            <w:shd w:val="clear" w:color="auto" w:fill="auto"/>
            <w:noWrap/>
            <w:vAlign w:val="bottom"/>
            <w:hideMark/>
          </w:tcPr>
          <w:p w14:paraId="7CC8C252" w14:textId="77777777" w:rsidR="005014F9" w:rsidRDefault="005014F9">
            <w:pPr>
              <w:rPr>
                <w:rFonts w:ascii="Calibri Light" w:hAnsi="Calibri Light" w:cs="Calibri Light"/>
                <w:color w:val="000000"/>
                <w:sz w:val="18"/>
                <w:szCs w:val="18"/>
              </w:rPr>
            </w:pPr>
            <w:r>
              <w:rPr>
                <w:rFonts w:ascii="Calibri Light" w:hAnsi="Calibri Light"/>
                <w:color w:val="000000"/>
                <w:sz w:val="18"/>
              </w:rPr>
              <w:t>Dettes pour les retours</w:t>
            </w:r>
          </w:p>
        </w:tc>
        <w:tc>
          <w:tcPr>
            <w:tcW w:w="709" w:type="pct"/>
            <w:tcBorders>
              <w:top w:val="nil"/>
              <w:left w:val="nil"/>
              <w:bottom w:val="nil"/>
              <w:right w:val="nil"/>
            </w:tcBorders>
            <w:shd w:val="clear" w:color="auto" w:fill="auto"/>
            <w:noWrap/>
            <w:vAlign w:val="bottom"/>
            <w:hideMark/>
          </w:tcPr>
          <w:p w14:paraId="3CD3ACEA"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26 143</w:t>
            </w:r>
          </w:p>
        </w:tc>
        <w:tc>
          <w:tcPr>
            <w:tcW w:w="935" w:type="pct"/>
            <w:tcBorders>
              <w:top w:val="nil"/>
              <w:left w:val="nil"/>
              <w:bottom w:val="nil"/>
              <w:right w:val="nil"/>
            </w:tcBorders>
            <w:shd w:val="clear" w:color="auto" w:fill="auto"/>
            <w:noWrap/>
            <w:vAlign w:val="bottom"/>
            <w:hideMark/>
          </w:tcPr>
          <w:p w14:paraId="1F9D60DB"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68 246</w:t>
            </w:r>
          </w:p>
        </w:tc>
      </w:tr>
      <w:tr w:rsidR="005014F9" w14:paraId="38823EC1" w14:textId="77777777" w:rsidTr="00717185">
        <w:trPr>
          <w:trHeight w:val="20"/>
        </w:trPr>
        <w:tc>
          <w:tcPr>
            <w:tcW w:w="3356" w:type="pct"/>
            <w:tcBorders>
              <w:top w:val="nil"/>
              <w:left w:val="nil"/>
              <w:bottom w:val="nil"/>
              <w:right w:val="nil"/>
            </w:tcBorders>
            <w:shd w:val="clear" w:color="auto" w:fill="auto"/>
            <w:noWrap/>
            <w:vAlign w:val="bottom"/>
            <w:hideMark/>
          </w:tcPr>
          <w:p w14:paraId="0D4FA749" w14:textId="77777777" w:rsidR="005014F9" w:rsidRDefault="005014F9">
            <w:pPr>
              <w:rPr>
                <w:rFonts w:ascii="Calibri Light" w:hAnsi="Calibri Light" w:cs="Calibri Light"/>
                <w:color w:val="000000"/>
                <w:sz w:val="18"/>
                <w:szCs w:val="18"/>
              </w:rPr>
            </w:pPr>
            <w:r>
              <w:rPr>
                <w:rFonts w:ascii="Calibri Light" w:hAnsi="Calibri Light"/>
                <w:color w:val="000000"/>
                <w:sz w:val="18"/>
              </w:rPr>
              <w:t>Dettes fiscales</w:t>
            </w:r>
          </w:p>
        </w:tc>
        <w:tc>
          <w:tcPr>
            <w:tcW w:w="709" w:type="pct"/>
            <w:tcBorders>
              <w:top w:val="nil"/>
              <w:left w:val="nil"/>
              <w:bottom w:val="nil"/>
              <w:right w:val="nil"/>
            </w:tcBorders>
            <w:shd w:val="clear" w:color="auto" w:fill="auto"/>
            <w:noWrap/>
            <w:vAlign w:val="bottom"/>
            <w:hideMark/>
          </w:tcPr>
          <w:p w14:paraId="43D161BA"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2 877 694</w:t>
            </w:r>
          </w:p>
        </w:tc>
        <w:tc>
          <w:tcPr>
            <w:tcW w:w="935" w:type="pct"/>
            <w:tcBorders>
              <w:top w:val="nil"/>
              <w:left w:val="nil"/>
              <w:bottom w:val="nil"/>
              <w:right w:val="nil"/>
            </w:tcBorders>
            <w:shd w:val="clear" w:color="auto" w:fill="auto"/>
            <w:noWrap/>
            <w:vAlign w:val="bottom"/>
            <w:hideMark/>
          </w:tcPr>
          <w:p w14:paraId="529EFDFA"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1 741 596</w:t>
            </w:r>
          </w:p>
        </w:tc>
      </w:tr>
      <w:tr w:rsidR="005014F9" w14:paraId="4C3475B5" w14:textId="77777777" w:rsidTr="00717185">
        <w:trPr>
          <w:trHeight w:val="20"/>
        </w:trPr>
        <w:tc>
          <w:tcPr>
            <w:tcW w:w="3356" w:type="pct"/>
            <w:tcBorders>
              <w:top w:val="nil"/>
              <w:left w:val="nil"/>
              <w:bottom w:val="nil"/>
              <w:right w:val="nil"/>
            </w:tcBorders>
            <w:shd w:val="clear" w:color="auto" w:fill="auto"/>
            <w:noWrap/>
            <w:vAlign w:val="bottom"/>
            <w:hideMark/>
          </w:tcPr>
          <w:p w14:paraId="77AE5145" w14:textId="77777777" w:rsidR="005014F9" w:rsidRDefault="005014F9">
            <w:pPr>
              <w:rPr>
                <w:rFonts w:ascii="Calibri Light" w:hAnsi="Calibri Light" w:cs="Calibri Light"/>
                <w:color w:val="000000"/>
                <w:sz w:val="18"/>
                <w:szCs w:val="18"/>
              </w:rPr>
            </w:pPr>
            <w:r>
              <w:rPr>
                <w:rFonts w:ascii="Calibri Light" w:hAnsi="Calibri Light"/>
                <w:color w:val="000000"/>
                <w:sz w:val="18"/>
              </w:rPr>
              <w:t>Autres dettes et engagements à court terme</w:t>
            </w:r>
          </w:p>
        </w:tc>
        <w:tc>
          <w:tcPr>
            <w:tcW w:w="709" w:type="pct"/>
            <w:tcBorders>
              <w:top w:val="nil"/>
              <w:left w:val="nil"/>
              <w:bottom w:val="nil"/>
              <w:right w:val="nil"/>
            </w:tcBorders>
            <w:shd w:val="clear" w:color="auto" w:fill="auto"/>
            <w:noWrap/>
            <w:vAlign w:val="bottom"/>
            <w:hideMark/>
          </w:tcPr>
          <w:p w14:paraId="7570B821"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3 177 244</w:t>
            </w:r>
          </w:p>
        </w:tc>
        <w:tc>
          <w:tcPr>
            <w:tcW w:w="935" w:type="pct"/>
            <w:tcBorders>
              <w:top w:val="nil"/>
              <w:left w:val="nil"/>
              <w:bottom w:val="nil"/>
              <w:right w:val="nil"/>
            </w:tcBorders>
            <w:shd w:val="clear" w:color="auto" w:fill="auto"/>
            <w:noWrap/>
            <w:vAlign w:val="bottom"/>
            <w:hideMark/>
          </w:tcPr>
          <w:p w14:paraId="0054B1C5"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1 439 765</w:t>
            </w:r>
          </w:p>
        </w:tc>
      </w:tr>
      <w:tr w:rsidR="005014F9" w14:paraId="57DC2F3E" w14:textId="77777777" w:rsidTr="00717185">
        <w:trPr>
          <w:trHeight w:val="20"/>
        </w:trPr>
        <w:tc>
          <w:tcPr>
            <w:tcW w:w="3356" w:type="pct"/>
            <w:tcBorders>
              <w:top w:val="nil"/>
              <w:left w:val="nil"/>
              <w:bottom w:val="nil"/>
              <w:right w:val="nil"/>
            </w:tcBorders>
            <w:shd w:val="clear" w:color="auto" w:fill="auto"/>
            <w:noWrap/>
            <w:vAlign w:val="bottom"/>
            <w:hideMark/>
          </w:tcPr>
          <w:p w14:paraId="139481DE" w14:textId="77777777" w:rsidR="005014F9" w:rsidRDefault="005014F9">
            <w:pPr>
              <w:rPr>
                <w:rFonts w:ascii="Calibri Light" w:hAnsi="Calibri Light" w:cs="Calibri Light"/>
                <w:b/>
                <w:bCs/>
                <w:color w:val="000000"/>
                <w:sz w:val="18"/>
                <w:szCs w:val="18"/>
              </w:rPr>
            </w:pPr>
            <w:r>
              <w:rPr>
                <w:rFonts w:ascii="Calibri Light" w:hAnsi="Calibri Light"/>
                <w:b/>
                <w:color w:val="000000"/>
                <w:sz w:val="18"/>
              </w:rPr>
              <w:t>TOTAL PASSIF À COURT TERME</w:t>
            </w:r>
          </w:p>
        </w:tc>
        <w:tc>
          <w:tcPr>
            <w:tcW w:w="709" w:type="pct"/>
            <w:tcBorders>
              <w:top w:val="single" w:sz="4" w:space="0" w:color="auto"/>
              <w:left w:val="nil"/>
              <w:bottom w:val="nil"/>
              <w:right w:val="nil"/>
            </w:tcBorders>
            <w:shd w:val="clear" w:color="auto" w:fill="auto"/>
            <w:noWrap/>
            <w:vAlign w:val="bottom"/>
            <w:hideMark/>
          </w:tcPr>
          <w:p w14:paraId="4346CCBB"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12 835 634</w:t>
            </w:r>
          </w:p>
        </w:tc>
        <w:tc>
          <w:tcPr>
            <w:tcW w:w="935" w:type="pct"/>
            <w:tcBorders>
              <w:top w:val="single" w:sz="4" w:space="0" w:color="auto"/>
              <w:left w:val="nil"/>
              <w:bottom w:val="nil"/>
              <w:right w:val="nil"/>
            </w:tcBorders>
            <w:shd w:val="clear" w:color="auto" w:fill="auto"/>
            <w:noWrap/>
            <w:vAlign w:val="bottom"/>
            <w:hideMark/>
          </w:tcPr>
          <w:p w14:paraId="0E290CC9"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10 055 257</w:t>
            </w:r>
          </w:p>
        </w:tc>
      </w:tr>
      <w:tr w:rsidR="005014F9" w14:paraId="2B73C713" w14:textId="77777777" w:rsidTr="00717185">
        <w:trPr>
          <w:trHeight w:val="20"/>
        </w:trPr>
        <w:tc>
          <w:tcPr>
            <w:tcW w:w="3356" w:type="pct"/>
            <w:tcBorders>
              <w:top w:val="nil"/>
              <w:left w:val="nil"/>
              <w:bottom w:val="nil"/>
              <w:right w:val="nil"/>
            </w:tcBorders>
            <w:shd w:val="clear" w:color="auto" w:fill="auto"/>
            <w:noWrap/>
            <w:vAlign w:val="bottom"/>
            <w:hideMark/>
          </w:tcPr>
          <w:p w14:paraId="350D4E84" w14:textId="77777777" w:rsidR="005014F9" w:rsidRDefault="005014F9">
            <w:pPr>
              <w:jc w:val="right"/>
              <w:rPr>
                <w:rFonts w:ascii="Calibri Light" w:hAnsi="Calibri Light" w:cs="Calibri Light"/>
                <w:b/>
                <w:bCs/>
                <w:color w:val="000000"/>
                <w:sz w:val="18"/>
                <w:szCs w:val="18"/>
              </w:rPr>
            </w:pPr>
          </w:p>
        </w:tc>
        <w:tc>
          <w:tcPr>
            <w:tcW w:w="709" w:type="pct"/>
            <w:tcBorders>
              <w:top w:val="nil"/>
              <w:left w:val="nil"/>
              <w:bottom w:val="nil"/>
              <w:right w:val="nil"/>
            </w:tcBorders>
            <w:shd w:val="clear" w:color="auto" w:fill="auto"/>
            <w:noWrap/>
            <w:vAlign w:val="bottom"/>
            <w:hideMark/>
          </w:tcPr>
          <w:p w14:paraId="5A89F47E" w14:textId="77777777" w:rsidR="005014F9" w:rsidRDefault="005014F9">
            <w:pPr>
              <w:rPr>
                <w:sz w:val="20"/>
                <w:szCs w:val="20"/>
              </w:rPr>
            </w:pPr>
          </w:p>
        </w:tc>
        <w:tc>
          <w:tcPr>
            <w:tcW w:w="935" w:type="pct"/>
            <w:tcBorders>
              <w:top w:val="nil"/>
              <w:left w:val="nil"/>
              <w:bottom w:val="nil"/>
              <w:right w:val="nil"/>
            </w:tcBorders>
            <w:shd w:val="clear" w:color="auto" w:fill="auto"/>
            <w:noWrap/>
            <w:vAlign w:val="bottom"/>
            <w:hideMark/>
          </w:tcPr>
          <w:p w14:paraId="79757E1B" w14:textId="77777777" w:rsidR="005014F9" w:rsidRDefault="005014F9">
            <w:pPr>
              <w:rPr>
                <w:sz w:val="20"/>
                <w:szCs w:val="20"/>
              </w:rPr>
            </w:pPr>
          </w:p>
        </w:tc>
      </w:tr>
      <w:tr w:rsidR="005014F9" w14:paraId="78D37479" w14:textId="77777777" w:rsidTr="00717185">
        <w:trPr>
          <w:trHeight w:val="20"/>
        </w:trPr>
        <w:tc>
          <w:tcPr>
            <w:tcW w:w="3356" w:type="pct"/>
            <w:tcBorders>
              <w:top w:val="nil"/>
              <w:left w:val="nil"/>
              <w:bottom w:val="nil"/>
              <w:right w:val="nil"/>
            </w:tcBorders>
            <w:shd w:val="clear" w:color="auto" w:fill="auto"/>
            <w:noWrap/>
            <w:vAlign w:val="bottom"/>
            <w:hideMark/>
          </w:tcPr>
          <w:p w14:paraId="13A8E1B9" w14:textId="77777777" w:rsidR="005014F9" w:rsidRDefault="005014F9">
            <w:pPr>
              <w:rPr>
                <w:rFonts w:ascii="Calibri Light" w:hAnsi="Calibri Light" w:cs="Calibri Light"/>
                <w:b/>
                <w:bCs/>
                <w:color w:val="000000"/>
                <w:sz w:val="18"/>
                <w:szCs w:val="18"/>
              </w:rPr>
            </w:pPr>
            <w:r>
              <w:rPr>
                <w:rFonts w:ascii="Calibri Light" w:hAnsi="Calibri Light"/>
                <w:b/>
                <w:color w:val="000000"/>
                <w:sz w:val="18"/>
              </w:rPr>
              <w:t>TOTAL PASSIF</w:t>
            </w:r>
          </w:p>
        </w:tc>
        <w:tc>
          <w:tcPr>
            <w:tcW w:w="709" w:type="pct"/>
            <w:tcBorders>
              <w:top w:val="single" w:sz="4" w:space="0" w:color="auto"/>
              <w:left w:val="nil"/>
              <w:bottom w:val="single" w:sz="8" w:space="0" w:color="auto"/>
              <w:right w:val="nil"/>
            </w:tcBorders>
            <w:shd w:val="clear" w:color="auto" w:fill="auto"/>
            <w:noWrap/>
            <w:vAlign w:val="bottom"/>
            <w:hideMark/>
          </w:tcPr>
          <w:p w14:paraId="50E82410"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21 973 386</w:t>
            </w:r>
          </w:p>
        </w:tc>
        <w:tc>
          <w:tcPr>
            <w:tcW w:w="935" w:type="pct"/>
            <w:tcBorders>
              <w:top w:val="single" w:sz="4" w:space="0" w:color="auto"/>
              <w:left w:val="nil"/>
              <w:bottom w:val="single" w:sz="8" w:space="0" w:color="auto"/>
              <w:right w:val="nil"/>
            </w:tcBorders>
            <w:shd w:val="clear" w:color="auto" w:fill="auto"/>
            <w:noWrap/>
            <w:vAlign w:val="bottom"/>
            <w:hideMark/>
          </w:tcPr>
          <w:p w14:paraId="74BC59F1"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21 013 120</w:t>
            </w:r>
          </w:p>
        </w:tc>
      </w:tr>
      <w:tr w:rsidR="005014F9" w14:paraId="3613090C" w14:textId="77777777" w:rsidTr="00717185">
        <w:trPr>
          <w:trHeight w:val="20"/>
        </w:trPr>
        <w:tc>
          <w:tcPr>
            <w:tcW w:w="3356" w:type="pct"/>
            <w:tcBorders>
              <w:top w:val="nil"/>
              <w:left w:val="nil"/>
              <w:bottom w:val="nil"/>
              <w:right w:val="nil"/>
            </w:tcBorders>
            <w:shd w:val="clear" w:color="auto" w:fill="auto"/>
            <w:noWrap/>
            <w:vAlign w:val="bottom"/>
            <w:hideMark/>
          </w:tcPr>
          <w:p w14:paraId="632844F5" w14:textId="77777777" w:rsidR="005014F9" w:rsidRDefault="005014F9">
            <w:pPr>
              <w:jc w:val="right"/>
              <w:rPr>
                <w:rFonts w:ascii="Calibri Light" w:hAnsi="Calibri Light" w:cs="Calibri Light"/>
                <w:b/>
                <w:bCs/>
                <w:color w:val="000000"/>
                <w:sz w:val="18"/>
                <w:szCs w:val="18"/>
              </w:rPr>
            </w:pPr>
          </w:p>
        </w:tc>
        <w:tc>
          <w:tcPr>
            <w:tcW w:w="709" w:type="pct"/>
            <w:tcBorders>
              <w:top w:val="nil"/>
              <w:left w:val="nil"/>
              <w:bottom w:val="nil"/>
              <w:right w:val="nil"/>
            </w:tcBorders>
            <w:shd w:val="clear" w:color="auto" w:fill="auto"/>
            <w:noWrap/>
            <w:vAlign w:val="bottom"/>
            <w:hideMark/>
          </w:tcPr>
          <w:p w14:paraId="1AEA66B7" w14:textId="77777777" w:rsidR="005014F9" w:rsidRDefault="005014F9">
            <w:pPr>
              <w:rPr>
                <w:sz w:val="20"/>
                <w:szCs w:val="20"/>
              </w:rPr>
            </w:pPr>
          </w:p>
        </w:tc>
        <w:tc>
          <w:tcPr>
            <w:tcW w:w="935" w:type="pct"/>
            <w:tcBorders>
              <w:top w:val="nil"/>
              <w:left w:val="nil"/>
              <w:bottom w:val="nil"/>
              <w:right w:val="nil"/>
            </w:tcBorders>
            <w:shd w:val="clear" w:color="auto" w:fill="auto"/>
            <w:noWrap/>
            <w:vAlign w:val="bottom"/>
            <w:hideMark/>
          </w:tcPr>
          <w:p w14:paraId="2D7329B0" w14:textId="77777777" w:rsidR="005014F9" w:rsidRDefault="005014F9">
            <w:pPr>
              <w:rPr>
                <w:sz w:val="20"/>
                <w:szCs w:val="20"/>
              </w:rPr>
            </w:pPr>
          </w:p>
        </w:tc>
      </w:tr>
      <w:tr w:rsidR="005014F9" w14:paraId="597E8727" w14:textId="77777777" w:rsidTr="00717185">
        <w:trPr>
          <w:trHeight w:val="20"/>
        </w:trPr>
        <w:tc>
          <w:tcPr>
            <w:tcW w:w="3356" w:type="pct"/>
            <w:tcBorders>
              <w:top w:val="nil"/>
              <w:left w:val="nil"/>
              <w:bottom w:val="nil"/>
              <w:right w:val="nil"/>
            </w:tcBorders>
            <w:shd w:val="clear" w:color="auto" w:fill="auto"/>
            <w:noWrap/>
            <w:vAlign w:val="bottom"/>
            <w:hideMark/>
          </w:tcPr>
          <w:p w14:paraId="134EEF79" w14:textId="77777777" w:rsidR="005014F9" w:rsidRDefault="005014F9">
            <w:pPr>
              <w:rPr>
                <w:rFonts w:ascii="Calibri Light" w:hAnsi="Calibri Light" w:cs="Calibri Light"/>
                <w:b/>
                <w:bCs/>
                <w:color w:val="000000"/>
                <w:sz w:val="18"/>
                <w:szCs w:val="18"/>
              </w:rPr>
            </w:pPr>
            <w:r>
              <w:rPr>
                <w:rFonts w:ascii="Calibri Light" w:hAnsi="Calibri Light"/>
                <w:b/>
                <w:color w:val="000000"/>
                <w:sz w:val="18"/>
              </w:rPr>
              <w:t>TOTAL CAPITAUX PROPRES ET PASSIF</w:t>
            </w:r>
          </w:p>
        </w:tc>
        <w:tc>
          <w:tcPr>
            <w:tcW w:w="709" w:type="pct"/>
            <w:tcBorders>
              <w:top w:val="single" w:sz="4" w:space="0" w:color="auto"/>
              <w:left w:val="nil"/>
              <w:bottom w:val="single" w:sz="8" w:space="0" w:color="auto"/>
              <w:right w:val="nil"/>
            </w:tcBorders>
            <w:shd w:val="clear" w:color="auto" w:fill="auto"/>
            <w:noWrap/>
            <w:vAlign w:val="bottom"/>
            <w:hideMark/>
          </w:tcPr>
          <w:p w14:paraId="5645ADD4"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28 974 133</w:t>
            </w:r>
          </w:p>
        </w:tc>
        <w:tc>
          <w:tcPr>
            <w:tcW w:w="935" w:type="pct"/>
            <w:tcBorders>
              <w:top w:val="single" w:sz="4" w:space="0" w:color="auto"/>
              <w:left w:val="nil"/>
              <w:bottom w:val="single" w:sz="8" w:space="0" w:color="auto"/>
              <w:right w:val="nil"/>
            </w:tcBorders>
            <w:shd w:val="clear" w:color="auto" w:fill="auto"/>
            <w:noWrap/>
            <w:vAlign w:val="bottom"/>
            <w:hideMark/>
          </w:tcPr>
          <w:p w14:paraId="4A2A72AF"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29 299 809</w:t>
            </w:r>
          </w:p>
        </w:tc>
      </w:tr>
    </w:tbl>
    <w:p w14:paraId="1B70A8C0" w14:textId="77777777" w:rsidR="005014F9" w:rsidRDefault="005014F9" w:rsidP="00E16D12">
      <w:pPr>
        <w:spacing w:line="276" w:lineRule="auto"/>
        <w:rPr>
          <w:rFonts w:ascii="Cambria" w:hAnsi="Cambria"/>
          <w:sz w:val="22"/>
          <w:szCs w:val="22"/>
        </w:rPr>
      </w:pPr>
    </w:p>
    <w:p w14:paraId="738C4772" w14:textId="679DCF02" w:rsidR="002C6435" w:rsidRDefault="002C6435" w:rsidP="00E16D12">
      <w:pPr>
        <w:spacing w:line="276" w:lineRule="auto"/>
        <w:rPr>
          <w:rFonts w:ascii="Cambria" w:hAnsi="Cambria"/>
          <w:sz w:val="22"/>
          <w:szCs w:val="22"/>
        </w:rPr>
      </w:pPr>
    </w:p>
    <w:p w14:paraId="69E7CEDB" w14:textId="77777777" w:rsidR="005014F9" w:rsidRDefault="005014F9">
      <w:pPr>
        <w:rPr>
          <w:rFonts w:ascii="Cambria" w:hAnsi="Cambria"/>
          <w:sz w:val="22"/>
          <w:szCs w:val="22"/>
        </w:rPr>
      </w:pPr>
    </w:p>
    <w:tbl>
      <w:tblPr>
        <w:tblW w:w="5000" w:type="pct"/>
        <w:tblCellMar>
          <w:left w:w="70" w:type="dxa"/>
          <w:right w:w="70" w:type="dxa"/>
        </w:tblCellMar>
        <w:tblLook w:val="04A0" w:firstRow="1" w:lastRow="0" w:firstColumn="1" w:lastColumn="0" w:noHBand="0" w:noVBand="1"/>
      </w:tblPr>
      <w:tblGrid>
        <w:gridCol w:w="5940"/>
        <w:gridCol w:w="1849"/>
        <w:gridCol w:w="1849"/>
      </w:tblGrid>
      <w:tr w:rsidR="005014F9" w14:paraId="33EADA72" w14:textId="77777777" w:rsidTr="0061181E">
        <w:trPr>
          <w:trHeight w:val="495"/>
        </w:trPr>
        <w:tc>
          <w:tcPr>
            <w:tcW w:w="3082" w:type="pct"/>
            <w:tcBorders>
              <w:top w:val="single" w:sz="4" w:space="0" w:color="0070C0"/>
              <w:left w:val="nil"/>
              <w:bottom w:val="single" w:sz="8" w:space="0" w:color="0070C0"/>
              <w:right w:val="nil"/>
            </w:tcBorders>
            <w:shd w:val="clear" w:color="auto" w:fill="auto"/>
            <w:noWrap/>
            <w:vAlign w:val="bottom"/>
            <w:hideMark/>
          </w:tcPr>
          <w:p w14:paraId="355F7216" w14:textId="77777777" w:rsidR="005014F9" w:rsidRDefault="005014F9">
            <w:pPr>
              <w:rPr>
                <w:rFonts w:ascii="Calibri Light" w:hAnsi="Calibri Light" w:cs="Calibri Light"/>
                <w:color w:val="000000"/>
                <w:sz w:val="18"/>
                <w:szCs w:val="18"/>
              </w:rPr>
            </w:pPr>
            <w:r>
              <w:rPr>
                <w:rFonts w:ascii="Calibri Light" w:hAnsi="Calibri Light"/>
                <w:color w:val="000000"/>
                <w:sz w:val="18"/>
              </w:rPr>
              <w:t>(</w:t>
            </w:r>
            <w:proofErr w:type="gramStart"/>
            <w:r>
              <w:rPr>
                <w:rFonts w:ascii="Calibri Light" w:hAnsi="Calibri Light"/>
                <w:color w:val="000000"/>
                <w:sz w:val="18"/>
              </w:rPr>
              <w:t>en</w:t>
            </w:r>
            <w:proofErr w:type="gramEnd"/>
            <w:r>
              <w:rPr>
                <w:rFonts w:ascii="Calibri Light" w:hAnsi="Calibri Light"/>
                <w:color w:val="000000"/>
                <w:sz w:val="18"/>
              </w:rPr>
              <w:t xml:space="preserve"> euros)</w:t>
            </w:r>
          </w:p>
        </w:tc>
        <w:tc>
          <w:tcPr>
            <w:tcW w:w="959" w:type="pct"/>
            <w:tcBorders>
              <w:top w:val="single" w:sz="4" w:space="0" w:color="0070C0"/>
              <w:left w:val="nil"/>
              <w:bottom w:val="single" w:sz="8" w:space="0" w:color="0070C0"/>
              <w:right w:val="nil"/>
            </w:tcBorders>
            <w:shd w:val="clear" w:color="auto" w:fill="auto"/>
            <w:vAlign w:val="center"/>
            <w:hideMark/>
          </w:tcPr>
          <w:p w14:paraId="29A8784E" w14:textId="77777777" w:rsidR="005014F9" w:rsidRPr="0061181E" w:rsidRDefault="005014F9">
            <w:pPr>
              <w:jc w:val="center"/>
              <w:rPr>
                <w:rFonts w:ascii="Calibri Light" w:hAnsi="Calibri Light" w:cs="Calibri Light"/>
                <w:b/>
                <w:bCs/>
                <w:sz w:val="18"/>
                <w:szCs w:val="18"/>
              </w:rPr>
            </w:pPr>
            <w:r>
              <w:rPr>
                <w:rFonts w:ascii="Calibri Light" w:hAnsi="Calibri Light"/>
                <w:b/>
                <w:sz w:val="18"/>
              </w:rPr>
              <w:t xml:space="preserve"> TAKE OFF </w:t>
            </w:r>
            <w:r>
              <w:rPr>
                <w:rFonts w:ascii="Calibri Light" w:hAnsi="Calibri Light"/>
                <w:b/>
                <w:bCs/>
                <w:sz w:val="18"/>
                <w:szCs w:val="18"/>
              </w:rPr>
              <w:br/>
            </w:r>
            <w:r>
              <w:rPr>
                <w:rFonts w:ascii="Calibri Light" w:hAnsi="Calibri Light"/>
                <w:b/>
                <w:sz w:val="18"/>
              </w:rPr>
              <w:t>30 juin 2021</w:t>
            </w:r>
          </w:p>
        </w:tc>
        <w:tc>
          <w:tcPr>
            <w:tcW w:w="959" w:type="pct"/>
            <w:tcBorders>
              <w:top w:val="single" w:sz="4" w:space="0" w:color="0070C0"/>
              <w:left w:val="nil"/>
              <w:bottom w:val="single" w:sz="8" w:space="0" w:color="0070C0"/>
              <w:right w:val="nil"/>
            </w:tcBorders>
            <w:shd w:val="clear" w:color="auto" w:fill="auto"/>
            <w:vAlign w:val="center"/>
            <w:hideMark/>
          </w:tcPr>
          <w:p w14:paraId="3F1C18A9" w14:textId="77777777" w:rsidR="005014F9" w:rsidRPr="0061181E" w:rsidRDefault="005014F9">
            <w:pPr>
              <w:jc w:val="center"/>
              <w:rPr>
                <w:rFonts w:ascii="Calibri Light" w:hAnsi="Calibri Light" w:cs="Calibri Light"/>
                <w:b/>
                <w:bCs/>
                <w:sz w:val="18"/>
                <w:szCs w:val="18"/>
              </w:rPr>
            </w:pPr>
            <w:r>
              <w:rPr>
                <w:rFonts w:ascii="Calibri Light" w:hAnsi="Calibri Light"/>
                <w:b/>
                <w:sz w:val="18"/>
              </w:rPr>
              <w:t xml:space="preserve"> TAKE OFF </w:t>
            </w:r>
            <w:r>
              <w:rPr>
                <w:rFonts w:ascii="Calibri Light" w:hAnsi="Calibri Light"/>
                <w:b/>
                <w:bCs/>
                <w:sz w:val="18"/>
                <w:szCs w:val="18"/>
              </w:rPr>
              <w:br/>
            </w:r>
            <w:r>
              <w:rPr>
                <w:rFonts w:ascii="Calibri Light" w:hAnsi="Calibri Light"/>
                <w:b/>
                <w:sz w:val="18"/>
              </w:rPr>
              <w:t>30 juin 2020</w:t>
            </w:r>
          </w:p>
        </w:tc>
      </w:tr>
      <w:tr w:rsidR="005014F9" w14:paraId="305B738C" w14:textId="77777777" w:rsidTr="0061181E">
        <w:trPr>
          <w:trHeight w:val="240"/>
        </w:trPr>
        <w:tc>
          <w:tcPr>
            <w:tcW w:w="3082" w:type="pct"/>
            <w:tcBorders>
              <w:top w:val="nil"/>
              <w:left w:val="nil"/>
              <w:bottom w:val="nil"/>
              <w:right w:val="nil"/>
            </w:tcBorders>
            <w:shd w:val="clear" w:color="auto" w:fill="auto"/>
            <w:noWrap/>
            <w:vAlign w:val="bottom"/>
            <w:hideMark/>
          </w:tcPr>
          <w:p w14:paraId="53CB1317" w14:textId="77777777" w:rsidR="005014F9" w:rsidRDefault="005014F9">
            <w:pPr>
              <w:jc w:val="center"/>
              <w:rPr>
                <w:rFonts w:ascii="Calibri Light" w:hAnsi="Calibri Light" w:cs="Calibri Light"/>
                <w:b/>
                <w:bCs/>
                <w:color w:val="FF0000"/>
                <w:sz w:val="18"/>
                <w:szCs w:val="18"/>
              </w:rPr>
            </w:pPr>
          </w:p>
        </w:tc>
        <w:tc>
          <w:tcPr>
            <w:tcW w:w="959" w:type="pct"/>
            <w:tcBorders>
              <w:top w:val="nil"/>
              <w:left w:val="nil"/>
              <w:bottom w:val="nil"/>
              <w:right w:val="nil"/>
            </w:tcBorders>
            <w:shd w:val="clear" w:color="auto" w:fill="auto"/>
            <w:vAlign w:val="bottom"/>
            <w:hideMark/>
          </w:tcPr>
          <w:p w14:paraId="30A844BB" w14:textId="77777777" w:rsidR="005014F9" w:rsidRDefault="005014F9">
            <w:pPr>
              <w:rPr>
                <w:sz w:val="20"/>
                <w:szCs w:val="20"/>
              </w:rPr>
            </w:pPr>
          </w:p>
        </w:tc>
        <w:tc>
          <w:tcPr>
            <w:tcW w:w="959" w:type="pct"/>
            <w:tcBorders>
              <w:top w:val="nil"/>
              <w:left w:val="nil"/>
              <w:bottom w:val="nil"/>
              <w:right w:val="nil"/>
            </w:tcBorders>
            <w:shd w:val="clear" w:color="auto" w:fill="auto"/>
            <w:vAlign w:val="bottom"/>
            <w:hideMark/>
          </w:tcPr>
          <w:p w14:paraId="42617893" w14:textId="77777777" w:rsidR="005014F9" w:rsidRDefault="005014F9">
            <w:pPr>
              <w:jc w:val="center"/>
              <w:rPr>
                <w:sz w:val="20"/>
                <w:szCs w:val="20"/>
              </w:rPr>
            </w:pPr>
          </w:p>
        </w:tc>
      </w:tr>
      <w:tr w:rsidR="005014F9" w14:paraId="07CA4C46" w14:textId="77777777" w:rsidTr="0061181E">
        <w:trPr>
          <w:trHeight w:val="240"/>
        </w:trPr>
        <w:tc>
          <w:tcPr>
            <w:tcW w:w="3082" w:type="pct"/>
            <w:tcBorders>
              <w:top w:val="nil"/>
              <w:left w:val="nil"/>
              <w:bottom w:val="nil"/>
              <w:right w:val="nil"/>
            </w:tcBorders>
            <w:shd w:val="clear" w:color="auto" w:fill="auto"/>
            <w:noWrap/>
            <w:vAlign w:val="bottom"/>
            <w:hideMark/>
          </w:tcPr>
          <w:p w14:paraId="3F6C9B06" w14:textId="77777777" w:rsidR="005014F9" w:rsidRDefault="005014F9">
            <w:pPr>
              <w:jc w:val="center"/>
              <w:rPr>
                <w:sz w:val="20"/>
                <w:szCs w:val="20"/>
              </w:rPr>
            </w:pPr>
          </w:p>
        </w:tc>
        <w:tc>
          <w:tcPr>
            <w:tcW w:w="959" w:type="pct"/>
            <w:tcBorders>
              <w:top w:val="nil"/>
              <w:left w:val="nil"/>
              <w:bottom w:val="nil"/>
              <w:right w:val="nil"/>
            </w:tcBorders>
            <w:shd w:val="clear" w:color="auto" w:fill="auto"/>
            <w:vAlign w:val="bottom"/>
            <w:hideMark/>
          </w:tcPr>
          <w:p w14:paraId="448414DD" w14:textId="77777777" w:rsidR="005014F9" w:rsidRDefault="005014F9">
            <w:pPr>
              <w:rPr>
                <w:sz w:val="20"/>
                <w:szCs w:val="20"/>
              </w:rPr>
            </w:pPr>
          </w:p>
        </w:tc>
        <w:tc>
          <w:tcPr>
            <w:tcW w:w="959" w:type="pct"/>
            <w:tcBorders>
              <w:top w:val="nil"/>
              <w:left w:val="nil"/>
              <w:bottom w:val="nil"/>
              <w:right w:val="nil"/>
            </w:tcBorders>
            <w:shd w:val="clear" w:color="auto" w:fill="auto"/>
            <w:vAlign w:val="bottom"/>
            <w:hideMark/>
          </w:tcPr>
          <w:p w14:paraId="1A213A67" w14:textId="77777777" w:rsidR="005014F9" w:rsidRDefault="005014F9">
            <w:pPr>
              <w:jc w:val="center"/>
              <w:rPr>
                <w:sz w:val="20"/>
                <w:szCs w:val="20"/>
              </w:rPr>
            </w:pPr>
          </w:p>
        </w:tc>
      </w:tr>
      <w:tr w:rsidR="005014F9" w14:paraId="72DAFBA6" w14:textId="77777777" w:rsidTr="0061181E">
        <w:trPr>
          <w:trHeight w:val="240"/>
        </w:trPr>
        <w:tc>
          <w:tcPr>
            <w:tcW w:w="3082" w:type="pct"/>
            <w:tcBorders>
              <w:top w:val="nil"/>
              <w:left w:val="nil"/>
              <w:bottom w:val="nil"/>
              <w:right w:val="nil"/>
            </w:tcBorders>
            <w:shd w:val="clear" w:color="auto" w:fill="auto"/>
            <w:noWrap/>
            <w:vAlign w:val="bottom"/>
            <w:hideMark/>
          </w:tcPr>
          <w:p w14:paraId="76DCDE83" w14:textId="77777777" w:rsidR="005014F9" w:rsidRDefault="005014F9">
            <w:pPr>
              <w:rPr>
                <w:rFonts w:ascii="Calibri Light" w:hAnsi="Calibri Light" w:cs="Calibri Light"/>
                <w:color w:val="000000"/>
                <w:sz w:val="18"/>
                <w:szCs w:val="18"/>
              </w:rPr>
            </w:pPr>
            <w:r>
              <w:rPr>
                <w:rFonts w:ascii="Calibri Light" w:hAnsi="Calibri Light"/>
                <w:color w:val="000000"/>
                <w:sz w:val="18"/>
              </w:rPr>
              <w:t>Revenus des contrats avec les clients</w:t>
            </w:r>
          </w:p>
        </w:tc>
        <w:tc>
          <w:tcPr>
            <w:tcW w:w="959" w:type="pct"/>
            <w:tcBorders>
              <w:top w:val="nil"/>
              <w:left w:val="nil"/>
              <w:bottom w:val="nil"/>
              <w:right w:val="nil"/>
            </w:tcBorders>
            <w:shd w:val="clear" w:color="auto" w:fill="auto"/>
            <w:noWrap/>
            <w:vAlign w:val="bottom"/>
            <w:hideMark/>
          </w:tcPr>
          <w:p w14:paraId="12513391"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8 625 897</w:t>
            </w:r>
          </w:p>
        </w:tc>
        <w:tc>
          <w:tcPr>
            <w:tcW w:w="959" w:type="pct"/>
            <w:tcBorders>
              <w:top w:val="nil"/>
              <w:left w:val="nil"/>
              <w:bottom w:val="nil"/>
              <w:right w:val="nil"/>
            </w:tcBorders>
            <w:shd w:val="clear" w:color="auto" w:fill="auto"/>
            <w:noWrap/>
            <w:vAlign w:val="bottom"/>
            <w:hideMark/>
          </w:tcPr>
          <w:p w14:paraId="5033EB69"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6 007 311</w:t>
            </w:r>
          </w:p>
        </w:tc>
      </w:tr>
      <w:tr w:rsidR="005014F9" w14:paraId="7758FE29" w14:textId="77777777" w:rsidTr="0061181E">
        <w:trPr>
          <w:trHeight w:val="240"/>
        </w:trPr>
        <w:tc>
          <w:tcPr>
            <w:tcW w:w="3082" w:type="pct"/>
            <w:tcBorders>
              <w:top w:val="nil"/>
              <w:left w:val="nil"/>
              <w:bottom w:val="nil"/>
              <w:right w:val="nil"/>
            </w:tcBorders>
            <w:shd w:val="clear" w:color="auto" w:fill="auto"/>
            <w:noWrap/>
            <w:vAlign w:val="bottom"/>
            <w:hideMark/>
          </w:tcPr>
          <w:p w14:paraId="55F50DB5" w14:textId="77777777" w:rsidR="005014F9" w:rsidRDefault="005014F9">
            <w:pPr>
              <w:rPr>
                <w:rFonts w:ascii="Calibri Light" w:hAnsi="Calibri Light" w:cs="Calibri Light"/>
                <w:b/>
                <w:bCs/>
                <w:color w:val="000000"/>
                <w:sz w:val="18"/>
                <w:szCs w:val="18"/>
              </w:rPr>
            </w:pPr>
            <w:r>
              <w:rPr>
                <w:rFonts w:ascii="Calibri Light" w:hAnsi="Calibri Light"/>
                <w:b/>
                <w:color w:val="000000"/>
                <w:sz w:val="18"/>
              </w:rPr>
              <w:lastRenderedPageBreak/>
              <w:t>REVENUS</w:t>
            </w:r>
          </w:p>
        </w:tc>
        <w:tc>
          <w:tcPr>
            <w:tcW w:w="959" w:type="pct"/>
            <w:tcBorders>
              <w:top w:val="nil"/>
              <w:left w:val="nil"/>
              <w:bottom w:val="nil"/>
              <w:right w:val="nil"/>
            </w:tcBorders>
            <w:shd w:val="clear" w:color="auto" w:fill="auto"/>
            <w:noWrap/>
            <w:vAlign w:val="bottom"/>
            <w:hideMark/>
          </w:tcPr>
          <w:p w14:paraId="351BC314"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8 625 897</w:t>
            </w:r>
          </w:p>
        </w:tc>
        <w:tc>
          <w:tcPr>
            <w:tcW w:w="959" w:type="pct"/>
            <w:tcBorders>
              <w:top w:val="nil"/>
              <w:left w:val="nil"/>
              <w:bottom w:val="nil"/>
              <w:right w:val="nil"/>
            </w:tcBorders>
            <w:shd w:val="clear" w:color="auto" w:fill="auto"/>
            <w:noWrap/>
            <w:vAlign w:val="bottom"/>
            <w:hideMark/>
          </w:tcPr>
          <w:p w14:paraId="0517A671"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6 007 311</w:t>
            </w:r>
          </w:p>
        </w:tc>
      </w:tr>
      <w:tr w:rsidR="005014F9" w14:paraId="0B701B13" w14:textId="77777777" w:rsidTr="0061181E">
        <w:trPr>
          <w:trHeight w:val="240"/>
        </w:trPr>
        <w:tc>
          <w:tcPr>
            <w:tcW w:w="3082" w:type="pct"/>
            <w:tcBorders>
              <w:top w:val="nil"/>
              <w:left w:val="nil"/>
              <w:bottom w:val="nil"/>
              <w:right w:val="nil"/>
            </w:tcBorders>
            <w:shd w:val="clear" w:color="auto" w:fill="auto"/>
            <w:noWrap/>
            <w:vAlign w:val="bottom"/>
            <w:hideMark/>
          </w:tcPr>
          <w:p w14:paraId="2C1B652E" w14:textId="77777777" w:rsidR="005014F9" w:rsidRDefault="005014F9">
            <w:pPr>
              <w:jc w:val="right"/>
              <w:rPr>
                <w:rFonts w:ascii="Calibri Light" w:hAnsi="Calibri Light" w:cs="Calibri Light"/>
                <w:b/>
                <w:bCs/>
                <w:color w:val="000000"/>
                <w:sz w:val="18"/>
                <w:szCs w:val="18"/>
              </w:rPr>
            </w:pPr>
          </w:p>
        </w:tc>
        <w:tc>
          <w:tcPr>
            <w:tcW w:w="959" w:type="pct"/>
            <w:tcBorders>
              <w:top w:val="nil"/>
              <w:left w:val="nil"/>
              <w:bottom w:val="nil"/>
              <w:right w:val="nil"/>
            </w:tcBorders>
            <w:shd w:val="clear" w:color="auto" w:fill="auto"/>
            <w:noWrap/>
            <w:vAlign w:val="bottom"/>
            <w:hideMark/>
          </w:tcPr>
          <w:p w14:paraId="320559F9" w14:textId="77777777" w:rsidR="005014F9" w:rsidRDefault="005014F9">
            <w:pPr>
              <w:rPr>
                <w:sz w:val="20"/>
                <w:szCs w:val="20"/>
              </w:rPr>
            </w:pPr>
          </w:p>
        </w:tc>
        <w:tc>
          <w:tcPr>
            <w:tcW w:w="959" w:type="pct"/>
            <w:tcBorders>
              <w:top w:val="nil"/>
              <w:left w:val="nil"/>
              <w:bottom w:val="nil"/>
              <w:right w:val="nil"/>
            </w:tcBorders>
            <w:shd w:val="clear" w:color="auto" w:fill="auto"/>
            <w:noWrap/>
            <w:vAlign w:val="bottom"/>
            <w:hideMark/>
          </w:tcPr>
          <w:p w14:paraId="12596B25" w14:textId="77777777" w:rsidR="005014F9" w:rsidRDefault="005014F9">
            <w:pPr>
              <w:rPr>
                <w:sz w:val="20"/>
                <w:szCs w:val="20"/>
              </w:rPr>
            </w:pPr>
          </w:p>
        </w:tc>
      </w:tr>
      <w:tr w:rsidR="005014F9" w14:paraId="51E65088" w14:textId="77777777" w:rsidTr="0061181E">
        <w:trPr>
          <w:trHeight w:val="240"/>
        </w:trPr>
        <w:tc>
          <w:tcPr>
            <w:tcW w:w="3082" w:type="pct"/>
            <w:tcBorders>
              <w:top w:val="nil"/>
              <w:left w:val="nil"/>
              <w:bottom w:val="nil"/>
              <w:right w:val="nil"/>
            </w:tcBorders>
            <w:shd w:val="clear" w:color="auto" w:fill="auto"/>
            <w:noWrap/>
            <w:vAlign w:val="bottom"/>
            <w:hideMark/>
          </w:tcPr>
          <w:p w14:paraId="66CB56F5" w14:textId="77777777" w:rsidR="005014F9" w:rsidRDefault="005014F9">
            <w:pPr>
              <w:rPr>
                <w:rFonts w:ascii="Calibri Light" w:hAnsi="Calibri Light" w:cs="Calibri Light"/>
                <w:color w:val="000000"/>
                <w:sz w:val="18"/>
                <w:szCs w:val="18"/>
              </w:rPr>
            </w:pPr>
            <w:r>
              <w:rPr>
                <w:rFonts w:ascii="Calibri Light" w:hAnsi="Calibri Light"/>
                <w:color w:val="000000"/>
                <w:sz w:val="18"/>
              </w:rPr>
              <w:t>Autres revenus</w:t>
            </w:r>
          </w:p>
        </w:tc>
        <w:tc>
          <w:tcPr>
            <w:tcW w:w="959" w:type="pct"/>
            <w:tcBorders>
              <w:top w:val="nil"/>
              <w:left w:val="nil"/>
              <w:bottom w:val="nil"/>
              <w:right w:val="nil"/>
            </w:tcBorders>
            <w:shd w:val="clear" w:color="auto" w:fill="auto"/>
            <w:noWrap/>
            <w:vAlign w:val="bottom"/>
            <w:hideMark/>
          </w:tcPr>
          <w:p w14:paraId="21D3D18B"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331 683</w:t>
            </w:r>
          </w:p>
        </w:tc>
        <w:tc>
          <w:tcPr>
            <w:tcW w:w="959" w:type="pct"/>
            <w:tcBorders>
              <w:top w:val="nil"/>
              <w:left w:val="nil"/>
              <w:bottom w:val="nil"/>
              <w:right w:val="nil"/>
            </w:tcBorders>
            <w:shd w:val="clear" w:color="auto" w:fill="auto"/>
            <w:noWrap/>
            <w:vAlign w:val="bottom"/>
            <w:hideMark/>
          </w:tcPr>
          <w:p w14:paraId="561A817C"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957 979</w:t>
            </w:r>
          </w:p>
        </w:tc>
      </w:tr>
      <w:tr w:rsidR="005014F9" w14:paraId="76B4C10C" w14:textId="77777777" w:rsidTr="0061181E">
        <w:trPr>
          <w:trHeight w:val="240"/>
        </w:trPr>
        <w:tc>
          <w:tcPr>
            <w:tcW w:w="3082" w:type="pct"/>
            <w:tcBorders>
              <w:top w:val="nil"/>
              <w:left w:val="nil"/>
              <w:bottom w:val="nil"/>
              <w:right w:val="nil"/>
            </w:tcBorders>
            <w:shd w:val="clear" w:color="auto" w:fill="auto"/>
            <w:noWrap/>
            <w:vAlign w:val="bottom"/>
            <w:hideMark/>
          </w:tcPr>
          <w:p w14:paraId="0BAC4D1F" w14:textId="77777777" w:rsidR="005014F9" w:rsidRDefault="005014F9">
            <w:pPr>
              <w:rPr>
                <w:rFonts w:ascii="Calibri Light" w:hAnsi="Calibri Light" w:cs="Calibri Light"/>
                <w:i/>
                <w:iCs/>
                <w:color w:val="000000"/>
                <w:sz w:val="18"/>
                <w:szCs w:val="18"/>
              </w:rPr>
            </w:pPr>
            <w:proofErr w:type="gramStart"/>
            <w:r>
              <w:rPr>
                <w:rFonts w:ascii="Calibri Light" w:hAnsi="Calibri Light"/>
                <w:i/>
                <w:color w:val="000000"/>
                <w:sz w:val="18"/>
              </w:rPr>
              <w:t>dont</w:t>
            </w:r>
            <w:proofErr w:type="gramEnd"/>
            <w:r>
              <w:rPr>
                <w:rFonts w:ascii="Calibri Light" w:hAnsi="Calibri Light"/>
                <w:i/>
                <w:color w:val="000000"/>
                <w:sz w:val="18"/>
              </w:rPr>
              <w:t xml:space="preserve"> avec des parties liées</w:t>
            </w:r>
          </w:p>
        </w:tc>
        <w:tc>
          <w:tcPr>
            <w:tcW w:w="959" w:type="pct"/>
            <w:tcBorders>
              <w:top w:val="nil"/>
              <w:left w:val="nil"/>
              <w:bottom w:val="nil"/>
              <w:right w:val="nil"/>
            </w:tcBorders>
            <w:shd w:val="clear" w:color="000000" w:fill="FFFFFF"/>
            <w:noWrap/>
            <w:vAlign w:val="bottom"/>
            <w:hideMark/>
          </w:tcPr>
          <w:p w14:paraId="6C175E53" w14:textId="77777777" w:rsidR="005014F9" w:rsidRDefault="005014F9">
            <w:pPr>
              <w:rPr>
                <w:rFonts w:ascii="Calibri Light" w:hAnsi="Calibri Light" w:cs="Calibri Light"/>
                <w:i/>
                <w:iCs/>
                <w:color w:val="000000"/>
                <w:sz w:val="18"/>
                <w:szCs w:val="18"/>
              </w:rPr>
            </w:pPr>
            <w:r>
              <w:rPr>
                <w:rFonts w:ascii="Calibri Light" w:hAnsi="Calibri Light"/>
                <w:i/>
                <w:color w:val="000000"/>
                <w:sz w:val="18"/>
              </w:rPr>
              <w:t> </w:t>
            </w:r>
          </w:p>
        </w:tc>
        <w:tc>
          <w:tcPr>
            <w:tcW w:w="959" w:type="pct"/>
            <w:tcBorders>
              <w:top w:val="nil"/>
              <w:left w:val="nil"/>
              <w:bottom w:val="nil"/>
              <w:right w:val="nil"/>
            </w:tcBorders>
            <w:shd w:val="clear" w:color="000000" w:fill="FFFFFF"/>
            <w:noWrap/>
            <w:vAlign w:val="bottom"/>
            <w:hideMark/>
          </w:tcPr>
          <w:p w14:paraId="578A7B9B" w14:textId="77777777" w:rsidR="005014F9" w:rsidRDefault="005014F9">
            <w:pPr>
              <w:rPr>
                <w:rFonts w:ascii="Calibri Light" w:hAnsi="Calibri Light" w:cs="Calibri Light"/>
                <w:i/>
                <w:iCs/>
                <w:color w:val="000000"/>
                <w:sz w:val="18"/>
                <w:szCs w:val="18"/>
              </w:rPr>
            </w:pPr>
            <w:r>
              <w:rPr>
                <w:rFonts w:ascii="Calibri Light" w:hAnsi="Calibri Light"/>
                <w:i/>
                <w:color w:val="000000"/>
                <w:sz w:val="18"/>
              </w:rPr>
              <w:t> </w:t>
            </w:r>
          </w:p>
        </w:tc>
      </w:tr>
      <w:tr w:rsidR="005014F9" w14:paraId="6F21302B" w14:textId="77777777" w:rsidTr="0061181E">
        <w:trPr>
          <w:trHeight w:val="240"/>
        </w:trPr>
        <w:tc>
          <w:tcPr>
            <w:tcW w:w="3082" w:type="pct"/>
            <w:tcBorders>
              <w:top w:val="nil"/>
              <w:left w:val="nil"/>
              <w:bottom w:val="nil"/>
              <w:right w:val="nil"/>
            </w:tcBorders>
            <w:shd w:val="clear" w:color="auto" w:fill="auto"/>
            <w:noWrap/>
            <w:vAlign w:val="bottom"/>
            <w:hideMark/>
          </w:tcPr>
          <w:p w14:paraId="0F5EDE1A" w14:textId="77777777" w:rsidR="005014F9" w:rsidRDefault="005014F9">
            <w:pPr>
              <w:rPr>
                <w:rFonts w:ascii="Calibri Light" w:hAnsi="Calibri Light" w:cs="Calibri Light"/>
                <w:i/>
                <w:iCs/>
                <w:color w:val="000000"/>
                <w:sz w:val="18"/>
                <w:szCs w:val="18"/>
              </w:rPr>
            </w:pPr>
          </w:p>
        </w:tc>
        <w:tc>
          <w:tcPr>
            <w:tcW w:w="959" w:type="pct"/>
            <w:tcBorders>
              <w:top w:val="nil"/>
              <w:left w:val="nil"/>
              <w:bottom w:val="nil"/>
              <w:right w:val="nil"/>
            </w:tcBorders>
            <w:shd w:val="clear" w:color="auto" w:fill="auto"/>
            <w:noWrap/>
            <w:vAlign w:val="bottom"/>
            <w:hideMark/>
          </w:tcPr>
          <w:p w14:paraId="457B3EEC" w14:textId="77777777" w:rsidR="005014F9" w:rsidRDefault="005014F9">
            <w:pPr>
              <w:rPr>
                <w:sz w:val="20"/>
                <w:szCs w:val="20"/>
              </w:rPr>
            </w:pPr>
          </w:p>
        </w:tc>
        <w:tc>
          <w:tcPr>
            <w:tcW w:w="959" w:type="pct"/>
            <w:tcBorders>
              <w:top w:val="nil"/>
              <w:left w:val="nil"/>
              <w:bottom w:val="nil"/>
              <w:right w:val="nil"/>
            </w:tcBorders>
            <w:shd w:val="clear" w:color="auto" w:fill="auto"/>
            <w:noWrap/>
            <w:vAlign w:val="bottom"/>
            <w:hideMark/>
          </w:tcPr>
          <w:p w14:paraId="2429B569" w14:textId="77777777" w:rsidR="005014F9" w:rsidRDefault="005014F9">
            <w:pPr>
              <w:rPr>
                <w:sz w:val="20"/>
                <w:szCs w:val="20"/>
              </w:rPr>
            </w:pPr>
          </w:p>
        </w:tc>
      </w:tr>
      <w:tr w:rsidR="005014F9" w14:paraId="5897ED4B" w14:textId="77777777" w:rsidTr="0061181E">
        <w:trPr>
          <w:trHeight w:val="240"/>
        </w:trPr>
        <w:tc>
          <w:tcPr>
            <w:tcW w:w="3082" w:type="pct"/>
            <w:tcBorders>
              <w:top w:val="nil"/>
              <w:left w:val="nil"/>
              <w:bottom w:val="nil"/>
              <w:right w:val="nil"/>
            </w:tcBorders>
            <w:shd w:val="clear" w:color="auto" w:fill="auto"/>
            <w:noWrap/>
            <w:vAlign w:val="bottom"/>
            <w:hideMark/>
          </w:tcPr>
          <w:p w14:paraId="6741D635" w14:textId="77777777" w:rsidR="005014F9" w:rsidRDefault="005014F9">
            <w:pPr>
              <w:rPr>
                <w:rFonts w:ascii="Calibri Light" w:hAnsi="Calibri Light" w:cs="Calibri Light"/>
                <w:color w:val="000000"/>
                <w:sz w:val="18"/>
                <w:szCs w:val="18"/>
              </w:rPr>
            </w:pPr>
            <w:r>
              <w:rPr>
                <w:rFonts w:ascii="Calibri Light" w:hAnsi="Calibri Light"/>
                <w:color w:val="000000"/>
                <w:sz w:val="18"/>
              </w:rPr>
              <w:t>Coûts des matières premières et consommables</w:t>
            </w:r>
          </w:p>
        </w:tc>
        <w:tc>
          <w:tcPr>
            <w:tcW w:w="959" w:type="pct"/>
            <w:tcBorders>
              <w:top w:val="nil"/>
              <w:left w:val="nil"/>
              <w:bottom w:val="nil"/>
              <w:right w:val="nil"/>
            </w:tcBorders>
            <w:shd w:val="clear" w:color="auto" w:fill="auto"/>
            <w:noWrap/>
            <w:vAlign w:val="bottom"/>
            <w:hideMark/>
          </w:tcPr>
          <w:p w14:paraId="63C3A15E"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(4 035 840)</w:t>
            </w:r>
          </w:p>
        </w:tc>
        <w:tc>
          <w:tcPr>
            <w:tcW w:w="959" w:type="pct"/>
            <w:tcBorders>
              <w:top w:val="nil"/>
              <w:left w:val="nil"/>
              <w:bottom w:val="nil"/>
              <w:right w:val="nil"/>
            </w:tcBorders>
            <w:shd w:val="clear" w:color="000000" w:fill="FFFFFF"/>
            <w:noWrap/>
            <w:vAlign w:val="bottom"/>
            <w:hideMark/>
          </w:tcPr>
          <w:p w14:paraId="6312857D"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(3 777 583)</w:t>
            </w:r>
          </w:p>
        </w:tc>
      </w:tr>
      <w:tr w:rsidR="005014F9" w14:paraId="690A1DA2" w14:textId="77777777" w:rsidTr="0061181E">
        <w:trPr>
          <w:trHeight w:val="240"/>
        </w:trPr>
        <w:tc>
          <w:tcPr>
            <w:tcW w:w="3082" w:type="pct"/>
            <w:tcBorders>
              <w:top w:val="nil"/>
              <w:left w:val="nil"/>
              <w:bottom w:val="nil"/>
              <w:right w:val="nil"/>
            </w:tcBorders>
            <w:shd w:val="clear" w:color="auto" w:fill="auto"/>
            <w:noWrap/>
            <w:vAlign w:val="bottom"/>
            <w:hideMark/>
          </w:tcPr>
          <w:p w14:paraId="57772AC4" w14:textId="77777777" w:rsidR="005014F9" w:rsidRDefault="005014F9">
            <w:pPr>
              <w:rPr>
                <w:rFonts w:ascii="Calibri Light" w:hAnsi="Calibri Light" w:cs="Calibri Light"/>
                <w:color w:val="000000"/>
                <w:sz w:val="18"/>
                <w:szCs w:val="18"/>
              </w:rPr>
            </w:pPr>
            <w:r>
              <w:rPr>
                <w:rFonts w:ascii="Calibri Light" w:hAnsi="Calibri Light"/>
                <w:color w:val="000000"/>
                <w:sz w:val="18"/>
              </w:rPr>
              <w:t>Coûts de services</w:t>
            </w:r>
          </w:p>
        </w:tc>
        <w:tc>
          <w:tcPr>
            <w:tcW w:w="959" w:type="pct"/>
            <w:tcBorders>
              <w:top w:val="nil"/>
              <w:left w:val="nil"/>
              <w:bottom w:val="nil"/>
              <w:right w:val="nil"/>
            </w:tcBorders>
            <w:shd w:val="clear" w:color="auto" w:fill="auto"/>
            <w:noWrap/>
            <w:vAlign w:val="bottom"/>
            <w:hideMark/>
          </w:tcPr>
          <w:p w14:paraId="11B076D9"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(537 808)</w:t>
            </w:r>
          </w:p>
        </w:tc>
        <w:tc>
          <w:tcPr>
            <w:tcW w:w="959" w:type="pct"/>
            <w:tcBorders>
              <w:top w:val="nil"/>
              <w:left w:val="nil"/>
              <w:bottom w:val="nil"/>
              <w:right w:val="nil"/>
            </w:tcBorders>
            <w:shd w:val="clear" w:color="000000" w:fill="FFFFFF"/>
            <w:noWrap/>
            <w:vAlign w:val="bottom"/>
            <w:hideMark/>
          </w:tcPr>
          <w:p w14:paraId="39CC2DE9"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(524 293)</w:t>
            </w:r>
          </w:p>
        </w:tc>
      </w:tr>
      <w:tr w:rsidR="005014F9" w14:paraId="0E34F3AC" w14:textId="77777777" w:rsidTr="0061181E">
        <w:trPr>
          <w:trHeight w:val="240"/>
        </w:trPr>
        <w:tc>
          <w:tcPr>
            <w:tcW w:w="3082" w:type="pct"/>
            <w:tcBorders>
              <w:top w:val="nil"/>
              <w:left w:val="nil"/>
              <w:bottom w:val="nil"/>
              <w:right w:val="nil"/>
            </w:tcBorders>
            <w:shd w:val="clear" w:color="auto" w:fill="auto"/>
            <w:noWrap/>
            <w:vAlign w:val="bottom"/>
            <w:hideMark/>
          </w:tcPr>
          <w:p w14:paraId="441FAF76" w14:textId="77777777" w:rsidR="005014F9" w:rsidRDefault="005014F9">
            <w:pPr>
              <w:rPr>
                <w:rFonts w:ascii="Calibri Light" w:hAnsi="Calibri Light" w:cs="Calibri Light"/>
                <w:color w:val="000000"/>
                <w:sz w:val="18"/>
                <w:szCs w:val="18"/>
              </w:rPr>
            </w:pPr>
            <w:r>
              <w:rPr>
                <w:rFonts w:ascii="Calibri Light" w:hAnsi="Calibri Light"/>
                <w:color w:val="000000"/>
                <w:sz w:val="18"/>
              </w:rPr>
              <w:t>Charges de personnel</w:t>
            </w:r>
          </w:p>
        </w:tc>
        <w:tc>
          <w:tcPr>
            <w:tcW w:w="959" w:type="pct"/>
            <w:tcBorders>
              <w:top w:val="nil"/>
              <w:left w:val="nil"/>
              <w:bottom w:val="nil"/>
              <w:right w:val="nil"/>
            </w:tcBorders>
            <w:shd w:val="clear" w:color="auto" w:fill="auto"/>
            <w:noWrap/>
            <w:vAlign w:val="bottom"/>
            <w:hideMark/>
          </w:tcPr>
          <w:p w14:paraId="0E9B1305"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(1 667 746)</w:t>
            </w:r>
          </w:p>
        </w:tc>
        <w:tc>
          <w:tcPr>
            <w:tcW w:w="959" w:type="pct"/>
            <w:tcBorders>
              <w:top w:val="nil"/>
              <w:left w:val="nil"/>
              <w:bottom w:val="nil"/>
              <w:right w:val="nil"/>
            </w:tcBorders>
            <w:shd w:val="clear" w:color="auto" w:fill="auto"/>
            <w:noWrap/>
            <w:vAlign w:val="bottom"/>
            <w:hideMark/>
          </w:tcPr>
          <w:p w14:paraId="6E354F6D"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(1 355 534)</w:t>
            </w:r>
          </w:p>
        </w:tc>
      </w:tr>
      <w:tr w:rsidR="005014F9" w14:paraId="7E6A0B34" w14:textId="77777777" w:rsidTr="0061181E">
        <w:trPr>
          <w:trHeight w:val="240"/>
        </w:trPr>
        <w:tc>
          <w:tcPr>
            <w:tcW w:w="3082" w:type="pct"/>
            <w:tcBorders>
              <w:top w:val="nil"/>
              <w:left w:val="nil"/>
              <w:bottom w:val="nil"/>
              <w:right w:val="nil"/>
            </w:tcBorders>
            <w:shd w:val="clear" w:color="auto" w:fill="auto"/>
            <w:noWrap/>
            <w:vAlign w:val="bottom"/>
            <w:hideMark/>
          </w:tcPr>
          <w:p w14:paraId="2074D6B1" w14:textId="77777777" w:rsidR="005014F9" w:rsidRDefault="005014F9">
            <w:pPr>
              <w:rPr>
                <w:rFonts w:ascii="Calibri Light" w:hAnsi="Calibri Light" w:cs="Calibri Light"/>
                <w:color w:val="000000"/>
                <w:sz w:val="18"/>
                <w:szCs w:val="18"/>
              </w:rPr>
            </w:pPr>
            <w:r>
              <w:rPr>
                <w:rFonts w:ascii="Calibri Light" w:hAnsi="Calibri Light"/>
                <w:color w:val="000000"/>
                <w:sz w:val="18"/>
              </w:rPr>
              <w:t>Autres coûts d’exploitation</w:t>
            </w:r>
          </w:p>
        </w:tc>
        <w:tc>
          <w:tcPr>
            <w:tcW w:w="959" w:type="pct"/>
            <w:tcBorders>
              <w:top w:val="nil"/>
              <w:left w:val="nil"/>
              <w:bottom w:val="nil"/>
              <w:right w:val="nil"/>
            </w:tcBorders>
            <w:shd w:val="clear" w:color="auto" w:fill="auto"/>
            <w:noWrap/>
            <w:vAlign w:val="bottom"/>
            <w:hideMark/>
          </w:tcPr>
          <w:p w14:paraId="3D5D0989"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(88 403)</w:t>
            </w:r>
          </w:p>
        </w:tc>
        <w:tc>
          <w:tcPr>
            <w:tcW w:w="959" w:type="pct"/>
            <w:tcBorders>
              <w:top w:val="nil"/>
              <w:left w:val="nil"/>
              <w:bottom w:val="nil"/>
              <w:right w:val="nil"/>
            </w:tcBorders>
            <w:shd w:val="clear" w:color="auto" w:fill="auto"/>
            <w:noWrap/>
            <w:vAlign w:val="bottom"/>
            <w:hideMark/>
          </w:tcPr>
          <w:p w14:paraId="3543A051"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(96 785)</w:t>
            </w:r>
          </w:p>
        </w:tc>
      </w:tr>
      <w:tr w:rsidR="005014F9" w14:paraId="6218392D" w14:textId="77777777" w:rsidTr="0061181E">
        <w:trPr>
          <w:trHeight w:val="240"/>
        </w:trPr>
        <w:tc>
          <w:tcPr>
            <w:tcW w:w="3082" w:type="pct"/>
            <w:tcBorders>
              <w:top w:val="nil"/>
              <w:left w:val="nil"/>
              <w:bottom w:val="nil"/>
              <w:right w:val="nil"/>
            </w:tcBorders>
            <w:shd w:val="clear" w:color="auto" w:fill="auto"/>
            <w:noWrap/>
            <w:vAlign w:val="bottom"/>
            <w:hideMark/>
          </w:tcPr>
          <w:p w14:paraId="453CCA8B" w14:textId="77777777" w:rsidR="005014F9" w:rsidRDefault="005014F9">
            <w:pPr>
              <w:rPr>
                <w:rFonts w:ascii="Calibri Light" w:hAnsi="Calibri Light" w:cs="Calibri Light"/>
                <w:color w:val="000000"/>
                <w:sz w:val="18"/>
                <w:szCs w:val="18"/>
              </w:rPr>
            </w:pPr>
            <w:r>
              <w:rPr>
                <w:rFonts w:ascii="Calibri Light" w:hAnsi="Calibri Light"/>
                <w:color w:val="000000"/>
                <w:sz w:val="18"/>
              </w:rPr>
              <w:t xml:space="preserve">Amortissements et dépréciations </w:t>
            </w:r>
          </w:p>
        </w:tc>
        <w:tc>
          <w:tcPr>
            <w:tcW w:w="959" w:type="pct"/>
            <w:tcBorders>
              <w:top w:val="nil"/>
              <w:left w:val="nil"/>
              <w:bottom w:val="nil"/>
              <w:right w:val="nil"/>
            </w:tcBorders>
            <w:shd w:val="clear" w:color="auto" w:fill="auto"/>
            <w:noWrap/>
            <w:vAlign w:val="bottom"/>
            <w:hideMark/>
          </w:tcPr>
          <w:p w14:paraId="48330BB0"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(854 234)</w:t>
            </w:r>
          </w:p>
        </w:tc>
        <w:tc>
          <w:tcPr>
            <w:tcW w:w="959" w:type="pct"/>
            <w:tcBorders>
              <w:top w:val="nil"/>
              <w:left w:val="nil"/>
              <w:bottom w:val="nil"/>
              <w:right w:val="nil"/>
            </w:tcBorders>
            <w:shd w:val="clear" w:color="auto" w:fill="auto"/>
            <w:noWrap/>
            <w:vAlign w:val="bottom"/>
            <w:hideMark/>
          </w:tcPr>
          <w:p w14:paraId="69544CEE"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(644 877)</w:t>
            </w:r>
          </w:p>
        </w:tc>
      </w:tr>
      <w:tr w:rsidR="005014F9" w14:paraId="6BBCF711" w14:textId="77777777" w:rsidTr="0061181E">
        <w:trPr>
          <w:trHeight w:val="240"/>
        </w:trPr>
        <w:tc>
          <w:tcPr>
            <w:tcW w:w="3082" w:type="pct"/>
            <w:tcBorders>
              <w:top w:val="nil"/>
              <w:left w:val="nil"/>
              <w:bottom w:val="nil"/>
              <w:right w:val="nil"/>
            </w:tcBorders>
            <w:shd w:val="clear" w:color="auto" w:fill="auto"/>
            <w:noWrap/>
            <w:vAlign w:val="bottom"/>
            <w:hideMark/>
          </w:tcPr>
          <w:p w14:paraId="565650B5" w14:textId="77777777" w:rsidR="005014F9" w:rsidRDefault="005014F9">
            <w:pPr>
              <w:rPr>
                <w:rFonts w:ascii="Calibri Light" w:hAnsi="Calibri Light" w:cs="Calibri Light"/>
                <w:b/>
                <w:bCs/>
                <w:color w:val="000000"/>
                <w:sz w:val="18"/>
                <w:szCs w:val="18"/>
              </w:rPr>
            </w:pPr>
            <w:r>
              <w:rPr>
                <w:rFonts w:ascii="Calibri Light" w:hAnsi="Calibri Light"/>
                <w:b/>
                <w:color w:val="000000"/>
                <w:sz w:val="18"/>
              </w:rPr>
              <w:t>RÉSULTAT D’EXPLOITATION</w:t>
            </w:r>
          </w:p>
        </w:tc>
        <w:tc>
          <w:tcPr>
            <w:tcW w:w="959" w:type="pct"/>
            <w:tcBorders>
              <w:top w:val="single" w:sz="4" w:space="0" w:color="auto"/>
              <w:left w:val="nil"/>
              <w:bottom w:val="nil"/>
              <w:right w:val="nil"/>
            </w:tcBorders>
            <w:shd w:val="clear" w:color="auto" w:fill="auto"/>
            <w:noWrap/>
            <w:vAlign w:val="bottom"/>
            <w:hideMark/>
          </w:tcPr>
          <w:p w14:paraId="48631608"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1 773 549</w:t>
            </w:r>
          </w:p>
        </w:tc>
        <w:tc>
          <w:tcPr>
            <w:tcW w:w="959" w:type="pct"/>
            <w:tcBorders>
              <w:top w:val="single" w:sz="4" w:space="0" w:color="auto"/>
              <w:left w:val="nil"/>
              <w:bottom w:val="nil"/>
              <w:right w:val="nil"/>
            </w:tcBorders>
            <w:shd w:val="clear" w:color="auto" w:fill="auto"/>
            <w:noWrap/>
            <w:vAlign w:val="bottom"/>
            <w:hideMark/>
          </w:tcPr>
          <w:p w14:paraId="1C51086D"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566 219</w:t>
            </w:r>
          </w:p>
        </w:tc>
      </w:tr>
      <w:tr w:rsidR="005014F9" w14:paraId="7D43E582" w14:textId="77777777" w:rsidTr="0061181E">
        <w:trPr>
          <w:trHeight w:val="240"/>
        </w:trPr>
        <w:tc>
          <w:tcPr>
            <w:tcW w:w="3082" w:type="pct"/>
            <w:tcBorders>
              <w:top w:val="nil"/>
              <w:left w:val="nil"/>
              <w:bottom w:val="nil"/>
              <w:right w:val="nil"/>
            </w:tcBorders>
            <w:shd w:val="clear" w:color="auto" w:fill="auto"/>
            <w:noWrap/>
            <w:vAlign w:val="bottom"/>
            <w:hideMark/>
          </w:tcPr>
          <w:p w14:paraId="4B5F2D3A" w14:textId="77777777" w:rsidR="005014F9" w:rsidRDefault="005014F9">
            <w:pPr>
              <w:rPr>
                <w:rFonts w:ascii="Calibri Light" w:hAnsi="Calibri Light" w:cs="Calibri Light"/>
                <w:color w:val="000000"/>
                <w:sz w:val="18"/>
                <w:szCs w:val="18"/>
              </w:rPr>
            </w:pPr>
            <w:r>
              <w:rPr>
                <w:rFonts w:ascii="Calibri Light" w:hAnsi="Calibri Light"/>
                <w:color w:val="000000"/>
                <w:sz w:val="18"/>
              </w:rPr>
              <w:t>Charges financières</w:t>
            </w:r>
          </w:p>
        </w:tc>
        <w:tc>
          <w:tcPr>
            <w:tcW w:w="959" w:type="pct"/>
            <w:tcBorders>
              <w:top w:val="nil"/>
              <w:left w:val="nil"/>
              <w:bottom w:val="nil"/>
              <w:right w:val="nil"/>
            </w:tcBorders>
            <w:shd w:val="clear" w:color="auto" w:fill="auto"/>
            <w:noWrap/>
            <w:vAlign w:val="bottom"/>
            <w:hideMark/>
          </w:tcPr>
          <w:p w14:paraId="1D56F332"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(146 868)</w:t>
            </w:r>
          </w:p>
        </w:tc>
        <w:tc>
          <w:tcPr>
            <w:tcW w:w="959" w:type="pct"/>
            <w:tcBorders>
              <w:top w:val="nil"/>
              <w:left w:val="nil"/>
              <w:bottom w:val="nil"/>
              <w:right w:val="nil"/>
            </w:tcBorders>
            <w:shd w:val="clear" w:color="auto" w:fill="auto"/>
            <w:noWrap/>
            <w:vAlign w:val="bottom"/>
            <w:hideMark/>
          </w:tcPr>
          <w:p w14:paraId="2BBC98EF"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(146 076)</w:t>
            </w:r>
          </w:p>
        </w:tc>
      </w:tr>
      <w:tr w:rsidR="005014F9" w14:paraId="4B12B982" w14:textId="77777777" w:rsidTr="0061181E">
        <w:trPr>
          <w:trHeight w:val="240"/>
        </w:trPr>
        <w:tc>
          <w:tcPr>
            <w:tcW w:w="3082" w:type="pct"/>
            <w:tcBorders>
              <w:top w:val="nil"/>
              <w:left w:val="nil"/>
              <w:bottom w:val="nil"/>
              <w:right w:val="nil"/>
            </w:tcBorders>
            <w:shd w:val="clear" w:color="auto" w:fill="auto"/>
            <w:noWrap/>
            <w:vAlign w:val="bottom"/>
            <w:hideMark/>
          </w:tcPr>
          <w:p w14:paraId="30C8A084" w14:textId="77777777" w:rsidR="005014F9" w:rsidRDefault="005014F9">
            <w:pPr>
              <w:rPr>
                <w:rFonts w:ascii="Calibri Light" w:hAnsi="Calibri Light" w:cs="Calibri Light"/>
                <w:color w:val="000000"/>
                <w:sz w:val="18"/>
                <w:szCs w:val="18"/>
              </w:rPr>
            </w:pPr>
            <w:r>
              <w:rPr>
                <w:rFonts w:ascii="Calibri Light" w:hAnsi="Calibri Light"/>
                <w:color w:val="000000"/>
                <w:sz w:val="18"/>
              </w:rPr>
              <w:t>Produits financiers</w:t>
            </w:r>
          </w:p>
        </w:tc>
        <w:tc>
          <w:tcPr>
            <w:tcW w:w="959" w:type="pct"/>
            <w:tcBorders>
              <w:top w:val="nil"/>
              <w:left w:val="nil"/>
              <w:bottom w:val="single" w:sz="4" w:space="0" w:color="auto"/>
              <w:right w:val="nil"/>
            </w:tcBorders>
            <w:shd w:val="clear" w:color="auto" w:fill="auto"/>
            <w:noWrap/>
            <w:vAlign w:val="bottom"/>
            <w:hideMark/>
          </w:tcPr>
          <w:p w14:paraId="1BC2BE33"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11 392</w:t>
            </w:r>
          </w:p>
        </w:tc>
        <w:tc>
          <w:tcPr>
            <w:tcW w:w="959" w:type="pct"/>
            <w:tcBorders>
              <w:top w:val="nil"/>
              <w:left w:val="nil"/>
              <w:bottom w:val="single" w:sz="4" w:space="0" w:color="auto"/>
              <w:right w:val="nil"/>
            </w:tcBorders>
            <w:shd w:val="clear" w:color="auto" w:fill="auto"/>
            <w:noWrap/>
            <w:vAlign w:val="bottom"/>
            <w:hideMark/>
          </w:tcPr>
          <w:p w14:paraId="190760A1"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30 866</w:t>
            </w:r>
          </w:p>
        </w:tc>
      </w:tr>
      <w:tr w:rsidR="005014F9" w14:paraId="7DDFDDA7" w14:textId="77777777" w:rsidTr="0061181E">
        <w:trPr>
          <w:trHeight w:val="240"/>
        </w:trPr>
        <w:tc>
          <w:tcPr>
            <w:tcW w:w="3082" w:type="pct"/>
            <w:tcBorders>
              <w:top w:val="nil"/>
              <w:left w:val="nil"/>
              <w:bottom w:val="nil"/>
              <w:right w:val="nil"/>
            </w:tcBorders>
            <w:shd w:val="clear" w:color="auto" w:fill="auto"/>
            <w:noWrap/>
            <w:vAlign w:val="bottom"/>
            <w:hideMark/>
          </w:tcPr>
          <w:p w14:paraId="286392D5" w14:textId="77777777" w:rsidR="005014F9" w:rsidRDefault="005014F9">
            <w:pPr>
              <w:rPr>
                <w:rFonts w:ascii="Calibri Light" w:hAnsi="Calibri Light" w:cs="Calibri Light"/>
                <w:b/>
                <w:bCs/>
                <w:color w:val="000000"/>
                <w:sz w:val="18"/>
                <w:szCs w:val="18"/>
              </w:rPr>
            </w:pPr>
            <w:r>
              <w:rPr>
                <w:rFonts w:ascii="Calibri Light" w:hAnsi="Calibri Light"/>
                <w:b/>
                <w:color w:val="000000"/>
                <w:sz w:val="18"/>
              </w:rPr>
              <w:t>RÉSULTAT AVANT IMPÔT DES ACTIVITÉS D'EXPLOITATION</w:t>
            </w:r>
          </w:p>
        </w:tc>
        <w:tc>
          <w:tcPr>
            <w:tcW w:w="959" w:type="pct"/>
            <w:tcBorders>
              <w:top w:val="nil"/>
              <w:left w:val="nil"/>
              <w:bottom w:val="nil"/>
              <w:right w:val="nil"/>
            </w:tcBorders>
            <w:shd w:val="clear" w:color="auto" w:fill="auto"/>
            <w:noWrap/>
            <w:vAlign w:val="bottom"/>
            <w:hideMark/>
          </w:tcPr>
          <w:p w14:paraId="0F04D0B8"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1 638 072</w:t>
            </w:r>
          </w:p>
        </w:tc>
        <w:tc>
          <w:tcPr>
            <w:tcW w:w="959" w:type="pct"/>
            <w:tcBorders>
              <w:top w:val="nil"/>
              <w:left w:val="nil"/>
              <w:bottom w:val="nil"/>
              <w:right w:val="nil"/>
            </w:tcBorders>
            <w:shd w:val="clear" w:color="auto" w:fill="auto"/>
            <w:noWrap/>
            <w:vAlign w:val="bottom"/>
            <w:hideMark/>
          </w:tcPr>
          <w:p w14:paraId="46C7E66E"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451 009</w:t>
            </w:r>
          </w:p>
        </w:tc>
      </w:tr>
      <w:tr w:rsidR="005014F9" w14:paraId="715FC7CD" w14:textId="77777777" w:rsidTr="0061181E">
        <w:trPr>
          <w:trHeight w:val="240"/>
        </w:trPr>
        <w:tc>
          <w:tcPr>
            <w:tcW w:w="3082" w:type="pct"/>
            <w:tcBorders>
              <w:top w:val="nil"/>
              <w:left w:val="nil"/>
              <w:bottom w:val="nil"/>
              <w:right w:val="nil"/>
            </w:tcBorders>
            <w:shd w:val="clear" w:color="auto" w:fill="auto"/>
            <w:noWrap/>
            <w:vAlign w:val="bottom"/>
            <w:hideMark/>
          </w:tcPr>
          <w:p w14:paraId="10474BC1" w14:textId="77777777" w:rsidR="005014F9" w:rsidRDefault="005014F9">
            <w:pPr>
              <w:jc w:val="right"/>
              <w:rPr>
                <w:rFonts w:ascii="Calibri Light" w:hAnsi="Calibri Light" w:cs="Calibri Light"/>
                <w:b/>
                <w:bCs/>
                <w:color w:val="000000"/>
                <w:sz w:val="18"/>
                <w:szCs w:val="18"/>
              </w:rPr>
            </w:pPr>
          </w:p>
        </w:tc>
        <w:tc>
          <w:tcPr>
            <w:tcW w:w="959" w:type="pct"/>
            <w:tcBorders>
              <w:top w:val="nil"/>
              <w:left w:val="nil"/>
              <w:bottom w:val="nil"/>
              <w:right w:val="nil"/>
            </w:tcBorders>
            <w:shd w:val="clear" w:color="auto" w:fill="auto"/>
            <w:noWrap/>
            <w:vAlign w:val="bottom"/>
            <w:hideMark/>
          </w:tcPr>
          <w:p w14:paraId="1A31D6CD" w14:textId="77777777" w:rsidR="005014F9" w:rsidRDefault="005014F9">
            <w:pPr>
              <w:rPr>
                <w:sz w:val="20"/>
                <w:szCs w:val="20"/>
              </w:rPr>
            </w:pPr>
          </w:p>
        </w:tc>
        <w:tc>
          <w:tcPr>
            <w:tcW w:w="959" w:type="pct"/>
            <w:tcBorders>
              <w:top w:val="nil"/>
              <w:left w:val="nil"/>
              <w:bottom w:val="nil"/>
              <w:right w:val="nil"/>
            </w:tcBorders>
            <w:shd w:val="clear" w:color="auto" w:fill="auto"/>
            <w:noWrap/>
            <w:vAlign w:val="bottom"/>
            <w:hideMark/>
          </w:tcPr>
          <w:p w14:paraId="050A25FB" w14:textId="77777777" w:rsidR="005014F9" w:rsidRDefault="005014F9">
            <w:pPr>
              <w:rPr>
                <w:sz w:val="20"/>
                <w:szCs w:val="20"/>
              </w:rPr>
            </w:pPr>
          </w:p>
        </w:tc>
      </w:tr>
      <w:tr w:rsidR="005014F9" w14:paraId="37917BEF" w14:textId="77777777" w:rsidTr="0061181E">
        <w:trPr>
          <w:trHeight w:val="240"/>
        </w:trPr>
        <w:tc>
          <w:tcPr>
            <w:tcW w:w="3082" w:type="pct"/>
            <w:tcBorders>
              <w:top w:val="nil"/>
              <w:left w:val="nil"/>
              <w:bottom w:val="nil"/>
              <w:right w:val="nil"/>
            </w:tcBorders>
            <w:shd w:val="clear" w:color="auto" w:fill="auto"/>
            <w:noWrap/>
            <w:vAlign w:val="bottom"/>
            <w:hideMark/>
          </w:tcPr>
          <w:p w14:paraId="0280F777" w14:textId="77777777" w:rsidR="005014F9" w:rsidRDefault="005014F9">
            <w:pPr>
              <w:rPr>
                <w:rFonts w:ascii="Calibri Light" w:hAnsi="Calibri Light" w:cs="Calibri Light"/>
                <w:sz w:val="18"/>
                <w:szCs w:val="18"/>
              </w:rPr>
            </w:pPr>
            <w:r>
              <w:rPr>
                <w:rFonts w:ascii="Calibri Light" w:hAnsi="Calibri Light"/>
                <w:sz w:val="18"/>
              </w:rPr>
              <w:t>Impôts sur le revenu</w:t>
            </w:r>
          </w:p>
        </w:tc>
        <w:tc>
          <w:tcPr>
            <w:tcW w:w="959" w:type="pct"/>
            <w:tcBorders>
              <w:top w:val="nil"/>
              <w:left w:val="nil"/>
              <w:bottom w:val="nil"/>
              <w:right w:val="nil"/>
            </w:tcBorders>
            <w:shd w:val="clear" w:color="auto" w:fill="auto"/>
            <w:noWrap/>
            <w:vAlign w:val="bottom"/>
            <w:hideMark/>
          </w:tcPr>
          <w:p w14:paraId="28A24A9A"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(422 519)</w:t>
            </w:r>
          </w:p>
        </w:tc>
        <w:tc>
          <w:tcPr>
            <w:tcW w:w="959" w:type="pct"/>
            <w:tcBorders>
              <w:top w:val="nil"/>
              <w:left w:val="nil"/>
              <w:bottom w:val="nil"/>
              <w:right w:val="nil"/>
            </w:tcBorders>
            <w:shd w:val="clear" w:color="auto" w:fill="auto"/>
            <w:noWrap/>
            <w:vAlign w:val="bottom"/>
            <w:hideMark/>
          </w:tcPr>
          <w:p w14:paraId="7514BC87" w14:textId="77777777" w:rsidR="005014F9" w:rsidRDefault="005014F9">
            <w:pPr>
              <w:jc w:val="right"/>
              <w:rPr>
                <w:rFonts w:ascii="Calibri Light" w:hAnsi="Calibri Light" w:cs="Calibri Light"/>
                <w:color w:val="000000"/>
                <w:sz w:val="18"/>
                <w:szCs w:val="18"/>
              </w:rPr>
            </w:pPr>
            <w:r>
              <w:rPr>
                <w:rFonts w:ascii="Calibri Light" w:hAnsi="Calibri Light"/>
                <w:color w:val="000000"/>
                <w:sz w:val="18"/>
              </w:rPr>
              <w:t>(47 115)</w:t>
            </w:r>
          </w:p>
        </w:tc>
      </w:tr>
      <w:tr w:rsidR="005014F9" w14:paraId="120F097E" w14:textId="77777777" w:rsidTr="0061181E">
        <w:trPr>
          <w:trHeight w:val="255"/>
        </w:trPr>
        <w:tc>
          <w:tcPr>
            <w:tcW w:w="3082" w:type="pct"/>
            <w:tcBorders>
              <w:top w:val="nil"/>
              <w:left w:val="nil"/>
              <w:bottom w:val="nil"/>
              <w:right w:val="nil"/>
            </w:tcBorders>
            <w:shd w:val="clear" w:color="auto" w:fill="auto"/>
            <w:noWrap/>
            <w:vAlign w:val="bottom"/>
            <w:hideMark/>
          </w:tcPr>
          <w:p w14:paraId="634C4116" w14:textId="77777777" w:rsidR="005014F9" w:rsidRDefault="005014F9">
            <w:pPr>
              <w:rPr>
                <w:rFonts w:ascii="Calibri Light" w:hAnsi="Calibri Light" w:cs="Calibri Light"/>
                <w:b/>
                <w:bCs/>
                <w:sz w:val="18"/>
                <w:szCs w:val="18"/>
              </w:rPr>
            </w:pPr>
            <w:r>
              <w:rPr>
                <w:rFonts w:ascii="Calibri Light" w:hAnsi="Calibri Light"/>
                <w:b/>
                <w:sz w:val="18"/>
              </w:rPr>
              <w:t>RÉSULTAT DE L'EXERCICE PROVENANT DES ACTIVITÉS D'EXPLOITATION</w:t>
            </w:r>
          </w:p>
        </w:tc>
        <w:tc>
          <w:tcPr>
            <w:tcW w:w="959" w:type="pct"/>
            <w:tcBorders>
              <w:top w:val="single" w:sz="4" w:space="0" w:color="auto"/>
              <w:left w:val="nil"/>
              <w:bottom w:val="single" w:sz="8" w:space="0" w:color="auto"/>
              <w:right w:val="nil"/>
            </w:tcBorders>
            <w:shd w:val="clear" w:color="auto" w:fill="auto"/>
            <w:noWrap/>
            <w:vAlign w:val="bottom"/>
            <w:hideMark/>
          </w:tcPr>
          <w:p w14:paraId="7F69CAD8"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1 215 553</w:t>
            </w:r>
          </w:p>
        </w:tc>
        <w:tc>
          <w:tcPr>
            <w:tcW w:w="959" w:type="pct"/>
            <w:tcBorders>
              <w:top w:val="single" w:sz="4" w:space="0" w:color="auto"/>
              <w:left w:val="nil"/>
              <w:bottom w:val="single" w:sz="8" w:space="0" w:color="auto"/>
              <w:right w:val="nil"/>
            </w:tcBorders>
            <w:shd w:val="clear" w:color="auto" w:fill="auto"/>
            <w:noWrap/>
            <w:vAlign w:val="bottom"/>
            <w:hideMark/>
          </w:tcPr>
          <w:p w14:paraId="1897C937"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403 894</w:t>
            </w:r>
          </w:p>
        </w:tc>
      </w:tr>
      <w:tr w:rsidR="005014F9" w14:paraId="786A46F0" w14:textId="77777777" w:rsidTr="0061181E">
        <w:trPr>
          <w:trHeight w:val="240"/>
        </w:trPr>
        <w:tc>
          <w:tcPr>
            <w:tcW w:w="3082" w:type="pct"/>
            <w:tcBorders>
              <w:top w:val="nil"/>
              <w:left w:val="nil"/>
              <w:bottom w:val="nil"/>
              <w:right w:val="nil"/>
            </w:tcBorders>
            <w:shd w:val="clear" w:color="auto" w:fill="auto"/>
            <w:noWrap/>
            <w:vAlign w:val="bottom"/>
            <w:hideMark/>
          </w:tcPr>
          <w:p w14:paraId="65EBD753" w14:textId="77777777" w:rsidR="005014F9" w:rsidRDefault="005014F9">
            <w:pPr>
              <w:jc w:val="right"/>
              <w:rPr>
                <w:rFonts w:ascii="Calibri Light" w:hAnsi="Calibri Light" w:cs="Calibri Light"/>
                <w:b/>
                <w:bCs/>
                <w:color w:val="000000"/>
                <w:sz w:val="18"/>
                <w:szCs w:val="18"/>
              </w:rPr>
            </w:pPr>
          </w:p>
        </w:tc>
        <w:tc>
          <w:tcPr>
            <w:tcW w:w="959" w:type="pct"/>
            <w:tcBorders>
              <w:top w:val="nil"/>
              <w:left w:val="nil"/>
              <w:bottom w:val="nil"/>
              <w:right w:val="nil"/>
            </w:tcBorders>
            <w:shd w:val="clear" w:color="auto" w:fill="auto"/>
            <w:noWrap/>
            <w:vAlign w:val="bottom"/>
            <w:hideMark/>
          </w:tcPr>
          <w:p w14:paraId="23B07FF8" w14:textId="77777777" w:rsidR="005014F9" w:rsidRDefault="005014F9">
            <w:pPr>
              <w:rPr>
                <w:sz w:val="20"/>
                <w:szCs w:val="20"/>
              </w:rPr>
            </w:pPr>
          </w:p>
        </w:tc>
        <w:tc>
          <w:tcPr>
            <w:tcW w:w="959" w:type="pct"/>
            <w:tcBorders>
              <w:top w:val="nil"/>
              <w:left w:val="nil"/>
              <w:bottom w:val="nil"/>
              <w:right w:val="nil"/>
            </w:tcBorders>
            <w:shd w:val="clear" w:color="auto" w:fill="auto"/>
            <w:noWrap/>
            <w:vAlign w:val="bottom"/>
            <w:hideMark/>
          </w:tcPr>
          <w:p w14:paraId="452A0763" w14:textId="77777777" w:rsidR="005014F9" w:rsidRDefault="005014F9">
            <w:pPr>
              <w:rPr>
                <w:sz w:val="20"/>
                <w:szCs w:val="20"/>
              </w:rPr>
            </w:pPr>
          </w:p>
        </w:tc>
      </w:tr>
      <w:tr w:rsidR="005014F9" w14:paraId="6F3F7CCD" w14:textId="77777777" w:rsidTr="0061181E">
        <w:trPr>
          <w:trHeight w:val="255"/>
        </w:trPr>
        <w:tc>
          <w:tcPr>
            <w:tcW w:w="3082" w:type="pct"/>
            <w:tcBorders>
              <w:top w:val="nil"/>
              <w:left w:val="nil"/>
              <w:bottom w:val="nil"/>
              <w:right w:val="nil"/>
            </w:tcBorders>
            <w:shd w:val="clear" w:color="auto" w:fill="auto"/>
            <w:noWrap/>
            <w:vAlign w:val="bottom"/>
            <w:hideMark/>
          </w:tcPr>
          <w:p w14:paraId="20306D8F" w14:textId="77777777" w:rsidR="005014F9" w:rsidRDefault="005014F9">
            <w:pPr>
              <w:rPr>
                <w:rFonts w:ascii="Calibri Light" w:hAnsi="Calibri Light" w:cs="Calibri Light"/>
                <w:b/>
                <w:bCs/>
                <w:sz w:val="18"/>
                <w:szCs w:val="18"/>
              </w:rPr>
            </w:pPr>
            <w:r>
              <w:rPr>
                <w:rFonts w:ascii="Calibri Light" w:hAnsi="Calibri Light"/>
                <w:b/>
                <w:sz w:val="18"/>
              </w:rPr>
              <w:t>RÉSULTAT POUR LA PÉRIODE</w:t>
            </w:r>
          </w:p>
        </w:tc>
        <w:tc>
          <w:tcPr>
            <w:tcW w:w="959" w:type="pct"/>
            <w:tcBorders>
              <w:top w:val="single" w:sz="4" w:space="0" w:color="auto"/>
              <w:left w:val="nil"/>
              <w:bottom w:val="single" w:sz="8" w:space="0" w:color="auto"/>
              <w:right w:val="nil"/>
            </w:tcBorders>
            <w:shd w:val="clear" w:color="auto" w:fill="auto"/>
            <w:noWrap/>
            <w:vAlign w:val="bottom"/>
            <w:hideMark/>
          </w:tcPr>
          <w:p w14:paraId="7CE7D0E6"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1 215 553</w:t>
            </w:r>
          </w:p>
        </w:tc>
        <w:tc>
          <w:tcPr>
            <w:tcW w:w="959" w:type="pct"/>
            <w:tcBorders>
              <w:top w:val="single" w:sz="4" w:space="0" w:color="auto"/>
              <w:left w:val="nil"/>
              <w:bottom w:val="single" w:sz="8" w:space="0" w:color="auto"/>
              <w:right w:val="nil"/>
            </w:tcBorders>
            <w:shd w:val="clear" w:color="auto" w:fill="auto"/>
            <w:noWrap/>
            <w:vAlign w:val="bottom"/>
            <w:hideMark/>
          </w:tcPr>
          <w:p w14:paraId="64461278" w14:textId="77777777" w:rsidR="005014F9" w:rsidRDefault="005014F9">
            <w:pPr>
              <w:jc w:val="right"/>
              <w:rPr>
                <w:rFonts w:ascii="Calibri Light" w:hAnsi="Calibri Light" w:cs="Calibri Light"/>
                <w:b/>
                <w:bCs/>
                <w:color w:val="000000"/>
                <w:sz w:val="18"/>
                <w:szCs w:val="18"/>
              </w:rPr>
            </w:pPr>
            <w:r>
              <w:rPr>
                <w:rFonts w:ascii="Calibri Light" w:hAnsi="Calibri Light"/>
                <w:b/>
                <w:color w:val="000000"/>
                <w:sz w:val="18"/>
              </w:rPr>
              <w:t>403 894</w:t>
            </w:r>
          </w:p>
        </w:tc>
      </w:tr>
    </w:tbl>
    <w:p w14:paraId="2C1B5D77" w14:textId="1038B0EB" w:rsidR="002C6435" w:rsidRDefault="002C6435">
      <w:pPr>
        <w:rPr>
          <w:rFonts w:ascii="Cambria" w:hAnsi="Cambria"/>
          <w:sz w:val="22"/>
          <w:szCs w:val="22"/>
        </w:rPr>
      </w:pPr>
      <w:r>
        <w:br w:type="page"/>
      </w:r>
    </w:p>
    <w:p w14:paraId="5AB28DFA" w14:textId="3565BEA1" w:rsidR="002C6435" w:rsidRPr="00E92997" w:rsidRDefault="002C6435" w:rsidP="0061181E">
      <w:pPr>
        <w:pStyle w:val="Titolo2"/>
        <w:spacing w:line="240" w:lineRule="auto"/>
        <w:ind w:left="0" w:right="0"/>
        <w:jc w:val="left"/>
      </w:pPr>
      <w:bookmarkStart w:id="220" w:name="_Toc112768726"/>
      <w:r>
        <w:rPr>
          <w:i w:val="0"/>
        </w:rPr>
        <w:lastRenderedPageBreak/>
        <w:t>États financiers intermédiaires au 30 juin 2021 de Over S.p.A.</w:t>
      </w:r>
      <w:bookmarkEnd w:id="220"/>
    </w:p>
    <w:p w14:paraId="40449F4E" w14:textId="77777777" w:rsidR="004566BD" w:rsidRDefault="004566BD" w:rsidP="00E16D12">
      <w:pPr>
        <w:spacing w:line="276" w:lineRule="auto"/>
        <w:rPr>
          <w:highlight w:val="yellow"/>
        </w:rPr>
      </w:pPr>
    </w:p>
    <w:tbl>
      <w:tblPr>
        <w:tblW w:w="5000" w:type="pct"/>
        <w:tblCellMar>
          <w:left w:w="70" w:type="dxa"/>
          <w:right w:w="70" w:type="dxa"/>
        </w:tblCellMar>
        <w:tblLook w:val="04A0" w:firstRow="1" w:lastRow="0" w:firstColumn="1" w:lastColumn="0" w:noHBand="0" w:noVBand="1"/>
      </w:tblPr>
      <w:tblGrid>
        <w:gridCol w:w="6490"/>
        <w:gridCol w:w="1359"/>
        <w:gridCol w:w="1789"/>
      </w:tblGrid>
      <w:tr w:rsidR="004566BD" w14:paraId="2258DC76" w14:textId="77777777" w:rsidTr="00717185">
        <w:trPr>
          <w:trHeight w:val="20"/>
        </w:trPr>
        <w:tc>
          <w:tcPr>
            <w:tcW w:w="3367" w:type="pct"/>
            <w:tcBorders>
              <w:top w:val="single" w:sz="4" w:space="0" w:color="0070C0"/>
              <w:left w:val="nil"/>
              <w:bottom w:val="single" w:sz="8" w:space="0" w:color="0070C0"/>
              <w:right w:val="nil"/>
            </w:tcBorders>
            <w:shd w:val="clear" w:color="auto" w:fill="auto"/>
            <w:noWrap/>
            <w:vAlign w:val="bottom"/>
            <w:hideMark/>
          </w:tcPr>
          <w:p w14:paraId="3F231D32" w14:textId="77777777" w:rsidR="004566BD" w:rsidRDefault="004566BD">
            <w:pPr>
              <w:rPr>
                <w:rFonts w:ascii="Calibri Light" w:hAnsi="Calibri Light" w:cs="Calibri Light"/>
                <w:color w:val="000000"/>
                <w:sz w:val="18"/>
                <w:szCs w:val="18"/>
              </w:rPr>
            </w:pPr>
            <w:r>
              <w:rPr>
                <w:rFonts w:ascii="Calibri Light" w:hAnsi="Calibri Light"/>
                <w:color w:val="000000"/>
                <w:sz w:val="18"/>
              </w:rPr>
              <w:t>(</w:t>
            </w:r>
            <w:proofErr w:type="gramStart"/>
            <w:r>
              <w:rPr>
                <w:rFonts w:ascii="Calibri Light" w:hAnsi="Calibri Light"/>
                <w:color w:val="000000"/>
                <w:sz w:val="18"/>
              </w:rPr>
              <w:t>en</w:t>
            </w:r>
            <w:proofErr w:type="gramEnd"/>
            <w:r>
              <w:rPr>
                <w:rFonts w:ascii="Calibri Light" w:hAnsi="Calibri Light"/>
                <w:color w:val="000000"/>
                <w:sz w:val="18"/>
              </w:rPr>
              <w:t xml:space="preserve"> euros)</w:t>
            </w:r>
          </w:p>
        </w:tc>
        <w:tc>
          <w:tcPr>
            <w:tcW w:w="705" w:type="pct"/>
            <w:tcBorders>
              <w:top w:val="single" w:sz="4" w:space="0" w:color="0070C0"/>
              <w:left w:val="nil"/>
              <w:bottom w:val="single" w:sz="8" w:space="0" w:color="0070C0"/>
              <w:right w:val="nil"/>
            </w:tcBorders>
            <w:shd w:val="clear" w:color="auto" w:fill="auto"/>
            <w:hideMark/>
          </w:tcPr>
          <w:p w14:paraId="4123CA86" w14:textId="64353538" w:rsidR="004566BD" w:rsidRPr="0061181E" w:rsidRDefault="004566BD">
            <w:pPr>
              <w:jc w:val="center"/>
              <w:rPr>
                <w:rFonts w:ascii="Calibri Light" w:hAnsi="Calibri Light" w:cs="Calibri Light"/>
                <w:b/>
                <w:bCs/>
                <w:sz w:val="18"/>
                <w:szCs w:val="18"/>
              </w:rPr>
            </w:pPr>
            <w:r>
              <w:rPr>
                <w:rFonts w:ascii="Calibri Light" w:hAnsi="Calibri Light"/>
                <w:b/>
                <w:sz w:val="18"/>
              </w:rPr>
              <w:t>OVER</w:t>
            </w:r>
            <w:r>
              <w:rPr>
                <w:rFonts w:ascii="Calibri Light" w:hAnsi="Calibri Light"/>
                <w:b/>
                <w:bCs/>
                <w:sz w:val="18"/>
                <w:szCs w:val="18"/>
              </w:rPr>
              <w:br/>
            </w:r>
            <w:r>
              <w:rPr>
                <w:rFonts w:ascii="Calibri Light" w:hAnsi="Calibri Light"/>
                <w:b/>
                <w:sz w:val="18"/>
              </w:rPr>
              <w:t xml:space="preserve"> 30 juin 2021</w:t>
            </w:r>
          </w:p>
        </w:tc>
        <w:tc>
          <w:tcPr>
            <w:tcW w:w="928" w:type="pct"/>
            <w:tcBorders>
              <w:top w:val="single" w:sz="4" w:space="0" w:color="0070C0"/>
              <w:left w:val="nil"/>
              <w:bottom w:val="single" w:sz="8" w:space="0" w:color="0070C0"/>
              <w:right w:val="nil"/>
            </w:tcBorders>
            <w:shd w:val="clear" w:color="auto" w:fill="auto"/>
            <w:hideMark/>
          </w:tcPr>
          <w:p w14:paraId="151D5BD6" w14:textId="6847974F" w:rsidR="004566BD" w:rsidRPr="0061181E" w:rsidRDefault="004566BD">
            <w:pPr>
              <w:jc w:val="center"/>
              <w:rPr>
                <w:rFonts w:ascii="Calibri Light" w:hAnsi="Calibri Light" w:cs="Calibri Light"/>
                <w:b/>
                <w:bCs/>
                <w:sz w:val="18"/>
                <w:szCs w:val="18"/>
              </w:rPr>
            </w:pPr>
            <w:r>
              <w:rPr>
                <w:rFonts w:ascii="Calibri Light" w:hAnsi="Calibri Light"/>
                <w:b/>
                <w:sz w:val="18"/>
              </w:rPr>
              <w:t>OVER</w:t>
            </w:r>
            <w:r>
              <w:rPr>
                <w:rFonts w:ascii="Calibri Light" w:hAnsi="Calibri Light"/>
                <w:b/>
                <w:bCs/>
                <w:sz w:val="18"/>
                <w:szCs w:val="18"/>
              </w:rPr>
              <w:br/>
            </w:r>
            <w:r>
              <w:rPr>
                <w:rFonts w:ascii="Calibri Light" w:hAnsi="Calibri Light"/>
                <w:b/>
                <w:sz w:val="18"/>
              </w:rPr>
              <w:t xml:space="preserve"> 31 décembre 2020</w:t>
            </w:r>
          </w:p>
        </w:tc>
      </w:tr>
      <w:tr w:rsidR="004566BD" w14:paraId="2458A302" w14:textId="77777777" w:rsidTr="00717185">
        <w:trPr>
          <w:trHeight w:val="20"/>
        </w:trPr>
        <w:tc>
          <w:tcPr>
            <w:tcW w:w="3367" w:type="pct"/>
            <w:tcBorders>
              <w:top w:val="nil"/>
              <w:left w:val="nil"/>
              <w:bottom w:val="nil"/>
              <w:right w:val="nil"/>
            </w:tcBorders>
            <w:shd w:val="clear" w:color="auto" w:fill="auto"/>
            <w:noWrap/>
            <w:vAlign w:val="bottom"/>
            <w:hideMark/>
          </w:tcPr>
          <w:p w14:paraId="460E6BCA" w14:textId="77777777" w:rsidR="004566BD" w:rsidRDefault="004566BD">
            <w:pPr>
              <w:rPr>
                <w:rFonts w:ascii="Calibri Light" w:hAnsi="Calibri Light" w:cs="Calibri Light"/>
                <w:b/>
                <w:bCs/>
                <w:color w:val="000000"/>
                <w:sz w:val="18"/>
                <w:szCs w:val="18"/>
              </w:rPr>
            </w:pPr>
            <w:r>
              <w:rPr>
                <w:rFonts w:ascii="Calibri Light" w:hAnsi="Calibri Light"/>
                <w:b/>
                <w:color w:val="000000"/>
                <w:sz w:val="18"/>
              </w:rPr>
              <w:t>ACTIF</w:t>
            </w:r>
          </w:p>
        </w:tc>
        <w:tc>
          <w:tcPr>
            <w:tcW w:w="705" w:type="pct"/>
            <w:tcBorders>
              <w:top w:val="nil"/>
              <w:left w:val="nil"/>
              <w:bottom w:val="nil"/>
              <w:right w:val="nil"/>
            </w:tcBorders>
            <w:shd w:val="clear" w:color="auto" w:fill="auto"/>
            <w:vAlign w:val="bottom"/>
            <w:hideMark/>
          </w:tcPr>
          <w:p w14:paraId="324A04D1" w14:textId="77777777" w:rsidR="004566BD" w:rsidRDefault="004566BD">
            <w:pPr>
              <w:rPr>
                <w:rFonts w:ascii="Calibri Light" w:hAnsi="Calibri Light" w:cs="Calibri Light"/>
                <w:b/>
                <w:bCs/>
                <w:color w:val="000000"/>
                <w:sz w:val="18"/>
                <w:szCs w:val="18"/>
              </w:rPr>
            </w:pPr>
          </w:p>
        </w:tc>
        <w:tc>
          <w:tcPr>
            <w:tcW w:w="928" w:type="pct"/>
            <w:tcBorders>
              <w:top w:val="nil"/>
              <w:left w:val="nil"/>
              <w:bottom w:val="nil"/>
              <w:right w:val="nil"/>
            </w:tcBorders>
            <w:shd w:val="clear" w:color="auto" w:fill="auto"/>
            <w:vAlign w:val="bottom"/>
            <w:hideMark/>
          </w:tcPr>
          <w:p w14:paraId="5CA796FF" w14:textId="77777777" w:rsidR="004566BD" w:rsidRDefault="004566BD">
            <w:pPr>
              <w:jc w:val="center"/>
              <w:rPr>
                <w:sz w:val="20"/>
                <w:szCs w:val="20"/>
              </w:rPr>
            </w:pPr>
          </w:p>
        </w:tc>
      </w:tr>
      <w:tr w:rsidR="004566BD" w14:paraId="025D195B" w14:textId="77777777" w:rsidTr="00717185">
        <w:trPr>
          <w:trHeight w:val="20"/>
        </w:trPr>
        <w:tc>
          <w:tcPr>
            <w:tcW w:w="3367" w:type="pct"/>
            <w:tcBorders>
              <w:top w:val="nil"/>
              <w:left w:val="nil"/>
              <w:bottom w:val="nil"/>
              <w:right w:val="nil"/>
            </w:tcBorders>
            <w:shd w:val="clear" w:color="auto" w:fill="auto"/>
            <w:noWrap/>
            <w:vAlign w:val="bottom"/>
            <w:hideMark/>
          </w:tcPr>
          <w:p w14:paraId="77724C8E" w14:textId="77777777" w:rsidR="004566BD" w:rsidRDefault="004566BD">
            <w:pPr>
              <w:jc w:val="center"/>
              <w:rPr>
                <w:sz w:val="20"/>
                <w:szCs w:val="20"/>
              </w:rPr>
            </w:pPr>
          </w:p>
        </w:tc>
        <w:tc>
          <w:tcPr>
            <w:tcW w:w="705" w:type="pct"/>
            <w:tcBorders>
              <w:top w:val="nil"/>
              <w:left w:val="nil"/>
              <w:bottom w:val="nil"/>
              <w:right w:val="nil"/>
            </w:tcBorders>
            <w:shd w:val="clear" w:color="auto" w:fill="auto"/>
            <w:vAlign w:val="bottom"/>
            <w:hideMark/>
          </w:tcPr>
          <w:p w14:paraId="76EFD2B4" w14:textId="77777777" w:rsidR="004566BD" w:rsidRDefault="004566BD">
            <w:pPr>
              <w:rPr>
                <w:sz w:val="20"/>
                <w:szCs w:val="20"/>
              </w:rPr>
            </w:pPr>
          </w:p>
        </w:tc>
        <w:tc>
          <w:tcPr>
            <w:tcW w:w="928" w:type="pct"/>
            <w:tcBorders>
              <w:top w:val="nil"/>
              <w:left w:val="nil"/>
              <w:bottom w:val="nil"/>
              <w:right w:val="nil"/>
            </w:tcBorders>
            <w:shd w:val="clear" w:color="auto" w:fill="auto"/>
            <w:vAlign w:val="bottom"/>
            <w:hideMark/>
          </w:tcPr>
          <w:p w14:paraId="69732B9D" w14:textId="77777777" w:rsidR="004566BD" w:rsidRDefault="004566BD">
            <w:pPr>
              <w:jc w:val="center"/>
              <w:rPr>
                <w:sz w:val="20"/>
                <w:szCs w:val="20"/>
              </w:rPr>
            </w:pPr>
          </w:p>
        </w:tc>
      </w:tr>
      <w:tr w:rsidR="004566BD" w14:paraId="3644D654" w14:textId="77777777" w:rsidTr="00717185">
        <w:trPr>
          <w:trHeight w:val="20"/>
        </w:trPr>
        <w:tc>
          <w:tcPr>
            <w:tcW w:w="3367" w:type="pct"/>
            <w:tcBorders>
              <w:top w:val="nil"/>
              <w:left w:val="nil"/>
              <w:bottom w:val="nil"/>
              <w:right w:val="nil"/>
            </w:tcBorders>
            <w:shd w:val="clear" w:color="auto" w:fill="auto"/>
            <w:noWrap/>
            <w:vAlign w:val="bottom"/>
            <w:hideMark/>
          </w:tcPr>
          <w:p w14:paraId="48A25A13" w14:textId="77777777" w:rsidR="004566BD" w:rsidRDefault="004566BD">
            <w:pPr>
              <w:rPr>
                <w:rFonts w:ascii="Calibri Light" w:hAnsi="Calibri Light" w:cs="Calibri Light"/>
                <w:b/>
                <w:bCs/>
                <w:color w:val="000000"/>
                <w:sz w:val="18"/>
                <w:szCs w:val="18"/>
              </w:rPr>
            </w:pPr>
            <w:r>
              <w:rPr>
                <w:rFonts w:ascii="Calibri Light" w:hAnsi="Calibri Light"/>
                <w:b/>
                <w:color w:val="000000"/>
                <w:sz w:val="18"/>
              </w:rPr>
              <w:t>Actifs à long terme</w:t>
            </w:r>
          </w:p>
        </w:tc>
        <w:tc>
          <w:tcPr>
            <w:tcW w:w="705" w:type="pct"/>
            <w:tcBorders>
              <w:top w:val="nil"/>
              <w:left w:val="nil"/>
              <w:bottom w:val="nil"/>
              <w:right w:val="nil"/>
            </w:tcBorders>
            <w:shd w:val="clear" w:color="auto" w:fill="auto"/>
            <w:noWrap/>
            <w:vAlign w:val="bottom"/>
            <w:hideMark/>
          </w:tcPr>
          <w:p w14:paraId="17667694" w14:textId="77777777" w:rsidR="004566BD" w:rsidRDefault="004566BD">
            <w:pPr>
              <w:rPr>
                <w:rFonts w:ascii="Calibri Light" w:hAnsi="Calibri Light" w:cs="Calibri Light"/>
                <w:b/>
                <w:bCs/>
                <w:color w:val="000000"/>
                <w:sz w:val="18"/>
                <w:szCs w:val="18"/>
              </w:rPr>
            </w:pPr>
          </w:p>
        </w:tc>
        <w:tc>
          <w:tcPr>
            <w:tcW w:w="928" w:type="pct"/>
            <w:tcBorders>
              <w:top w:val="nil"/>
              <w:left w:val="nil"/>
              <w:bottom w:val="nil"/>
              <w:right w:val="nil"/>
            </w:tcBorders>
            <w:shd w:val="clear" w:color="auto" w:fill="auto"/>
            <w:noWrap/>
            <w:vAlign w:val="bottom"/>
            <w:hideMark/>
          </w:tcPr>
          <w:p w14:paraId="50DFD6EB" w14:textId="77777777" w:rsidR="004566BD" w:rsidRDefault="004566BD">
            <w:pPr>
              <w:rPr>
                <w:sz w:val="20"/>
                <w:szCs w:val="20"/>
              </w:rPr>
            </w:pPr>
          </w:p>
        </w:tc>
      </w:tr>
      <w:tr w:rsidR="004566BD" w14:paraId="25501FD7" w14:textId="77777777" w:rsidTr="00717185">
        <w:trPr>
          <w:trHeight w:val="20"/>
        </w:trPr>
        <w:tc>
          <w:tcPr>
            <w:tcW w:w="3367" w:type="pct"/>
            <w:tcBorders>
              <w:top w:val="nil"/>
              <w:left w:val="nil"/>
              <w:bottom w:val="nil"/>
              <w:right w:val="nil"/>
            </w:tcBorders>
            <w:shd w:val="clear" w:color="auto" w:fill="auto"/>
            <w:noWrap/>
            <w:vAlign w:val="bottom"/>
            <w:hideMark/>
          </w:tcPr>
          <w:p w14:paraId="09DF3002" w14:textId="77777777" w:rsidR="004566BD" w:rsidRDefault="004566BD">
            <w:pPr>
              <w:rPr>
                <w:rFonts w:ascii="Calibri Light" w:hAnsi="Calibri Light" w:cs="Calibri Light"/>
                <w:color w:val="000000"/>
                <w:sz w:val="18"/>
                <w:szCs w:val="18"/>
              </w:rPr>
            </w:pPr>
            <w:r>
              <w:rPr>
                <w:rFonts w:ascii="Calibri Light" w:hAnsi="Calibri Light"/>
                <w:color w:val="000000"/>
                <w:sz w:val="18"/>
              </w:rPr>
              <w:t>Immobilisations corporelles</w:t>
            </w:r>
          </w:p>
        </w:tc>
        <w:tc>
          <w:tcPr>
            <w:tcW w:w="705" w:type="pct"/>
            <w:tcBorders>
              <w:top w:val="nil"/>
              <w:left w:val="nil"/>
              <w:bottom w:val="nil"/>
              <w:right w:val="nil"/>
            </w:tcBorders>
            <w:shd w:val="clear" w:color="auto" w:fill="auto"/>
            <w:noWrap/>
            <w:vAlign w:val="bottom"/>
            <w:hideMark/>
          </w:tcPr>
          <w:p w14:paraId="524167E2"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14 834</w:t>
            </w:r>
          </w:p>
        </w:tc>
        <w:tc>
          <w:tcPr>
            <w:tcW w:w="928" w:type="pct"/>
            <w:tcBorders>
              <w:top w:val="nil"/>
              <w:left w:val="nil"/>
              <w:bottom w:val="nil"/>
              <w:right w:val="nil"/>
            </w:tcBorders>
            <w:shd w:val="clear" w:color="auto" w:fill="auto"/>
            <w:noWrap/>
            <w:vAlign w:val="bottom"/>
            <w:hideMark/>
          </w:tcPr>
          <w:p w14:paraId="323B3AEB"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9 367</w:t>
            </w:r>
          </w:p>
        </w:tc>
      </w:tr>
      <w:tr w:rsidR="004566BD" w14:paraId="3C65EC2E" w14:textId="77777777" w:rsidTr="00717185">
        <w:trPr>
          <w:trHeight w:val="20"/>
        </w:trPr>
        <w:tc>
          <w:tcPr>
            <w:tcW w:w="3367" w:type="pct"/>
            <w:tcBorders>
              <w:top w:val="nil"/>
              <w:left w:val="nil"/>
              <w:bottom w:val="nil"/>
              <w:right w:val="nil"/>
            </w:tcBorders>
            <w:shd w:val="clear" w:color="auto" w:fill="auto"/>
            <w:noWrap/>
            <w:vAlign w:val="bottom"/>
            <w:hideMark/>
          </w:tcPr>
          <w:p w14:paraId="0DE2461D" w14:textId="77777777" w:rsidR="004566BD" w:rsidRDefault="004566BD">
            <w:pPr>
              <w:rPr>
                <w:rFonts w:ascii="Calibri Light" w:hAnsi="Calibri Light" w:cs="Calibri Light"/>
                <w:color w:val="000000"/>
                <w:sz w:val="18"/>
                <w:szCs w:val="18"/>
              </w:rPr>
            </w:pPr>
            <w:r>
              <w:rPr>
                <w:rFonts w:ascii="Calibri Light" w:hAnsi="Calibri Light"/>
                <w:color w:val="000000"/>
                <w:sz w:val="18"/>
              </w:rPr>
              <w:t>Immobilisations incorporelles</w:t>
            </w:r>
          </w:p>
        </w:tc>
        <w:tc>
          <w:tcPr>
            <w:tcW w:w="705" w:type="pct"/>
            <w:tcBorders>
              <w:top w:val="nil"/>
              <w:left w:val="nil"/>
              <w:bottom w:val="nil"/>
              <w:right w:val="nil"/>
            </w:tcBorders>
            <w:shd w:val="clear" w:color="auto" w:fill="auto"/>
            <w:noWrap/>
            <w:vAlign w:val="bottom"/>
            <w:hideMark/>
          </w:tcPr>
          <w:p w14:paraId="3CA87331"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4 863</w:t>
            </w:r>
          </w:p>
        </w:tc>
        <w:tc>
          <w:tcPr>
            <w:tcW w:w="928" w:type="pct"/>
            <w:tcBorders>
              <w:top w:val="nil"/>
              <w:left w:val="nil"/>
              <w:bottom w:val="nil"/>
              <w:right w:val="nil"/>
            </w:tcBorders>
            <w:shd w:val="clear" w:color="auto" w:fill="auto"/>
            <w:noWrap/>
            <w:vAlign w:val="bottom"/>
            <w:hideMark/>
          </w:tcPr>
          <w:p w14:paraId="25580288"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0</w:t>
            </w:r>
          </w:p>
        </w:tc>
      </w:tr>
      <w:tr w:rsidR="004566BD" w14:paraId="0298147D" w14:textId="77777777" w:rsidTr="00717185">
        <w:trPr>
          <w:trHeight w:val="20"/>
        </w:trPr>
        <w:tc>
          <w:tcPr>
            <w:tcW w:w="3367" w:type="pct"/>
            <w:tcBorders>
              <w:top w:val="nil"/>
              <w:left w:val="nil"/>
              <w:bottom w:val="nil"/>
              <w:right w:val="nil"/>
            </w:tcBorders>
            <w:shd w:val="clear" w:color="auto" w:fill="auto"/>
            <w:noWrap/>
            <w:vAlign w:val="bottom"/>
            <w:hideMark/>
          </w:tcPr>
          <w:p w14:paraId="2D227335" w14:textId="77777777" w:rsidR="004566BD" w:rsidRDefault="004566BD">
            <w:pPr>
              <w:rPr>
                <w:rFonts w:ascii="Calibri Light" w:hAnsi="Calibri Light" w:cs="Calibri Light"/>
                <w:color w:val="000000"/>
                <w:sz w:val="18"/>
                <w:szCs w:val="18"/>
              </w:rPr>
            </w:pPr>
            <w:r>
              <w:rPr>
                <w:rFonts w:ascii="Calibri Light" w:hAnsi="Calibri Light"/>
                <w:color w:val="000000"/>
                <w:sz w:val="18"/>
              </w:rPr>
              <w:t>Droits d’utilisation</w:t>
            </w:r>
          </w:p>
        </w:tc>
        <w:tc>
          <w:tcPr>
            <w:tcW w:w="705" w:type="pct"/>
            <w:tcBorders>
              <w:top w:val="nil"/>
              <w:left w:val="nil"/>
              <w:bottom w:val="nil"/>
              <w:right w:val="nil"/>
            </w:tcBorders>
            <w:shd w:val="clear" w:color="auto" w:fill="auto"/>
            <w:noWrap/>
            <w:vAlign w:val="bottom"/>
            <w:hideMark/>
          </w:tcPr>
          <w:p w14:paraId="1DAA9192"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306 704</w:t>
            </w:r>
          </w:p>
        </w:tc>
        <w:tc>
          <w:tcPr>
            <w:tcW w:w="928" w:type="pct"/>
            <w:tcBorders>
              <w:top w:val="nil"/>
              <w:left w:val="nil"/>
              <w:bottom w:val="nil"/>
              <w:right w:val="nil"/>
            </w:tcBorders>
            <w:shd w:val="clear" w:color="auto" w:fill="auto"/>
            <w:noWrap/>
            <w:vAlign w:val="bottom"/>
            <w:hideMark/>
          </w:tcPr>
          <w:p w14:paraId="339F554C"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366 520</w:t>
            </w:r>
          </w:p>
        </w:tc>
      </w:tr>
      <w:tr w:rsidR="004566BD" w14:paraId="05E1D09B" w14:textId="77777777" w:rsidTr="00717185">
        <w:trPr>
          <w:trHeight w:val="20"/>
        </w:trPr>
        <w:tc>
          <w:tcPr>
            <w:tcW w:w="3367" w:type="pct"/>
            <w:tcBorders>
              <w:top w:val="nil"/>
              <w:left w:val="nil"/>
              <w:bottom w:val="nil"/>
              <w:right w:val="nil"/>
            </w:tcBorders>
            <w:shd w:val="clear" w:color="auto" w:fill="auto"/>
            <w:noWrap/>
            <w:vAlign w:val="bottom"/>
            <w:hideMark/>
          </w:tcPr>
          <w:p w14:paraId="77B529FE" w14:textId="77777777" w:rsidR="004566BD" w:rsidRDefault="004566BD">
            <w:pPr>
              <w:rPr>
                <w:rFonts w:ascii="Calibri Light" w:hAnsi="Calibri Light" w:cs="Calibri Light"/>
                <w:color w:val="000000"/>
                <w:sz w:val="18"/>
                <w:szCs w:val="18"/>
              </w:rPr>
            </w:pPr>
            <w:r>
              <w:rPr>
                <w:rFonts w:ascii="Calibri Light" w:hAnsi="Calibri Light"/>
                <w:color w:val="000000"/>
                <w:sz w:val="18"/>
              </w:rPr>
              <w:t>Autres créances à long terme</w:t>
            </w:r>
          </w:p>
        </w:tc>
        <w:tc>
          <w:tcPr>
            <w:tcW w:w="705" w:type="pct"/>
            <w:tcBorders>
              <w:top w:val="nil"/>
              <w:left w:val="nil"/>
              <w:bottom w:val="nil"/>
              <w:right w:val="nil"/>
            </w:tcBorders>
            <w:shd w:val="clear" w:color="auto" w:fill="auto"/>
            <w:noWrap/>
            <w:vAlign w:val="bottom"/>
            <w:hideMark/>
          </w:tcPr>
          <w:p w14:paraId="7C18E716"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62 203</w:t>
            </w:r>
          </w:p>
        </w:tc>
        <w:tc>
          <w:tcPr>
            <w:tcW w:w="928" w:type="pct"/>
            <w:tcBorders>
              <w:top w:val="nil"/>
              <w:left w:val="nil"/>
              <w:bottom w:val="nil"/>
              <w:right w:val="nil"/>
            </w:tcBorders>
            <w:shd w:val="clear" w:color="auto" w:fill="auto"/>
            <w:noWrap/>
            <w:vAlign w:val="bottom"/>
            <w:hideMark/>
          </w:tcPr>
          <w:p w14:paraId="626633E5"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80 513</w:t>
            </w:r>
          </w:p>
        </w:tc>
      </w:tr>
      <w:tr w:rsidR="004566BD" w14:paraId="518F1DC7" w14:textId="77777777" w:rsidTr="00717185">
        <w:trPr>
          <w:trHeight w:val="20"/>
        </w:trPr>
        <w:tc>
          <w:tcPr>
            <w:tcW w:w="3367" w:type="pct"/>
            <w:tcBorders>
              <w:top w:val="nil"/>
              <w:left w:val="nil"/>
              <w:bottom w:val="nil"/>
              <w:right w:val="nil"/>
            </w:tcBorders>
            <w:shd w:val="clear" w:color="auto" w:fill="auto"/>
            <w:noWrap/>
            <w:vAlign w:val="bottom"/>
            <w:hideMark/>
          </w:tcPr>
          <w:p w14:paraId="430C79D0" w14:textId="77777777" w:rsidR="004566BD" w:rsidRDefault="004566BD">
            <w:pPr>
              <w:rPr>
                <w:rFonts w:ascii="Calibri Light" w:hAnsi="Calibri Light" w:cs="Calibri Light"/>
                <w:color w:val="000000"/>
                <w:sz w:val="18"/>
                <w:szCs w:val="18"/>
              </w:rPr>
            </w:pPr>
            <w:r>
              <w:rPr>
                <w:rFonts w:ascii="Calibri Light" w:hAnsi="Calibri Light"/>
                <w:color w:val="000000"/>
                <w:sz w:val="18"/>
              </w:rPr>
              <w:t>Actif d’impôt différé</w:t>
            </w:r>
          </w:p>
        </w:tc>
        <w:tc>
          <w:tcPr>
            <w:tcW w:w="705" w:type="pct"/>
            <w:tcBorders>
              <w:top w:val="nil"/>
              <w:left w:val="nil"/>
              <w:bottom w:val="nil"/>
              <w:right w:val="nil"/>
            </w:tcBorders>
            <w:shd w:val="clear" w:color="auto" w:fill="auto"/>
            <w:noWrap/>
            <w:vAlign w:val="bottom"/>
            <w:hideMark/>
          </w:tcPr>
          <w:p w14:paraId="50AA008C"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1 223 948</w:t>
            </w:r>
          </w:p>
        </w:tc>
        <w:tc>
          <w:tcPr>
            <w:tcW w:w="928" w:type="pct"/>
            <w:tcBorders>
              <w:top w:val="nil"/>
              <w:left w:val="nil"/>
              <w:bottom w:val="nil"/>
              <w:right w:val="nil"/>
            </w:tcBorders>
            <w:shd w:val="clear" w:color="auto" w:fill="auto"/>
            <w:noWrap/>
            <w:vAlign w:val="bottom"/>
            <w:hideMark/>
          </w:tcPr>
          <w:p w14:paraId="24E3C87D"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1 381 780</w:t>
            </w:r>
          </w:p>
        </w:tc>
      </w:tr>
      <w:tr w:rsidR="004566BD" w14:paraId="400B98D7" w14:textId="77777777" w:rsidTr="00717185">
        <w:trPr>
          <w:trHeight w:val="20"/>
        </w:trPr>
        <w:tc>
          <w:tcPr>
            <w:tcW w:w="3367" w:type="pct"/>
            <w:tcBorders>
              <w:top w:val="nil"/>
              <w:left w:val="nil"/>
              <w:bottom w:val="nil"/>
              <w:right w:val="nil"/>
            </w:tcBorders>
            <w:shd w:val="clear" w:color="auto" w:fill="auto"/>
            <w:noWrap/>
            <w:vAlign w:val="bottom"/>
            <w:hideMark/>
          </w:tcPr>
          <w:p w14:paraId="7A76483C" w14:textId="77777777" w:rsidR="004566BD" w:rsidRDefault="004566BD">
            <w:pPr>
              <w:rPr>
                <w:rFonts w:ascii="Calibri Light" w:hAnsi="Calibri Light" w:cs="Calibri Light"/>
                <w:b/>
                <w:bCs/>
                <w:color w:val="000000"/>
                <w:sz w:val="18"/>
                <w:szCs w:val="18"/>
              </w:rPr>
            </w:pPr>
            <w:r>
              <w:rPr>
                <w:rFonts w:ascii="Calibri Light" w:hAnsi="Calibri Light"/>
                <w:b/>
                <w:color w:val="000000"/>
                <w:sz w:val="18"/>
              </w:rPr>
              <w:t>TOTAL ACTIFS À LONG TERME</w:t>
            </w:r>
          </w:p>
        </w:tc>
        <w:tc>
          <w:tcPr>
            <w:tcW w:w="705" w:type="pct"/>
            <w:tcBorders>
              <w:top w:val="single" w:sz="4" w:space="0" w:color="auto"/>
              <w:left w:val="nil"/>
              <w:bottom w:val="nil"/>
              <w:right w:val="nil"/>
            </w:tcBorders>
            <w:shd w:val="clear" w:color="auto" w:fill="auto"/>
            <w:noWrap/>
            <w:vAlign w:val="bottom"/>
            <w:hideMark/>
          </w:tcPr>
          <w:p w14:paraId="26BE2A0C"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1 612 551</w:t>
            </w:r>
          </w:p>
        </w:tc>
        <w:tc>
          <w:tcPr>
            <w:tcW w:w="928" w:type="pct"/>
            <w:tcBorders>
              <w:top w:val="single" w:sz="4" w:space="0" w:color="auto"/>
              <w:left w:val="nil"/>
              <w:bottom w:val="nil"/>
              <w:right w:val="nil"/>
            </w:tcBorders>
            <w:shd w:val="clear" w:color="auto" w:fill="auto"/>
            <w:noWrap/>
            <w:vAlign w:val="bottom"/>
            <w:hideMark/>
          </w:tcPr>
          <w:p w14:paraId="685FD8C3"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1 838 178</w:t>
            </w:r>
          </w:p>
        </w:tc>
      </w:tr>
      <w:tr w:rsidR="004566BD" w14:paraId="700B8991" w14:textId="77777777" w:rsidTr="00717185">
        <w:trPr>
          <w:trHeight w:val="20"/>
        </w:trPr>
        <w:tc>
          <w:tcPr>
            <w:tcW w:w="3367" w:type="pct"/>
            <w:tcBorders>
              <w:top w:val="nil"/>
              <w:left w:val="nil"/>
              <w:bottom w:val="nil"/>
              <w:right w:val="nil"/>
            </w:tcBorders>
            <w:shd w:val="clear" w:color="auto" w:fill="auto"/>
            <w:noWrap/>
            <w:vAlign w:val="bottom"/>
            <w:hideMark/>
          </w:tcPr>
          <w:p w14:paraId="17F34E71" w14:textId="77777777" w:rsidR="004566BD" w:rsidRDefault="004566BD">
            <w:pPr>
              <w:jc w:val="right"/>
              <w:rPr>
                <w:rFonts w:ascii="Calibri Light" w:hAnsi="Calibri Light" w:cs="Calibri Light"/>
                <w:b/>
                <w:bCs/>
                <w:color w:val="000000"/>
                <w:sz w:val="18"/>
                <w:szCs w:val="18"/>
              </w:rPr>
            </w:pPr>
          </w:p>
        </w:tc>
        <w:tc>
          <w:tcPr>
            <w:tcW w:w="705" w:type="pct"/>
            <w:tcBorders>
              <w:top w:val="nil"/>
              <w:left w:val="nil"/>
              <w:bottom w:val="nil"/>
              <w:right w:val="nil"/>
            </w:tcBorders>
            <w:shd w:val="clear" w:color="auto" w:fill="auto"/>
            <w:noWrap/>
            <w:vAlign w:val="bottom"/>
            <w:hideMark/>
          </w:tcPr>
          <w:p w14:paraId="6C1512D3" w14:textId="77777777" w:rsidR="004566BD" w:rsidRDefault="004566BD">
            <w:pPr>
              <w:rPr>
                <w:sz w:val="20"/>
                <w:szCs w:val="20"/>
              </w:rPr>
            </w:pPr>
          </w:p>
        </w:tc>
        <w:tc>
          <w:tcPr>
            <w:tcW w:w="928" w:type="pct"/>
            <w:tcBorders>
              <w:top w:val="nil"/>
              <w:left w:val="nil"/>
              <w:bottom w:val="nil"/>
              <w:right w:val="nil"/>
            </w:tcBorders>
            <w:shd w:val="clear" w:color="auto" w:fill="auto"/>
            <w:noWrap/>
            <w:vAlign w:val="bottom"/>
            <w:hideMark/>
          </w:tcPr>
          <w:p w14:paraId="7F801751" w14:textId="77777777" w:rsidR="004566BD" w:rsidRDefault="004566BD">
            <w:pPr>
              <w:rPr>
                <w:sz w:val="20"/>
                <w:szCs w:val="20"/>
              </w:rPr>
            </w:pPr>
          </w:p>
        </w:tc>
      </w:tr>
      <w:tr w:rsidR="004566BD" w14:paraId="2F97051B" w14:textId="77777777" w:rsidTr="00717185">
        <w:trPr>
          <w:trHeight w:val="20"/>
        </w:trPr>
        <w:tc>
          <w:tcPr>
            <w:tcW w:w="3367" w:type="pct"/>
            <w:tcBorders>
              <w:top w:val="nil"/>
              <w:left w:val="nil"/>
              <w:bottom w:val="nil"/>
              <w:right w:val="nil"/>
            </w:tcBorders>
            <w:shd w:val="clear" w:color="auto" w:fill="auto"/>
            <w:noWrap/>
            <w:vAlign w:val="bottom"/>
            <w:hideMark/>
          </w:tcPr>
          <w:p w14:paraId="05A9655B" w14:textId="77777777" w:rsidR="004566BD" w:rsidRDefault="004566BD">
            <w:pPr>
              <w:rPr>
                <w:rFonts w:ascii="Calibri Light" w:hAnsi="Calibri Light" w:cs="Calibri Light"/>
                <w:b/>
                <w:bCs/>
                <w:color w:val="000000"/>
                <w:sz w:val="18"/>
                <w:szCs w:val="18"/>
              </w:rPr>
            </w:pPr>
            <w:r>
              <w:rPr>
                <w:rFonts w:ascii="Calibri Light" w:hAnsi="Calibri Light"/>
                <w:b/>
                <w:color w:val="000000"/>
                <w:sz w:val="18"/>
              </w:rPr>
              <w:t>Actif circulant</w:t>
            </w:r>
          </w:p>
        </w:tc>
        <w:tc>
          <w:tcPr>
            <w:tcW w:w="705" w:type="pct"/>
            <w:tcBorders>
              <w:top w:val="nil"/>
              <w:left w:val="nil"/>
              <w:bottom w:val="nil"/>
              <w:right w:val="nil"/>
            </w:tcBorders>
            <w:shd w:val="clear" w:color="auto" w:fill="auto"/>
            <w:noWrap/>
            <w:vAlign w:val="bottom"/>
            <w:hideMark/>
          </w:tcPr>
          <w:p w14:paraId="4EA21A44" w14:textId="77777777" w:rsidR="004566BD" w:rsidRDefault="004566BD">
            <w:pPr>
              <w:rPr>
                <w:rFonts w:ascii="Calibri Light" w:hAnsi="Calibri Light" w:cs="Calibri Light"/>
                <w:b/>
                <w:bCs/>
                <w:color w:val="000000"/>
                <w:sz w:val="18"/>
                <w:szCs w:val="18"/>
              </w:rPr>
            </w:pPr>
          </w:p>
        </w:tc>
        <w:tc>
          <w:tcPr>
            <w:tcW w:w="928" w:type="pct"/>
            <w:tcBorders>
              <w:top w:val="nil"/>
              <w:left w:val="nil"/>
              <w:bottom w:val="nil"/>
              <w:right w:val="nil"/>
            </w:tcBorders>
            <w:shd w:val="clear" w:color="auto" w:fill="auto"/>
            <w:noWrap/>
            <w:vAlign w:val="bottom"/>
            <w:hideMark/>
          </w:tcPr>
          <w:p w14:paraId="3BD6841C" w14:textId="77777777" w:rsidR="004566BD" w:rsidRDefault="004566BD">
            <w:pPr>
              <w:rPr>
                <w:sz w:val="20"/>
                <w:szCs w:val="20"/>
              </w:rPr>
            </w:pPr>
          </w:p>
        </w:tc>
      </w:tr>
      <w:tr w:rsidR="004566BD" w14:paraId="4835BB3D" w14:textId="77777777" w:rsidTr="00717185">
        <w:trPr>
          <w:trHeight w:val="20"/>
        </w:trPr>
        <w:tc>
          <w:tcPr>
            <w:tcW w:w="3367" w:type="pct"/>
            <w:tcBorders>
              <w:top w:val="nil"/>
              <w:left w:val="nil"/>
              <w:bottom w:val="nil"/>
              <w:right w:val="nil"/>
            </w:tcBorders>
            <w:shd w:val="clear" w:color="auto" w:fill="auto"/>
            <w:noWrap/>
            <w:vAlign w:val="bottom"/>
            <w:hideMark/>
          </w:tcPr>
          <w:p w14:paraId="4FABBBF8" w14:textId="77777777" w:rsidR="004566BD" w:rsidRDefault="004566BD">
            <w:pPr>
              <w:rPr>
                <w:rFonts w:ascii="Calibri Light" w:hAnsi="Calibri Light" w:cs="Calibri Light"/>
                <w:color w:val="000000"/>
                <w:sz w:val="18"/>
                <w:szCs w:val="18"/>
              </w:rPr>
            </w:pPr>
            <w:r>
              <w:rPr>
                <w:rFonts w:ascii="Calibri Light" w:hAnsi="Calibri Light"/>
                <w:color w:val="000000"/>
                <w:sz w:val="18"/>
              </w:rPr>
              <w:t>Stocks</w:t>
            </w:r>
          </w:p>
        </w:tc>
        <w:tc>
          <w:tcPr>
            <w:tcW w:w="705" w:type="pct"/>
            <w:tcBorders>
              <w:top w:val="nil"/>
              <w:left w:val="nil"/>
              <w:bottom w:val="nil"/>
              <w:right w:val="nil"/>
            </w:tcBorders>
            <w:shd w:val="clear" w:color="auto" w:fill="auto"/>
            <w:noWrap/>
            <w:vAlign w:val="bottom"/>
            <w:hideMark/>
          </w:tcPr>
          <w:p w14:paraId="0A56E6CC"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3 885 194</w:t>
            </w:r>
          </w:p>
        </w:tc>
        <w:tc>
          <w:tcPr>
            <w:tcW w:w="928" w:type="pct"/>
            <w:tcBorders>
              <w:top w:val="nil"/>
              <w:left w:val="nil"/>
              <w:bottom w:val="nil"/>
              <w:right w:val="nil"/>
            </w:tcBorders>
            <w:shd w:val="clear" w:color="auto" w:fill="auto"/>
            <w:noWrap/>
            <w:vAlign w:val="bottom"/>
            <w:hideMark/>
          </w:tcPr>
          <w:p w14:paraId="42E0E172"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3 660 937</w:t>
            </w:r>
          </w:p>
        </w:tc>
      </w:tr>
      <w:tr w:rsidR="004566BD" w14:paraId="1ABC5891" w14:textId="77777777" w:rsidTr="00717185">
        <w:trPr>
          <w:trHeight w:val="20"/>
        </w:trPr>
        <w:tc>
          <w:tcPr>
            <w:tcW w:w="3367" w:type="pct"/>
            <w:tcBorders>
              <w:top w:val="nil"/>
              <w:left w:val="nil"/>
              <w:bottom w:val="nil"/>
              <w:right w:val="nil"/>
            </w:tcBorders>
            <w:shd w:val="clear" w:color="auto" w:fill="auto"/>
            <w:noWrap/>
            <w:vAlign w:val="bottom"/>
            <w:hideMark/>
          </w:tcPr>
          <w:p w14:paraId="505CF16B" w14:textId="77777777" w:rsidR="004566BD" w:rsidRDefault="004566BD">
            <w:pPr>
              <w:rPr>
                <w:rFonts w:ascii="Calibri Light" w:hAnsi="Calibri Light" w:cs="Calibri Light"/>
                <w:color w:val="000000"/>
                <w:sz w:val="18"/>
                <w:szCs w:val="18"/>
              </w:rPr>
            </w:pPr>
            <w:r>
              <w:rPr>
                <w:rFonts w:ascii="Calibri Light" w:hAnsi="Calibri Light"/>
                <w:color w:val="000000"/>
                <w:sz w:val="18"/>
              </w:rPr>
              <w:t>Créances commerciales</w:t>
            </w:r>
          </w:p>
        </w:tc>
        <w:tc>
          <w:tcPr>
            <w:tcW w:w="705" w:type="pct"/>
            <w:tcBorders>
              <w:top w:val="nil"/>
              <w:left w:val="nil"/>
              <w:bottom w:val="nil"/>
              <w:right w:val="nil"/>
            </w:tcBorders>
            <w:shd w:val="clear" w:color="auto" w:fill="auto"/>
            <w:noWrap/>
            <w:vAlign w:val="bottom"/>
            <w:hideMark/>
          </w:tcPr>
          <w:p w14:paraId="18A6830B"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111 884</w:t>
            </w:r>
          </w:p>
        </w:tc>
        <w:tc>
          <w:tcPr>
            <w:tcW w:w="928" w:type="pct"/>
            <w:tcBorders>
              <w:top w:val="nil"/>
              <w:left w:val="nil"/>
              <w:bottom w:val="nil"/>
              <w:right w:val="nil"/>
            </w:tcBorders>
            <w:shd w:val="clear" w:color="auto" w:fill="auto"/>
            <w:noWrap/>
            <w:vAlign w:val="bottom"/>
            <w:hideMark/>
          </w:tcPr>
          <w:p w14:paraId="46FE096C"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145 333</w:t>
            </w:r>
          </w:p>
        </w:tc>
      </w:tr>
      <w:tr w:rsidR="004566BD" w14:paraId="6B4F78DE" w14:textId="77777777" w:rsidTr="00717185">
        <w:trPr>
          <w:trHeight w:val="20"/>
        </w:trPr>
        <w:tc>
          <w:tcPr>
            <w:tcW w:w="3367" w:type="pct"/>
            <w:tcBorders>
              <w:top w:val="nil"/>
              <w:left w:val="nil"/>
              <w:bottom w:val="nil"/>
              <w:right w:val="nil"/>
            </w:tcBorders>
            <w:shd w:val="clear" w:color="auto" w:fill="auto"/>
            <w:noWrap/>
            <w:vAlign w:val="bottom"/>
            <w:hideMark/>
          </w:tcPr>
          <w:p w14:paraId="469E6E78" w14:textId="77777777" w:rsidR="004566BD" w:rsidRDefault="004566BD">
            <w:pPr>
              <w:rPr>
                <w:rFonts w:ascii="Calibri Light" w:hAnsi="Calibri Light" w:cs="Calibri Light"/>
                <w:color w:val="000000"/>
                <w:sz w:val="18"/>
                <w:szCs w:val="18"/>
              </w:rPr>
            </w:pPr>
            <w:r>
              <w:rPr>
                <w:rFonts w:ascii="Calibri Light" w:hAnsi="Calibri Light"/>
                <w:color w:val="000000"/>
                <w:sz w:val="18"/>
              </w:rPr>
              <w:t>Autres créances à court terme</w:t>
            </w:r>
          </w:p>
        </w:tc>
        <w:tc>
          <w:tcPr>
            <w:tcW w:w="705" w:type="pct"/>
            <w:tcBorders>
              <w:top w:val="nil"/>
              <w:left w:val="nil"/>
              <w:bottom w:val="nil"/>
              <w:right w:val="nil"/>
            </w:tcBorders>
            <w:shd w:val="clear" w:color="auto" w:fill="auto"/>
            <w:noWrap/>
            <w:vAlign w:val="bottom"/>
            <w:hideMark/>
          </w:tcPr>
          <w:p w14:paraId="4700C97C"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469 048</w:t>
            </w:r>
          </w:p>
        </w:tc>
        <w:tc>
          <w:tcPr>
            <w:tcW w:w="928" w:type="pct"/>
            <w:tcBorders>
              <w:top w:val="nil"/>
              <w:left w:val="nil"/>
              <w:bottom w:val="nil"/>
              <w:right w:val="nil"/>
            </w:tcBorders>
            <w:shd w:val="clear" w:color="auto" w:fill="auto"/>
            <w:noWrap/>
            <w:vAlign w:val="bottom"/>
            <w:hideMark/>
          </w:tcPr>
          <w:p w14:paraId="043E765D"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557 649</w:t>
            </w:r>
          </w:p>
        </w:tc>
      </w:tr>
      <w:tr w:rsidR="004566BD" w14:paraId="414D65DA" w14:textId="77777777" w:rsidTr="00717185">
        <w:trPr>
          <w:trHeight w:val="20"/>
        </w:trPr>
        <w:tc>
          <w:tcPr>
            <w:tcW w:w="3367" w:type="pct"/>
            <w:tcBorders>
              <w:top w:val="nil"/>
              <w:left w:val="nil"/>
              <w:bottom w:val="nil"/>
              <w:right w:val="nil"/>
            </w:tcBorders>
            <w:shd w:val="clear" w:color="auto" w:fill="auto"/>
            <w:noWrap/>
            <w:vAlign w:val="bottom"/>
            <w:hideMark/>
          </w:tcPr>
          <w:p w14:paraId="62DCC77F" w14:textId="77777777" w:rsidR="004566BD" w:rsidRDefault="004566BD">
            <w:pPr>
              <w:rPr>
                <w:rFonts w:ascii="Calibri Light" w:hAnsi="Calibri Light" w:cs="Calibri Light"/>
                <w:color w:val="000000"/>
                <w:sz w:val="18"/>
                <w:szCs w:val="18"/>
              </w:rPr>
            </w:pPr>
            <w:r>
              <w:rPr>
                <w:rFonts w:ascii="Calibri Light" w:hAnsi="Calibri Light"/>
                <w:color w:val="000000"/>
                <w:sz w:val="18"/>
              </w:rPr>
              <w:t>Créances fiscales</w:t>
            </w:r>
          </w:p>
        </w:tc>
        <w:tc>
          <w:tcPr>
            <w:tcW w:w="705" w:type="pct"/>
            <w:tcBorders>
              <w:top w:val="nil"/>
              <w:left w:val="nil"/>
              <w:bottom w:val="nil"/>
              <w:right w:val="nil"/>
            </w:tcBorders>
            <w:shd w:val="clear" w:color="auto" w:fill="auto"/>
            <w:noWrap/>
            <w:vAlign w:val="bottom"/>
            <w:hideMark/>
          </w:tcPr>
          <w:p w14:paraId="4ADE2DE0"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12 642</w:t>
            </w:r>
          </w:p>
        </w:tc>
        <w:tc>
          <w:tcPr>
            <w:tcW w:w="928" w:type="pct"/>
            <w:tcBorders>
              <w:top w:val="nil"/>
              <w:left w:val="nil"/>
              <w:bottom w:val="nil"/>
              <w:right w:val="nil"/>
            </w:tcBorders>
            <w:shd w:val="clear" w:color="auto" w:fill="auto"/>
            <w:noWrap/>
            <w:vAlign w:val="bottom"/>
            <w:hideMark/>
          </w:tcPr>
          <w:p w14:paraId="4892C2F1"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1 749</w:t>
            </w:r>
          </w:p>
        </w:tc>
      </w:tr>
      <w:tr w:rsidR="004566BD" w14:paraId="5AEB8EA9" w14:textId="77777777" w:rsidTr="00717185">
        <w:trPr>
          <w:trHeight w:val="20"/>
        </w:trPr>
        <w:tc>
          <w:tcPr>
            <w:tcW w:w="3367" w:type="pct"/>
            <w:tcBorders>
              <w:top w:val="nil"/>
              <w:left w:val="nil"/>
              <w:bottom w:val="nil"/>
              <w:right w:val="nil"/>
            </w:tcBorders>
            <w:shd w:val="clear" w:color="auto" w:fill="auto"/>
            <w:noWrap/>
            <w:vAlign w:val="bottom"/>
            <w:hideMark/>
          </w:tcPr>
          <w:p w14:paraId="51492EEA" w14:textId="77777777" w:rsidR="004566BD" w:rsidRDefault="004566BD">
            <w:pPr>
              <w:rPr>
                <w:rFonts w:ascii="Calibri Light" w:hAnsi="Calibri Light" w:cs="Calibri Light"/>
                <w:color w:val="000000"/>
                <w:sz w:val="18"/>
                <w:szCs w:val="18"/>
              </w:rPr>
            </w:pPr>
            <w:r>
              <w:rPr>
                <w:rFonts w:ascii="Calibri Light" w:hAnsi="Calibri Light"/>
                <w:color w:val="000000"/>
                <w:sz w:val="18"/>
              </w:rPr>
              <w:t>Actifs financiers à court terme</w:t>
            </w:r>
          </w:p>
        </w:tc>
        <w:tc>
          <w:tcPr>
            <w:tcW w:w="705" w:type="pct"/>
            <w:tcBorders>
              <w:top w:val="nil"/>
              <w:left w:val="nil"/>
              <w:bottom w:val="nil"/>
              <w:right w:val="nil"/>
            </w:tcBorders>
            <w:shd w:val="clear" w:color="auto" w:fill="auto"/>
            <w:noWrap/>
            <w:vAlign w:val="bottom"/>
            <w:hideMark/>
          </w:tcPr>
          <w:p w14:paraId="7F99B539"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0</w:t>
            </w:r>
          </w:p>
        </w:tc>
        <w:tc>
          <w:tcPr>
            <w:tcW w:w="928" w:type="pct"/>
            <w:tcBorders>
              <w:top w:val="nil"/>
              <w:left w:val="nil"/>
              <w:bottom w:val="nil"/>
              <w:right w:val="nil"/>
            </w:tcBorders>
            <w:shd w:val="clear" w:color="auto" w:fill="auto"/>
            <w:noWrap/>
            <w:vAlign w:val="bottom"/>
            <w:hideMark/>
          </w:tcPr>
          <w:p w14:paraId="46CA5354"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0</w:t>
            </w:r>
          </w:p>
        </w:tc>
      </w:tr>
      <w:tr w:rsidR="004566BD" w14:paraId="448EE630" w14:textId="77777777" w:rsidTr="00717185">
        <w:trPr>
          <w:trHeight w:val="20"/>
        </w:trPr>
        <w:tc>
          <w:tcPr>
            <w:tcW w:w="3367" w:type="pct"/>
            <w:tcBorders>
              <w:top w:val="nil"/>
              <w:left w:val="nil"/>
              <w:bottom w:val="nil"/>
              <w:right w:val="nil"/>
            </w:tcBorders>
            <w:shd w:val="clear" w:color="auto" w:fill="auto"/>
            <w:noWrap/>
            <w:vAlign w:val="bottom"/>
            <w:hideMark/>
          </w:tcPr>
          <w:p w14:paraId="19CCDEBC" w14:textId="77777777" w:rsidR="004566BD" w:rsidRDefault="004566BD">
            <w:pPr>
              <w:rPr>
                <w:rFonts w:ascii="Calibri Light" w:hAnsi="Calibri Light" w:cs="Calibri Light"/>
                <w:color w:val="000000"/>
                <w:sz w:val="18"/>
                <w:szCs w:val="18"/>
              </w:rPr>
            </w:pPr>
            <w:r>
              <w:rPr>
                <w:rFonts w:ascii="Calibri Light" w:hAnsi="Calibri Light"/>
                <w:color w:val="000000"/>
                <w:sz w:val="18"/>
              </w:rPr>
              <w:t>Trésorerie et équivalents de trésorerie</w:t>
            </w:r>
          </w:p>
        </w:tc>
        <w:tc>
          <w:tcPr>
            <w:tcW w:w="705" w:type="pct"/>
            <w:tcBorders>
              <w:top w:val="nil"/>
              <w:left w:val="nil"/>
              <w:bottom w:val="nil"/>
              <w:right w:val="nil"/>
            </w:tcBorders>
            <w:shd w:val="clear" w:color="auto" w:fill="auto"/>
            <w:noWrap/>
            <w:vAlign w:val="bottom"/>
            <w:hideMark/>
          </w:tcPr>
          <w:p w14:paraId="63899701"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2 525 656</w:t>
            </w:r>
          </w:p>
        </w:tc>
        <w:tc>
          <w:tcPr>
            <w:tcW w:w="928" w:type="pct"/>
            <w:tcBorders>
              <w:top w:val="nil"/>
              <w:left w:val="nil"/>
              <w:bottom w:val="nil"/>
              <w:right w:val="nil"/>
            </w:tcBorders>
            <w:shd w:val="clear" w:color="auto" w:fill="auto"/>
            <w:noWrap/>
            <w:vAlign w:val="bottom"/>
            <w:hideMark/>
          </w:tcPr>
          <w:p w14:paraId="3072F0DC"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3 607 408</w:t>
            </w:r>
          </w:p>
        </w:tc>
      </w:tr>
      <w:tr w:rsidR="004566BD" w14:paraId="7D749C1A" w14:textId="77777777" w:rsidTr="00717185">
        <w:trPr>
          <w:trHeight w:val="20"/>
        </w:trPr>
        <w:tc>
          <w:tcPr>
            <w:tcW w:w="3367" w:type="pct"/>
            <w:tcBorders>
              <w:top w:val="nil"/>
              <w:left w:val="nil"/>
              <w:bottom w:val="nil"/>
              <w:right w:val="nil"/>
            </w:tcBorders>
            <w:shd w:val="clear" w:color="auto" w:fill="auto"/>
            <w:noWrap/>
            <w:vAlign w:val="bottom"/>
            <w:hideMark/>
          </w:tcPr>
          <w:p w14:paraId="3921971B" w14:textId="77777777" w:rsidR="004566BD" w:rsidRDefault="004566BD">
            <w:pPr>
              <w:rPr>
                <w:rFonts w:ascii="Calibri Light" w:hAnsi="Calibri Light" w:cs="Calibri Light"/>
                <w:b/>
                <w:bCs/>
                <w:color w:val="000000"/>
                <w:sz w:val="18"/>
                <w:szCs w:val="18"/>
              </w:rPr>
            </w:pPr>
            <w:r>
              <w:rPr>
                <w:rFonts w:ascii="Calibri Light" w:hAnsi="Calibri Light"/>
                <w:b/>
                <w:color w:val="000000"/>
                <w:sz w:val="18"/>
              </w:rPr>
              <w:t>TOTAL ACTIF CIRCULANT</w:t>
            </w:r>
          </w:p>
        </w:tc>
        <w:tc>
          <w:tcPr>
            <w:tcW w:w="705" w:type="pct"/>
            <w:tcBorders>
              <w:top w:val="single" w:sz="4" w:space="0" w:color="auto"/>
              <w:left w:val="nil"/>
              <w:bottom w:val="nil"/>
              <w:right w:val="nil"/>
            </w:tcBorders>
            <w:shd w:val="clear" w:color="auto" w:fill="auto"/>
            <w:noWrap/>
            <w:vAlign w:val="bottom"/>
            <w:hideMark/>
          </w:tcPr>
          <w:p w14:paraId="58AEAE37"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7 004 424</w:t>
            </w:r>
          </w:p>
        </w:tc>
        <w:tc>
          <w:tcPr>
            <w:tcW w:w="928" w:type="pct"/>
            <w:tcBorders>
              <w:top w:val="single" w:sz="4" w:space="0" w:color="auto"/>
              <w:left w:val="nil"/>
              <w:bottom w:val="nil"/>
              <w:right w:val="nil"/>
            </w:tcBorders>
            <w:shd w:val="clear" w:color="auto" w:fill="auto"/>
            <w:noWrap/>
            <w:vAlign w:val="bottom"/>
            <w:hideMark/>
          </w:tcPr>
          <w:p w14:paraId="405E51CA"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7 973 077</w:t>
            </w:r>
          </w:p>
        </w:tc>
      </w:tr>
      <w:tr w:rsidR="004566BD" w14:paraId="4647C630" w14:textId="77777777" w:rsidTr="00717185">
        <w:trPr>
          <w:trHeight w:val="20"/>
        </w:trPr>
        <w:tc>
          <w:tcPr>
            <w:tcW w:w="3367" w:type="pct"/>
            <w:tcBorders>
              <w:top w:val="nil"/>
              <w:left w:val="nil"/>
              <w:bottom w:val="nil"/>
              <w:right w:val="nil"/>
            </w:tcBorders>
            <w:shd w:val="clear" w:color="auto" w:fill="auto"/>
            <w:noWrap/>
            <w:vAlign w:val="bottom"/>
            <w:hideMark/>
          </w:tcPr>
          <w:p w14:paraId="7D959CF5" w14:textId="77777777" w:rsidR="004566BD" w:rsidRDefault="004566BD">
            <w:pPr>
              <w:jc w:val="right"/>
              <w:rPr>
                <w:rFonts w:ascii="Calibri Light" w:hAnsi="Calibri Light" w:cs="Calibri Light"/>
                <w:b/>
                <w:bCs/>
                <w:color w:val="000000"/>
                <w:sz w:val="18"/>
                <w:szCs w:val="18"/>
              </w:rPr>
            </w:pPr>
          </w:p>
        </w:tc>
        <w:tc>
          <w:tcPr>
            <w:tcW w:w="705" w:type="pct"/>
            <w:tcBorders>
              <w:top w:val="nil"/>
              <w:left w:val="nil"/>
              <w:bottom w:val="nil"/>
              <w:right w:val="nil"/>
            </w:tcBorders>
            <w:shd w:val="clear" w:color="auto" w:fill="auto"/>
            <w:noWrap/>
            <w:vAlign w:val="bottom"/>
            <w:hideMark/>
          </w:tcPr>
          <w:p w14:paraId="6FB36B98" w14:textId="77777777" w:rsidR="004566BD" w:rsidRDefault="004566BD">
            <w:pPr>
              <w:rPr>
                <w:sz w:val="20"/>
                <w:szCs w:val="20"/>
              </w:rPr>
            </w:pPr>
          </w:p>
        </w:tc>
        <w:tc>
          <w:tcPr>
            <w:tcW w:w="928" w:type="pct"/>
            <w:tcBorders>
              <w:top w:val="nil"/>
              <w:left w:val="nil"/>
              <w:bottom w:val="nil"/>
              <w:right w:val="nil"/>
            </w:tcBorders>
            <w:shd w:val="clear" w:color="auto" w:fill="auto"/>
            <w:noWrap/>
            <w:vAlign w:val="bottom"/>
            <w:hideMark/>
          </w:tcPr>
          <w:p w14:paraId="5133AB84" w14:textId="77777777" w:rsidR="004566BD" w:rsidRDefault="004566BD">
            <w:pPr>
              <w:rPr>
                <w:sz w:val="20"/>
                <w:szCs w:val="20"/>
              </w:rPr>
            </w:pPr>
          </w:p>
        </w:tc>
      </w:tr>
      <w:tr w:rsidR="004566BD" w14:paraId="4396F3FF" w14:textId="77777777" w:rsidTr="00717185">
        <w:trPr>
          <w:trHeight w:val="20"/>
        </w:trPr>
        <w:tc>
          <w:tcPr>
            <w:tcW w:w="3367" w:type="pct"/>
            <w:tcBorders>
              <w:top w:val="nil"/>
              <w:left w:val="nil"/>
              <w:bottom w:val="nil"/>
              <w:right w:val="nil"/>
            </w:tcBorders>
            <w:shd w:val="clear" w:color="auto" w:fill="auto"/>
            <w:noWrap/>
            <w:vAlign w:val="bottom"/>
            <w:hideMark/>
          </w:tcPr>
          <w:p w14:paraId="4A8AF41B" w14:textId="77777777" w:rsidR="004566BD" w:rsidRDefault="004566BD">
            <w:pPr>
              <w:rPr>
                <w:rFonts w:ascii="Calibri Light" w:hAnsi="Calibri Light" w:cs="Calibri Light"/>
                <w:b/>
                <w:bCs/>
                <w:color w:val="000000"/>
                <w:sz w:val="18"/>
                <w:szCs w:val="18"/>
              </w:rPr>
            </w:pPr>
            <w:r>
              <w:rPr>
                <w:rFonts w:ascii="Calibri Light" w:hAnsi="Calibri Light"/>
                <w:b/>
                <w:color w:val="000000"/>
                <w:sz w:val="18"/>
              </w:rPr>
              <w:t>TOTAL ACTIF</w:t>
            </w:r>
          </w:p>
        </w:tc>
        <w:tc>
          <w:tcPr>
            <w:tcW w:w="705" w:type="pct"/>
            <w:tcBorders>
              <w:top w:val="single" w:sz="4" w:space="0" w:color="auto"/>
              <w:left w:val="nil"/>
              <w:bottom w:val="single" w:sz="8" w:space="0" w:color="auto"/>
              <w:right w:val="nil"/>
            </w:tcBorders>
            <w:shd w:val="clear" w:color="auto" w:fill="auto"/>
            <w:noWrap/>
            <w:vAlign w:val="bottom"/>
            <w:hideMark/>
          </w:tcPr>
          <w:p w14:paraId="4FC39363"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8 616 974</w:t>
            </w:r>
          </w:p>
        </w:tc>
        <w:tc>
          <w:tcPr>
            <w:tcW w:w="928" w:type="pct"/>
            <w:tcBorders>
              <w:top w:val="single" w:sz="4" w:space="0" w:color="auto"/>
              <w:left w:val="nil"/>
              <w:bottom w:val="single" w:sz="8" w:space="0" w:color="auto"/>
              <w:right w:val="single" w:sz="4" w:space="0" w:color="auto"/>
            </w:tcBorders>
            <w:shd w:val="clear" w:color="auto" w:fill="auto"/>
            <w:noWrap/>
            <w:vAlign w:val="bottom"/>
            <w:hideMark/>
          </w:tcPr>
          <w:p w14:paraId="1CFA262B"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9 811 255</w:t>
            </w:r>
          </w:p>
        </w:tc>
      </w:tr>
      <w:tr w:rsidR="004566BD" w14:paraId="2189ED8A" w14:textId="77777777" w:rsidTr="00717185">
        <w:trPr>
          <w:trHeight w:val="20"/>
        </w:trPr>
        <w:tc>
          <w:tcPr>
            <w:tcW w:w="3367" w:type="pct"/>
            <w:tcBorders>
              <w:top w:val="nil"/>
              <w:left w:val="nil"/>
              <w:bottom w:val="nil"/>
              <w:right w:val="nil"/>
            </w:tcBorders>
            <w:shd w:val="clear" w:color="auto" w:fill="auto"/>
            <w:noWrap/>
            <w:vAlign w:val="bottom"/>
            <w:hideMark/>
          </w:tcPr>
          <w:p w14:paraId="111B5635" w14:textId="77777777" w:rsidR="004566BD" w:rsidRDefault="004566BD">
            <w:pPr>
              <w:jc w:val="right"/>
              <w:rPr>
                <w:rFonts w:ascii="Calibri Light" w:hAnsi="Calibri Light" w:cs="Calibri Light"/>
                <w:b/>
                <w:bCs/>
                <w:color w:val="000000"/>
                <w:sz w:val="18"/>
                <w:szCs w:val="18"/>
              </w:rPr>
            </w:pPr>
          </w:p>
        </w:tc>
        <w:tc>
          <w:tcPr>
            <w:tcW w:w="705" w:type="pct"/>
            <w:tcBorders>
              <w:top w:val="nil"/>
              <w:left w:val="nil"/>
              <w:bottom w:val="nil"/>
              <w:right w:val="nil"/>
            </w:tcBorders>
            <w:shd w:val="clear" w:color="auto" w:fill="auto"/>
            <w:noWrap/>
            <w:vAlign w:val="bottom"/>
            <w:hideMark/>
          </w:tcPr>
          <w:p w14:paraId="60C6D730" w14:textId="77777777" w:rsidR="004566BD" w:rsidRDefault="004566BD">
            <w:pPr>
              <w:rPr>
                <w:sz w:val="20"/>
                <w:szCs w:val="20"/>
              </w:rPr>
            </w:pPr>
          </w:p>
        </w:tc>
        <w:tc>
          <w:tcPr>
            <w:tcW w:w="928" w:type="pct"/>
            <w:tcBorders>
              <w:top w:val="nil"/>
              <w:left w:val="nil"/>
              <w:bottom w:val="nil"/>
              <w:right w:val="nil"/>
            </w:tcBorders>
            <w:shd w:val="clear" w:color="auto" w:fill="auto"/>
            <w:noWrap/>
            <w:vAlign w:val="bottom"/>
            <w:hideMark/>
          </w:tcPr>
          <w:p w14:paraId="473A4586" w14:textId="77777777" w:rsidR="004566BD" w:rsidRDefault="004566BD">
            <w:pPr>
              <w:rPr>
                <w:sz w:val="20"/>
                <w:szCs w:val="20"/>
              </w:rPr>
            </w:pPr>
          </w:p>
        </w:tc>
      </w:tr>
      <w:tr w:rsidR="004566BD" w14:paraId="7C2284B8" w14:textId="77777777" w:rsidTr="00717185">
        <w:trPr>
          <w:trHeight w:val="20"/>
        </w:trPr>
        <w:tc>
          <w:tcPr>
            <w:tcW w:w="3367" w:type="pct"/>
            <w:tcBorders>
              <w:top w:val="nil"/>
              <w:left w:val="nil"/>
              <w:bottom w:val="nil"/>
              <w:right w:val="nil"/>
            </w:tcBorders>
            <w:shd w:val="clear" w:color="auto" w:fill="auto"/>
            <w:noWrap/>
            <w:vAlign w:val="bottom"/>
            <w:hideMark/>
          </w:tcPr>
          <w:p w14:paraId="436A8207" w14:textId="77777777" w:rsidR="004566BD" w:rsidRDefault="004566BD">
            <w:pPr>
              <w:rPr>
                <w:rFonts w:ascii="Calibri Light" w:hAnsi="Calibri Light" w:cs="Calibri Light"/>
                <w:b/>
                <w:bCs/>
                <w:sz w:val="18"/>
                <w:szCs w:val="18"/>
              </w:rPr>
            </w:pPr>
            <w:r>
              <w:rPr>
                <w:rFonts w:ascii="Calibri Light" w:hAnsi="Calibri Light"/>
                <w:b/>
                <w:sz w:val="18"/>
              </w:rPr>
              <w:t xml:space="preserve">CAPITAUX PROPRES </w:t>
            </w:r>
          </w:p>
        </w:tc>
        <w:tc>
          <w:tcPr>
            <w:tcW w:w="705" w:type="pct"/>
            <w:tcBorders>
              <w:top w:val="nil"/>
              <w:left w:val="nil"/>
              <w:bottom w:val="nil"/>
              <w:right w:val="nil"/>
            </w:tcBorders>
            <w:shd w:val="clear" w:color="auto" w:fill="auto"/>
            <w:noWrap/>
            <w:vAlign w:val="bottom"/>
            <w:hideMark/>
          </w:tcPr>
          <w:p w14:paraId="680B178A" w14:textId="77777777" w:rsidR="004566BD" w:rsidRDefault="004566BD">
            <w:pPr>
              <w:rPr>
                <w:rFonts w:ascii="Calibri Light" w:hAnsi="Calibri Light" w:cs="Calibri Light"/>
                <w:b/>
                <w:bCs/>
                <w:sz w:val="18"/>
                <w:szCs w:val="18"/>
              </w:rPr>
            </w:pPr>
          </w:p>
        </w:tc>
        <w:tc>
          <w:tcPr>
            <w:tcW w:w="928" w:type="pct"/>
            <w:tcBorders>
              <w:top w:val="nil"/>
              <w:left w:val="nil"/>
              <w:bottom w:val="nil"/>
              <w:right w:val="nil"/>
            </w:tcBorders>
            <w:shd w:val="clear" w:color="auto" w:fill="auto"/>
            <w:noWrap/>
            <w:vAlign w:val="bottom"/>
            <w:hideMark/>
          </w:tcPr>
          <w:p w14:paraId="0C92F08A" w14:textId="77777777" w:rsidR="004566BD" w:rsidRDefault="004566BD">
            <w:pPr>
              <w:rPr>
                <w:sz w:val="20"/>
                <w:szCs w:val="20"/>
              </w:rPr>
            </w:pPr>
          </w:p>
        </w:tc>
      </w:tr>
      <w:tr w:rsidR="004566BD" w14:paraId="6B1F135E" w14:textId="77777777" w:rsidTr="00717185">
        <w:trPr>
          <w:trHeight w:val="20"/>
        </w:trPr>
        <w:tc>
          <w:tcPr>
            <w:tcW w:w="3367" w:type="pct"/>
            <w:tcBorders>
              <w:top w:val="nil"/>
              <w:left w:val="nil"/>
              <w:bottom w:val="nil"/>
              <w:right w:val="nil"/>
            </w:tcBorders>
            <w:shd w:val="clear" w:color="auto" w:fill="auto"/>
            <w:noWrap/>
            <w:vAlign w:val="bottom"/>
            <w:hideMark/>
          </w:tcPr>
          <w:p w14:paraId="534A7596" w14:textId="77777777" w:rsidR="004566BD" w:rsidRDefault="004566BD">
            <w:pPr>
              <w:rPr>
                <w:rFonts w:ascii="Calibri Light" w:hAnsi="Calibri Light" w:cs="Calibri Light"/>
                <w:sz w:val="18"/>
                <w:szCs w:val="18"/>
              </w:rPr>
            </w:pPr>
            <w:r>
              <w:rPr>
                <w:rFonts w:ascii="Calibri Light" w:hAnsi="Calibri Light"/>
                <w:sz w:val="18"/>
              </w:rPr>
              <w:t>Capital social</w:t>
            </w:r>
          </w:p>
        </w:tc>
        <w:tc>
          <w:tcPr>
            <w:tcW w:w="705" w:type="pct"/>
            <w:tcBorders>
              <w:top w:val="nil"/>
              <w:left w:val="nil"/>
              <w:bottom w:val="nil"/>
              <w:right w:val="nil"/>
            </w:tcBorders>
            <w:shd w:val="clear" w:color="auto" w:fill="auto"/>
            <w:noWrap/>
            <w:vAlign w:val="bottom"/>
            <w:hideMark/>
          </w:tcPr>
          <w:p w14:paraId="6A8DE750"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1 000 000</w:t>
            </w:r>
          </w:p>
        </w:tc>
        <w:tc>
          <w:tcPr>
            <w:tcW w:w="928" w:type="pct"/>
            <w:tcBorders>
              <w:top w:val="nil"/>
              <w:left w:val="nil"/>
              <w:bottom w:val="nil"/>
              <w:right w:val="nil"/>
            </w:tcBorders>
            <w:shd w:val="clear" w:color="auto" w:fill="auto"/>
            <w:noWrap/>
            <w:vAlign w:val="bottom"/>
            <w:hideMark/>
          </w:tcPr>
          <w:p w14:paraId="60EFD083"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186 667</w:t>
            </w:r>
          </w:p>
        </w:tc>
      </w:tr>
      <w:tr w:rsidR="004566BD" w14:paraId="459F129E" w14:textId="77777777" w:rsidTr="00717185">
        <w:trPr>
          <w:trHeight w:val="20"/>
        </w:trPr>
        <w:tc>
          <w:tcPr>
            <w:tcW w:w="3367" w:type="pct"/>
            <w:tcBorders>
              <w:top w:val="nil"/>
              <w:left w:val="nil"/>
              <w:bottom w:val="nil"/>
              <w:right w:val="nil"/>
            </w:tcBorders>
            <w:shd w:val="clear" w:color="auto" w:fill="auto"/>
            <w:noWrap/>
            <w:vAlign w:val="bottom"/>
            <w:hideMark/>
          </w:tcPr>
          <w:p w14:paraId="2236FEED" w14:textId="77777777" w:rsidR="004566BD" w:rsidRDefault="004566BD">
            <w:pPr>
              <w:rPr>
                <w:rFonts w:ascii="Calibri Light" w:hAnsi="Calibri Light" w:cs="Calibri Light"/>
                <w:sz w:val="18"/>
                <w:szCs w:val="18"/>
              </w:rPr>
            </w:pPr>
            <w:r>
              <w:rPr>
                <w:rFonts w:ascii="Calibri Light" w:hAnsi="Calibri Light"/>
                <w:sz w:val="18"/>
              </w:rPr>
              <w:t>Réserve légale</w:t>
            </w:r>
          </w:p>
        </w:tc>
        <w:tc>
          <w:tcPr>
            <w:tcW w:w="705" w:type="pct"/>
            <w:tcBorders>
              <w:top w:val="nil"/>
              <w:left w:val="nil"/>
              <w:bottom w:val="nil"/>
              <w:right w:val="nil"/>
            </w:tcBorders>
            <w:shd w:val="clear" w:color="auto" w:fill="auto"/>
            <w:noWrap/>
            <w:vAlign w:val="bottom"/>
            <w:hideMark/>
          </w:tcPr>
          <w:p w14:paraId="32DE94A7"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37 333</w:t>
            </w:r>
          </w:p>
        </w:tc>
        <w:tc>
          <w:tcPr>
            <w:tcW w:w="928" w:type="pct"/>
            <w:tcBorders>
              <w:top w:val="nil"/>
              <w:left w:val="nil"/>
              <w:bottom w:val="nil"/>
              <w:right w:val="nil"/>
            </w:tcBorders>
            <w:shd w:val="clear" w:color="auto" w:fill="auto"/>
            <w:noWrap/>
            <w:vAlign w:val="bottom"/>
            <w:hideMark/>
          </w:tcPr>
          <w:p w14:paraId="1FF99A3E"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37 333</w:t>
            </w:r>
          </w:p>
        </w:tc>
      </w:tr>
      <w:tr w:rsidR="004566BD" w14:paraId="5FEB022D" w14:textId="77777777" w:rsidTr="00717185">
        <w:trPr>
          <w:trHeight w:val="20"/>
        </w:trPr>
        <w:tc>
          <w:tcPr>
            <w:tcW w:w="3367" w:type="pct"/>
            <w:tcBorders>
              <w:top w:val="nil"/>
              <w:left w:val="nil"/>
              <w:bottom w:val="nil"/>
              <w:right w:val="nil"/>
            </w:tcBorders>
            <w:shd w:val="clear" w:color="auto" w:fill="auto"/>
            <w:noWrap/>
            <w:vAlign w:val="bottom"/>
            <w:hideMark/>
          </w:tcPr>
          <w:p w14:paraId="029A05ED" w14:textId="77777777" w:rsidR="004566BD" w:rsidRDefault="004566BD">
            <w:pPr>
              <w:rPr>
                <w:rFonts w:ascii="Calibri Light" w:hAnsi="Calibri Light" w:cs="Calibri Light"/>
                <w:sz w:val="18"/>
                <w:szCs w:val="18"/>
              </w:rPr>
            </w:pPr>
            <w:r>
              <w:rPr>
                <w:rFonts w:ascii="Calibri Light" w:hAnsi="Calibri Light"/>
                <w:sz w:val="18"/>
              </w:rPr>
              <w:t>Réserve pour écarts de conversion</w:t>
            </w:r>
          </w:p>
        </w:tc>
        <w:tc>
          <w:tcPr>
            <w:tcW w:w="705" w:type="pct"/>
            <w:tcBorders>
              <w:top w:val="nil"/>
              <w:left w:val="nil"/>
              <w:bottom w:val="nil"/>
              <w:right w:val="nil"/>
            </w:tcBorders>
            <w:shd w:val="clear" w:color="auto" w:fill="auto"/>
            <w:noWrap/>
            <w:vAlign w:val="bottom"/>
            <w:hideMark/>
          </w:tcPr>
          <w:p w14:paraId="69E2165C"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0</w:t>
            </w:r>
          </w:p>
        </w:tc>
        <w:tc>
          <w:tcPr>
            <w:tcW w:w="928" w:type="pct"/>
            <w:tcBorders>
              <w:top w:val="nil"/>
              <w:left w:val="nil"/>
              <w:bottom w:val="nil"/>
              <w:right w:val="nil"/>
            </w:tcBorders>
            <w:shd w:val="clear" w:color="auto" w:fill="auto"/>
            <w:noWrap/>
            <w:vAlign w:val="bottom"/>
            <w:hideMark/>
          </w:tcPr>
          <w:p w14:paraId="2180A948"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0</w:t>
            </w:r>
          </w:p>
        </w:tc>
      </w:tr>
      <w:tr w:rsidR="004566BD" w14:paraId="2C08B14E" w14:textId="77777777" w:rsidTr="00717185">
        <w:trPr>
          <w:trHeight w:val="20"/>
        </w:trPr>
        <w:tc>
          <w:tcPr>
            <w:tcW w:w="3367" w:type="pct"/>
            <w:tcBorders>
              <w:top w:val="nil"/>
              <w:left w:val="nil"/>
              <w:bottom w:val="nil"/>
              <w:right w:val="nil"/>
            </w:tcBorders>
            <w:shd w:val="clear" w:color="auto" w:fill="auto"/>
            <w:noWrap/>
            <w:vAlign w:val="bottom"/>
            <w:hideMark/>
          </w:tcPr>
          <w:p w14:paraId="55BF5C14" w14:textId="77777777" w:rsidR="004566BD" w:rsidRDefault="004566BD">
            <w:pPr>
              <w:rPr>
                <w:rFonts w:ascii="Calibri Light" w:hAnsi="Calibri Light" w:cs="Calibri Light"/>
                <w:sz w:val="18"/>
                <w:szCs w:val="18"/>
              </w:rPr>
            </w:pPr>
            <w:r>
              <w:rPr>
                <w:rFonts w:ascii="Calibri Light" w:hAnsi="Calibri Light"/>
                <w:sz w:val="18"/>
              </w:rPr>
              <w:t>Autres réserves</w:t>
            </w:r>
          </w:p>
        </w:tc>
        <w:tc>
          <w:tcPr>
            <w:tcW w:w="705" w:type="pct"/>
            <w:tcBorders>
              <w:top w:val="nil"/>
              <w:left w:val="nil"/>
              <w:bottom w:val="nil"/>
              <w:right w:val="nil"/>
            </w:tcBorders>
            <w:shd w:val="clear" w:color="auto" w:fill="auto"/>
            <w:noWrap/>
            <w:vAlign w:val="bottom"/>
            <w:hideMark/>
          </w:tcPr>
          <w:p w14:paraId="293C3C0A"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514 503</w:t>
            </w:r>
          </w:p>
        </w:tc>
        <w:tc>
          <w:tcPr>
            <w:tcW w:w="928" w:type="pct"/>
            <w:tcBorders>
              <w:top w:val="nil"/>
              <w:left w:val="nil"/>
              <w:bottom w:val="nil"/>
              <w:right w:val="nil"/>
            </w:tcBorders>
            <w:shd w:val="clear" w:color="auto" w:fill="auto"/>
            <w:noWrap/>
            <w:vAlign w:val="bottom"/>
            <w:hideMark/>
          </w:tcPr>
          <w:p w14:paraId="06D81E22"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727 084</w:t>
            </w:r>
          </w:p>
        </w:tc>
      </w:tr>
      <w:tr w:rsidR="004566BD" w14:paraId="6913E531" w14:textId="77777777" w:rsidTr="00717185">
        <w:trPr>
          <w:trHeight w:val="20"/>
        </w:trPr>
        <w:tc>
          <w:tcPr>
            <w:tcW w:w="3367" w:type="pct"/>
            <w:tcBorders>
              <w:top w:val="nil"/>
              <w:left w:val="nil"/>
              <w:bottom w:val="nil"/>
              <w:right w:val="nil"/>
            </w:tcBorders>
            <w:shd w:val="clear" w:color="auto" w:fill="auto"/>
            <w:noWrap/>
            <w:vAlign w:val="bottom"/>
            <w:hideMark/>
          </w:tcPr>
          <w:p w14:paraId="6486C497" w14:textId="77777777" w:rsidR="004566BD" w:rsidRDefault="004566BD">
            <w:pPr>
              <w:rPr>
                <w:rFonts w:ascii="Calibri Light" w:hAnsi="Calibri Light" w:cs="Calibri Light"/>
                <w:sz w:val="18"/>
                <w:szCs w:val="18"/>
              </w:rPr>
            </w:pPr>
            <w:r>
              <w:rPr>
                <w:rFonts w:ascii="Calibri Light" w:hAnsi="Calibri Light"/>
                <w:sz w:val="18"/>
              </w:rPr>
              <w:t>Réserve pour les régimes de prévoyance (OCI) - actualisée</w:t>
            </w:r>
          </w:p>
        </w:tc>
        <w:tc>
          <w:tcPr>
            <w:tcW w:w="705" w:type="pct"/>
            <w:tcBorders>
              <w:top w:val="nil"/>
              <w:left w:val="nil"/>
              <w:bottom w:val="nil"/>
              <w:right w:val="nil"/>
            </w:tcBorders>
            <w:shd w:val="clear" w:color="auto" w:fill="auto"/>
            <w:noWrap/>
            <w:vAlign w:val="bottom"/>
            <w:hideMark/>
          </w:tcPr>
          <w:p w14:paraId="2130CB18"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4 283</w:t>
            </w:r>
          </w:p>
        </w:tc>
        <w:tc>
          <w:tcPr>
            <w:tcW w:w="928" w:type="pct"/>
            <w:tcBorders>
              <w:top w:val="nil"/>
              <w:left w:val="nil"/>
              <w:bottom w:val="nil"/>
              <w:right w:val="nil"/>
            </w:tcBorders>
            <w:shd w:val="clear" w:color="auto" w:fill="auto"/>
            <w:noWrap/>
            <w:vAlign w:val="bottom"/>
            <w:hideMark/>
          </w:tcPr>
          <w:p w14:paraId="67EC2352"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(291)</w:t>
            </w:r>
          </w:p>
        </w:tc>
      </w:tr>
      <w:tr w:rsidR="004566BD" w14:paraId="49B7323E" w14:textId="77777777" w:rsidTr="00717185">
        <w:trPr>
          <w:trHeight w:val="20"/>
        </w:trPr>
        <w:tc>
          <w:tcPr>
            <w:tcW w:w="3367" w:type="pct"/>
            <w:tcBorders>
              <w:top w:val="nil"/>
              <w:left w:val="nil"/>
              <w:bottom w:val="nil"/>
              <w:right w:val="nil"/>
            </w:tcBorders>
            <w:shd w:val="clear" w:color="auto" w:fill="auto"/>
            <w:noWrap/>
            <w:vAlign w:val="bottom"/>
            <w:hideMark/>
          </w:tcPr>
          <w:p w14:paraId="3B4C71ED" w14:textId="77777777" w:rsidR="004566BD" w:rsidRDefault="004566BD">
            <w:pPr>
              <w:rPr>
                <w:rFonts w:ascii="Calibri Light" w:hAnsi="Calibri Light" w:cs="Calibri Light"/>
                <w:sz w:val="18"/>
                <w:szCs w:val="18"/>
              </w:rPr>
            </w:pPr>
            <w:r>
              <w:rPr>
                <w:rFonts w:ascii="Calibri Light" w:hAnsi="Calibri Light"/>
                <w:sz w:val="18"/>
              </w:rPr>
              <w:t>Bénéfices/pertes des périodes précédentes</w:t>
            </w:r>
          </w:p>
        </w:tc>
        <w:tc>
          <w:tcPr>
            <w:tcW w:w="705" w:type="pct"/>
            <w:tcBorders>
              <w:top w:val="nil"/>
              <w:left w:val="nil"/>
              <w:bottom w:val="nil"/>
              <w:right w:val="nil"/>
            </w:tcBorders>
            <w:shd w:val="clear" w:color="auto" w:fill="auto"/>
            <w:noWrap/>
            <w:vAlign w:val="bottom"/>
            <w:hideMark/>
          </w:tcPr>
          <w:p w14:paraId="7EBB64DD"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0</w:t>
            </w:r>
          </w:p>
        </w:tc>
        <w:tc>
          <w:tcPr>
            <w:tcW w:w="928" w:type="pct"/>
            <w:tcBorders>
              <w:top w:val="nil"/>
              <w:left w:val="nil"/>
              <w:bottom w:val="nil"/>
              <w:right w:val="nil"/>
            </w:tcBorders>
            <w:shd w:val="clear" w:color="auto" w:fill="auto"/>
            <w:noWrap/>
            <w:vAlign w:val="bottom"/>
            <w:hideMark/>
          </w:tcPr>
          <w:p w14:paraId="76197555"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(24 931)</w:t>
            </w:r>
          </w:p>
        </w:tc>
      </w:tr>
      <w:tr w:rsidR="004566BD" w14:paraId="3A0FD4BF" w14:textId="77777777" w:rsidTr="00717185">
        <w:trPr>
          <w:trHeight w:val="20"/>
        </w:trPr>
        <w:tc>
          <w:tcPr>
            <w:tcW w:w="3367" w:type="pct"/>
            <w:tcBorders>
              <w:top w:val="nil"/>
              <w:left w:val="nil"/>
              <w:bottom w:val="nil"/>
              <w:right w:val="nil"/>
            </w:tcBorders>
            <w:shd w:val="clear" w:color="auto" w:fill="auto"/>
            <w:noWrap/>
            <w:vAlign w:val="bottom"/>
            <w:hideMark/>
          </w:tcPr>
          <w:p w14:paraId="140F51D0" w14:textId="77777777" w:rsidR="004566BD" w:rsidRDefault="004566BD">
            <w:pPr>
              <w:rPr>
                <w:rFonts w:ascii="Calibri Light" w:hAnsi="Calibri Light" w:cs="Calibri Light"/>
                <w:sz w:val="18"/>
                <w:szCs w:val="18"/>
              </w:rPr>
            </w:pPr>
            <w:r>
              <w:rPr>
                <w:rFonts w:ascii="Calibri Light" w:hAnsi="Calibri Light"/>
                <w:sz w:val="18"/>
              </w:rPr>
              <w:t>Résultat pour la période</w:t>
            </w:r>
          </w:p>
        </w:tc>
        <w:tc>
          <w:tcPr>
            <w:tcW w:w="705" w:type="pct"/>
            <w:tcBorders>
              <w:top w:val="nil"/>
              <w:left w:val="nil"/>
              <w:bottom w:val="nil"/>
              <w:right w:val="nil"/>
            </w:tcBorders>
            <w:shd w:val="clear" w:color="auto" w:fill="auto"/>
            <w:noWrap/>
            <w:vAlign w:val="bottom"/>
            <w:hideMark/>
          </w:tcPr>
          <w:p w14:paraId="2AC25182"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913 116</w:t>
            </w:r>
          </w:p>
        </w:tc>
        <w:tc>
          <w:tcPr>
            <w:tcW w:w="928" w:type="pct"/>
            <w:tcBorders>
              <w:top w:val="nil"/>
              <w:left w:val="nil"/>
              <w:bottom w:val="nil"/>
              <w:right w:val="nil"/>
            </w:tcBorders>
            <w:shd w:val="clear" w:color="auto" w:fill="auto"/>
            <w:noWrap/>
            <w:vAlign w:val="bottom"/>
            <w:hideMark/>
          </w:tcPr>
          <w:p w14:paraId="7BBDC3DC"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2 625 682</w:t>
            </w:r>
          </w:p>
        </w:tc>
      </w:tr>
      <w:tr w:rsidR="004566BD" w14:paraId="4F4A00E7" w14:textId="77777777" w:rsidTr="00717185">
        <w:trPr>
          <w:trHeight w:val="20"/>
        </w:trPr>
        <w:tc>
          <w:tcPr>
            <w:tcW w:w="3367" w:type="pct"/>
            <w:tcBorders>
              <w:top w:val="nil"/>
              <w:left w:val="nil"/>
              <w:bottom w:val="nil"/>
              <w:right w:val="nil"/>
            </w:tcBorders>
            <w:shd w:val="clear" w:color="auto" w:fill="auto"/>
            <w:noWrap/>
            <w:vAlign w:val="bottom"/>
            <w:hideMark/>
          </w:tcPr>
          <w:p w14:paraId="0C6166C0" w14:textId="77777777" w:rsidR="004566BD" w:rsidRDefault="004566BD">
            <w:pPr>
              <w:rPr>
                <w:rFonts w:ascii="Calibri Light" w:hAnsi="Calibri Light" w:cs="Calibri Light"/>
                <w:b/>
                <w:bCs/>
                <w:sz w:val="18"/>
                <w:szCs w:val="18"/>
              </w:rPr>
            </w:pPr>
            <w:r>
              <w:rPr>
                <w:rFonts w:ascii="Calibri Light" w:hAnsi="Calibri Light"/>
                <w:b/>
                <w:sz w:val="18"/>
              </w:rPr>
              <w:t>TOTAL CAPITAUX PROPRES</w:t>
            </w:r>
          </w:p>
        </w:tc>
        <w:tc>
          <w:tcPr>
            <w:tcW w:w="705" w:type="pct"/>
            <w:tcBorders>
              <w:top w:val="single" w:sz="4" w:space="0" w:color="auto"/>
              <w:left w:val="nil"/>
              <w:bottom w:val="single" w:sz="8" w:space="0" w:color="auto"/>
              <w:right w:val="nil"/>
            </w:tcBorders>
            <w:shd w:val="clear" w:color="auto" w:fill="auto"/>
            <w:noWrap/>
            <w:vAlign w:val="bottom"/>
            <w:hideMark/>
          </w:tcPr>
          <w:p w14:paraId="0FAF928B"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2 469 235</w:t>
            </w:r>
          </w:p>
        </w:tc>
        <w:tc>
          <w:tcPr>
            <w:tcW w:w="928" w:type="pct"/>
            <w:tcBorders>
              <w:top w:val="single" w:sz="4" w:space="0" w:color="auto"/>
              <w:left w:val="nil"/>
              <w:bottom w:val="single" w:sz="8" w:space="0" w:color="auto"/>
              <w:right w:val="single" w:sz="4" w:space="0" w:color="auto"/>
            </w:tcBorders>
            <w:shd w:val="clear" w:color="auto" w:fill="auto"/>
            <w:noWrap/>
            <w:vAlign w:val="bottom"/>
            <w:hideMark/>
          </w:tcPr>
          <w:p w14:paraId="5D959A36"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3 551 545</w:t>
            </w:r>
          </w:p>
        </w:tc>
      </w:tr>
      <w:tr w:rsidR="004566BD" w14:paraId="6435B44E" w14:textId="77777777" w:rsidTr="00717185">
        <w:trPr>
          <w:trHeight w:val="20"/>
        </w:trPr>
        <w:tc>
          <w:tcPr>
            <w:tcW w:w="3367" w:type="pct"/>
            <w:tcBorders>
              <w:top w:val="nil"/>
              <w:left w:val="nil"/>
              <w:bottom w:val="nil"/>
              <w:right w:val="nil"/>
            </w:tcBorders>
            <w:shd w:val="clear" w:color="auto" w:fill="auto"/>
            <w:noWrap/>
            <w:vAlign w:val="bottom"/>
            <w:hideMark/>
          </w:tcPr>
          <w:p w14:paraId="65117E59" w14:textId="77777777" w:rsidR="004566BD" w:rsidRDefault="004566BD">
            <w:pPr>
              <w:jc w:val="right"/>
              <w:rPr>
                <w:rFonts w:ascii="Calibri Light" w:hAnsi="Calibri Light" w:cs="Calibri Light"/>
                <w:b/>
                <w:bCs/>
                <w:color w:val="000000"/>
                <w:sz w:val="18"/>
                <w:szCs w:val="18"/>
              </w:rPr>
            </w:pPr>
          </w:p>
        </w:tc>
        <w:tc>
          <w:tcPr>
            <w:tcW w:w="705" w:type="pct"/>
            <w:tcBorders>
              <w:top w:val="nil"/>
              <w:left w:val="nil"/>
              <w:bottom w:val="nil"/>
              <w:right w:val="nil"/>
            </w:tcBorders>
            <w:shd w:val="clear" w:color="auto" w:fill="auto"/>
            <w:noWrap/>
            <w:vAlign w:val="bottom"/>
            <w:hideMark/>
          </w:tcPr>
          <w:p w14:paraId="6B2913C4" w14:textId="77777777" w:rsidR="004566BD" w:rsidRDefault="004566BD">
            <w:pPr>
              <w:rPr>
                <w:sz w:val="20"/>
                <w:szCs w:val="20"/>
              </w:rPr>
            </w:pPr>
          </w:p>
        </w:tc>
        <w:tc>
          <w:tcPr>
            <w:tcW w:w="928" w:type="pct"/>
            <w:tcBorders>
              <w:top w:val="nil"/>
              <w:left w:val="nil"/>
              <w:bottom w:val="nil"/>
              <w:right w:val="nil"/>
            </w:tcBorders>
            <w:shd w:val="clear" w:color="auto" w:fill="auto"/>
            <w:noWrap/>
            <w:vAlign w:val="bottom"/>
            <w:hideMark/>
          </w:tcPr>
          <w:p w14:paraId="21E83493" w14:textId="77777777" w:rsidR="004566BD" w:rsidRDefault="004566BD">
            <w:pPr>
              <w:rPr>
                <w:sz w:val="20"/>
                <w:szCs w:val="20"/>
              </w:rPr>
            </w:pPr>
          </w:p>
        </w:tc>
      </w:tr>
      <w:tr w:rsidR="004566BD" w14:paraId="4F5B06CB" w14:textId="77777777" w:rsidTr="00717185">
        <w:trPr>
          <w:trHeight w:val="20"/>
        </w:trPr>
        <w:tc>
          <w:tcPr>
            <w:tcW w:w="3367" w:type="pct"/>
            <w:tcBorders>
              <w:top w:val="nil"/>
              <w:left w:val="nil"/>
              <w:bottom w:val="nil"/>
              <w:right w:val="nil"/>
            </w:tcBorders>
            <w:shd w:val="clear" w:color="auto" w:fill="auto"/>
            <w:noWrap/>
            <w:vAlign w:val="bottom"/>
            <w:hideMark/>
          </w:tcPr>
          <w:p w14:paraId="7B530A6B" w14:textId="77777777" w:rsidR="004566BD" w:rsidRDefault="004566BD">
            <w:pPr>
              <w:rPr>
                <w:rFonts w:ascii="Calibri Light" w:hAnsi="Calibri Light" w:cs="Calibri Light"/>
                <w:b/>
                <w:bCs/>
                <w:sz w:val="18"/>
                <w:szCs w:val="18"/>
              </w:rPr>
            </w:pPr>
            <w:r>
              <w:rPr>
                <w:rFonts w:ascii="Calibri Light" w:hAnsi="Calibri Light"/>
                <w:b/>
                <w:sz w:val="18"/>
              </w:rPr>
              <w:t>PASSIF</w:t>
            </w:r>
          </w:p>
        </w:tc>
        <w:tc>
          <w:tcPr>
            <w:tcW w:w="705" w:type="pct"/>
            <w:tcBorders>
              <w:top w:val="nil"/>
              <w:left w:val="nil"/>
              <w:bottom w:val="nil"/>
              <w:right w:val="nil"/>
            </w:tcBorders>
            <w:shd w:val="clear" w:color="auto" w:fill="auto"/>
            <w:noWrap/>
            <w:vAlign w:val="bottom"/>
            <w:hideMark/>
          </w:tcPr>
          <w:p w14:paraId="3BC3B544" w14:textId="77777777" w:rsidR="004566BD" w:rsidRDefault="004566BD">
            <w:pPr>
              <w:rPr>
                <w:rFonts w:ascii="Calibri Light" w:hAnsi="Calibri Light" w:cs="Calibri Light"/>
                <w:b/>
                <w:bCs/>
                <w:sz w:val="18"/>
                <w:szCs w:val="18"/>
              </w:rPr>
            </w:pPr>
          </w:p>
        </w:tc>
        <w:tc>
          <w:tcPr>
            <w:tcW w:w="928" w:type="pct"/>
            <w:tcBorders>
              <w:top w:val="nil"/>
              <w:left w:val="nil"/>
              <w:bottom w:val="nil"/>
              <w:right w:val="nil"/>
            </w:tcBorders>
            <w:shd w:val="clear" w:color="auto" w:fill="auto"/>
            <w:noWrap/>
            <w:vAlign w:val="bottom"/>
            <w:hideMark/>
          </w:tcPr>
          <w:p w14:paraId="5E0DB80F" w14:textId="77777777" w:rsidR="004566BD" w:rsidRDefault="004566BD">
            <w:pPr>
              <w:rPr>
                <w:sz w:val="20"/>
                <w:szCs w:val="20"/>
              </w:rPr>
            </w:pPr>
          </w:p>
        </w:tc>
      </w:tr>
      <w:tr w:rsidR="004566BD" w14:paraId="2D398504" w14:textId="77777777" w:rsidTr="00717185">
        <w:trPr>
          <w:trHeight w:val="20"/>
        </w:trPr>
        <w:tc>
          <w:tcPr>
            <w:tcW w:w="3367" w:type="pct"/>
            <w:tcBorders>
              <w:top w:val="nil"/>
              <w:left w:val="nil"/>
              <w:bottom w:val="nil"/>
              <w:right w:val="nil"/>
            </w:tcBorders>
            <w:shd w:val="clear" w:color="auto" w:fill="auto"/>
            <w:noWrap/>
            <w:vAlign w:val="bottom"/>
            <w:hideMark/>
          </w:tcPr>
          <w:p w14:paraId="7220706F" w14:textId="77777777" w:rsidR="004566BD" w:rsidRDefault="004566BD">
            <w:pPr>
              <w:rPr>
                <w:rFonts w:ascii="Calibri Light" w:hAnsi="Calibri Light" w:cs="Calibri Light"/>
                <w:b/>
                <w:bCs/>
                <w:sz w:val="18"/>
                <w:szCs w:val="18"/>
              </w:rPr>
            </w:pPr>
            <w:r>
              <w:rPr>
                <w:rFonts w:ascii="Calibri Light" w:hAnsi="Calibri Light"/>
                <w:b/>
                <w:sz w:val="18"/>
              </w:rPr>
              <w:t>Passif à long terme</w:t>
            </w:r>
          </w:p>
        </w:tc>
        <w:tc>
          <w:tcPr>
            <w:tcW w:w="705" w:type="pct"/>
            <w:tcBorders>
              <w:top w:val="nil"/>
              <w:left w:val="nil"/>
              <w:bottom w:val="nil"/>
              <w:right w:val="nil"/>
            </w:tcBorders>
            <w:shd w:val="clear" w:color="auto" w:fill="auto"/>
            <w:noWrap/>
            <w:vAlign w:val="bottom"/>
            <w:hideMark/>
          </w:tcPr>
          <w:p w14:paraId="61865898" w14:textId="77777777" w:rsidR="004566BD" w:rsidRDefault="004566BD">
            <w:pPr>
              <w:rPr>
                <w:rFonts w:ascii="Calibri Light" w:hAnsi="Calibri Light" w:cs="Calibri Light"/>
                <w:b/>
                <w:bCs/>
                <w:sz w:val="18"/>
                <w:szCs w:val="18"/>
              </w:rPr>
            </w:pPr>
          </w:p>
        </w:tc>
        <w:tc>
          <w:tcPr>
            <w:tcW w:w="928" w:type="pct"/>
            <w:tcBorders>
              <w:top w:val="nil"/>
              <w:left w:val="nil"/>
              <w:bottom w:val="nil"/>
              <w:right w:val="nil"/>
            </w:tcBorders>
            <w:shd w:val="clear" w:color="auto" w:fill="auto"/>
            <w:noWrap/>
            <w:vAlign w:val="bottom"/>
            <w:hideMark/>
          </w:tcPr>
          <w:p w14:paraId="7A01AC3C" w14:textId="77777777" w:rsidR="004566BD" w:rsidRDefault="004566BD">
            <w:pPr>
              <w:rPr>
                <w:sz w:val="20"/>
                <w:szCs w:val="20"/>
              </w:rPr>
            </w:pPr>
          </w:p>
        </w:tc>
      </w:tr>
      <w:tr w:rsidR="004566BD" w14:paraId="5B9D8C4B" w14:textId="77777777" w:rsidTr="00717185">
        <w:trPr>
          <w:trHeight w:val="20"/>
        </w:trPr>
        <w:tc>
          <w:tcPr>
            <w:tcW w:w="3367" w:type="pct"/>
            <w:tcBorders>
              <w:top w:val="nil"/>
              <w:left w:val="nil"/>
              <w:bottom w:val="nil"/>
              <w:right w:val="nil"/>
            </w:tcBorders>
            <w:shd w:val="clear" w:color="auto" w:fill="auto"/>
            <w:noWrap/>
            <w:vAlign w:val="bottom"/>
            <w:hideMark/>
          </w:tcPr>
          <w:p w14:paraId="7D2400FC" w14:textId="77777777" w:rsidR="004566BD" w:rsidRDefault="004566BD">
            <w:pPr>
              <w:rPr>
                <w:rFonts w:ascii="Calibri Light" w:hAnsi="Calibri Light" w:cs="Calibri Light"/>
                <w:sz w:val="18"/>
                <w:szCs w:val="18"/>
              </w:rPr>
            </w:pPr>
            <w:r>
              <w:rPr>
                <w:rFonts w:ascii="Calibri Light" w:hAnsi="Calibri Light"/>
                <w:sz w:val="18"/>
              </w:rPr>
              <w:t>Autres passifs financiers à long terme</w:t>
            </w:r>
          </w:p>
        </w:tc>
        <w:tc>
          <w:tcPr>
            <w:tcW w:w="705" w:type="pct"/>
            <w:tcBorders>
              <w:top w:val="nil"/>
              <w:left w:val="nil"/>
              <w:bottom w:val="nil"/>
              <w:right w:val="nil"/>
            </w:tcBorders>
            <w:shd w:val="clear" w:color="auto" w:fill="auto"/>
            <w:noWrap/>
            <w:vAlign w:val="bottom"/>
            <w:hideMark/>
          </w:tcPr>
          <w:p w14:paraId="6946CEC3"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293 005</w:t>
            </w:r>
          </w:p>
        </w:tc>
        <w:tc>
          <w:tcPr>
            <w:tcW w:w="928" w:type="pct"/>
            <w:tcBorders>
              <w:top w:val="nil"/>
              <w:left w:val="nil"/>
              <w:bottom w:val="nil"/>
              <w:right w:val="nil"/>
            </w:tcBorders>
            <w:shd w:val="clear" w:color="auto" w:fill="auto"/>
            <w:noWrap/>
            <w:vAlign w:val="bottom"/>
            <w:hideMark/>
          </w:tcPr>
          <w:p w14:paraId="5C76FB8F"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309 133</w:t>
            </w:r>
          </w:p>
        </w:tc>
      </w:tr>
      <w:tr w:rsidR="004566BD" w14:paraId="633F0283" w14:textId="77777777" w:rsidTr="00717185">
        <w:trPr>
          <w:trHeight w:val="20"/>
        </w:trPr>
        <w:tc>
          <w:tcPr>
            <w:tcW w:w="3367" w:type="pct"/>
            <w:tcBorders>
              <w:top w:val="nil"/>
              <w:left w:val="nil"/>
              <w:bottom w:val="nil"/>
              <w:right w:val="nil"/>
            </w:tcBorders>
            <w:shd w:val="clear" w:color="auto" w:fill="auto"/>
            <w:noWrap/>
            <w:vAlign w:val="bottom"/>
            <w:hideMark/>
          </w:tcPr>
          <w:p w14:paraId="461BEFF0" w14:textId="77777777" w:rsidR="004566BD" w:rsidRDefault="004566BD">
            <w:pPr>
              <w:rPr>
                <w:rFonts w:ascii="Calibri Light" w:hAnsi="Calibri Light" w:cs="Calibri Light"/>
                <w:sz w:val="18"/>
                <w:szCs w:val="18"/>
              </w:rPr>
            </w:pPr>
            <w:r>
              <w:rPr>
                <w:rFonts w:ascii="Calibri Light" w:hAnsi="Calibri Light"/>
                <w:sz w:val="18"/>
              </w:rPr>
              <w:t>Passifs liés à des avantages sociaux futurs</w:t>
            </w:r>
          </w:p>
        </w:tc>
        <w:tc>
          <w:tcPr>
            <w:tcW w:w="705" w:type="pct"/>
            <w:tcBorders>
              <w:top w:val="nil"/>
              <w:left w:val="nil"/>
              <w:bottom w:val="nil"/>
              <w:right w:val="nil"/>
            </w:tcBorders>
            <w:shd w:val="clear" w:color="auto" w:fill="auto"/>
            <w:noWrap/>
            <w:vAlign w:val="bottom"/>
            <w:hideMark/>
          </w:tcPr>
          <w:p w14:paraId="38D0AA19"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163 393</w:t>
            </w:r>
          </w:p>
        </w:tc>
        <w:tc>
          <w:tcPr>
            <w:tcW w:w="928" w:type="pct"/>
            <w:tcBorders>
              <w:top w:val="nil"/>
              <w:left w:val="nil"/>
              <w:bottom w:val="nil"/>
              <w:right w:val="nil"/>
            </w:tcBorders>
            <w:shd w:val="clear" w:color="auto" w:fill="auto"/>
            <w:noWrap/>
            <w:vAlign w:val="bottom"/>
            <w:hideMark/>
          </w:tcPr>
          <w:p w14:paraId="381A47BD"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167 691</w:t>
            </w:r>
          </w:p>
        </w:tc>
      </w:tr>
      <w:tr w:rsidR="004566BD" w14:paraId="7AACA071" w14:textId="77777777" w:rsidTr="00717185">
        <w:trPr>
          <w:trHeight w:val="20"/>
        </w:trPr>
        <w:tc>
          <w:tcPr>
            <w:tcW w:w="3367" w:type="pct"/>
            <w:tcBorders>
              <w:top w:val="nil"/>
              <w:left w:val="nil"/>
              <w:bottom w:val="nil"/>
              <w:right w:val="nil"/>
            </w:tcBorders>
            <w:shd w:val="clear" w:color="auto" w:fill="auto"/>
            <w:noWrap/>
            <w:vAlign w:val="bottom"/>
            <w:hideMark/>
          </w:tcPr>
          <w:p w14:paraId="0350482A" w14:textId="77777777" w:rsidR="004566BD" w:rsidRDefault="004566BD">
            <w:pPr>
              <w:rPr>
                <w:rFonts w:ascii="Calibri Light" w:hAnsi="Calibri Light" w:cs="Calibri Light"/>
                <w:sz w:val="18"/>
                <w:szCs w:val="18"/>
              </w:rPr>
            </w:pPr>
            <w:r>
              <w:rPr>
                <w:rFonts w:ascii="Calibri Light" w:hAnsi="Calibri Light"/>
                <w:sz w:val="18"/>
              </w:rPr>
              <w:t>Provisions pour risques et charges</w:t>
            </w:r>
          </w:p>
        </w:tc>
        <w:tc>
          <w:tcPr>
            <w:tcW w:w="705" w:type="pct"/>
            <w:tcBorders>
              <w:top w:val="nil"/>
              <w:left w:val="nil"/>
              <w:bottom w:val="nil"/>
              <w:right w:val="nil"/>
            </w:tcBorders>
            <w:shd w:val="clear" w:color="auto" w:fill="auto"/>
            <w:noWrap/>
            <w:vAlign w:val="bottom"/>
            <w:hideMark/>
          </w:tcPr>
          <w:p w14:paraId="39ED2E4D"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0</w:t>
            </w:r>
          </w:p>
        </w:tc>
        <w:tc>
          <w:tcPr>
            <w:tcW w:w="928" w:type="pct"/>
            <w:tcBorders>
              <w:top w:val="nil"/>
              <w:left w:val="nil"/>
              <w:bottom w:val="nil"/>
              <w:right w:val="nil"/>
            </w:tcBorders>
            <w:shd w:val="clear" w:color="auto" w:fill="auto"/>
            <w:noWrap/>
            <w:vAlign w:val="bottom"/>
            <w:hideMark/>
          </w:tcPr>
          <w:p w14:paraId="5B161EE8"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0</w:t>
            </w:r>
          </w:p>
        </w:tc>
      </w:tr>
      <w:tr w:rsidR="00844A06" w14:paraId="6929B51D" w14:textId="77777777" w:rsidTr="00717185">
        <w:trPr>
          <w:trHeight w:val="20"/>
        </w:trPr>
        <w:tc>
          <w:tcPr>
            <w:tcW w:w="3367" w:type="pct"/>
            <w:tcBorders>
              <w:top w:val="nil"/>
              <w:left w:val="nil"/>
              <w:bottom w:val="nil"/>
              <w:right w:val="nil"/>
            </w:tcBorders>
            <w:shd w:val="clear" w:color="auto" w:fill="auto"/>
            <w:noWrap/>
            <w:vAlign w:val="bottom"/>
            <w:hideMark/>
          </w:tcPr>
          <w:p w14:paraId="33E004D2" w14:textId="77777777" w:rsidR="00844A06" w:rsidRDefault="00844A06" w:rsidP="00252CC2">
            <w:pPr>
              <w:rPr>
                <w:rFonts w:ascii="Calibri Light" w:hAnsi="Calibri Light" w:cs="Calibri Light"/>
                <w:sz w:val="18"/>
                <w:szCs w:val="18"/>
              </w:rPr>
            </w:pPr>
            <w:r>
              <w:rPr>
                <w:rFonts w:ascii="Calibri Light" w:hAnsi="Calibri Light"/>
                <w:sz w:val="18"/>
              </w:rPr>
              <w:t>Autre passif à long terme</w:t>
            </w:r>
          </w:p>
        </w:tc>
        <w:tc>
          <w:tcPr>
            <w:tcW w:w="705" w:type="pct"/>
            <w:tcBorders>
              <w:top w:val="nil"/>
              <w:left w:val="nil"/>
              <w:bottom w:val="nil"/>
              <w:right w:val="nil"/>
            </w:tcBorders>
            <w:shd w:val="clear" w:color="auto" w:fill="auto"/>
            <w:noWrap/>
            <w:vAlign w:val="bottom"/>
            <w:hideMark/>
          </w:tcPr>
          <w:p w14:paraId="3425CAB3" w14:textId="56BFA876" w:rsidR="00844A06" w:rsidRDefault="00822BE0" w:rsidP="00252CC2">
            <w:pPr>
              <w:jc w:val="right"/>
              <w:rPr>
                <w:rFonts w:ascii="Calibri Light" w:hAnsi="Calibri Light" w:cs="Calibri Light"/>
                <w:color w:val="000000"/>
                <w:sz w:val="18"/>
                <w:szCs w:val="18"/>
              </w:rPr>
            </w:pPr>
            <w:r>
              <w:rPr>
                <w:rFonts w:ascii="Calibri Light" w:hAnsi="Calibri Light"/>
                <w:color w:val="000000"/>
                <w:sz w:val="18"/>
              </w:rPr>
              <w:t>75 000</w:t>
            </w:r>
          </w:p>
        </w:tc>
        <w:tc>
          <w:tcPr>
            <w:tcW w:w="928" w:type="pct"/>
            <w:tcBorders>
              <w:top w:val="nil"/>
              <w:left w:val="nil"/>
              <w:bottom w:val="nil"/>
              <w:right w:val="nil"/>
            </w:tcBorders>
            <w:shd w:val="clear" w:color="auto" w:fill="auto"/>
            <w:noWrap/>
            <w:vAlign w:val="bottom"/>
            <w:hideMark/>
          </w:tcPr>
          <w:p w14:paraId="28DE09C6" w14:textId="21BDA830" w:rsidR="00844A06" w:rsidRDefault="00822BE0" w:rsidP="00252CC2">
            <w:pPr>
              <w:jc w:val="right"/>
              <w:rPr>
                <w:rFonts w:ascii="Calibri Light" w:hAnsi="Calibri Light" w:cs="Calibri Light"/>
                <w:color w:val="000000"/>
                <w:sz w:val="18"/>
                <w:szCs w:val="18"/>
              </w:rPr>
            </w:pPr>
            <w:r>
              <w:rPr>
                <w:rFonts w:ascii="Calibri Light" w:hAnsi="Calibri Light"/>
                <w:color w:val="000000"/>
                <w:sz w:val="18"/>
              </w:rPr>
              <w:t>58 000</w:t>
            </w:r>
          </w:p>
        </w:tc>
      </w:tr>
      <w:tr w:rsidR="00844A06" w14:paraId="7532A67C" w14:textId="77777777" w:rsidTr="00717185">
        <w:trPr>
          <w:trHeight w:val="20"/>
        </w:trPr>
        <w:tc>
          <w:tcPr>
            <w:tcW w:w="3367" w:type="pct"/>
            <w:tcBorders>
              <w:top w:val="nil"/>
              <w:left w:val="nil"/>
              <w:bottom w:val="nil"/>
              <w:right w:val="nil"/>
            </w:tcBorders>
            <w:shd w:val="clear" w:color="auto" w:fill="auto"/>
            <w:noWrap/>
            <w:vAlign w:val="bottom"/>
            <w:hideMark/>
          </w:tcPr>
          <w:p w14:paraId="4B93FA0C" w14:textId="7C33A53A" w:rsidR="00844A06" w:rsidRDefault="00822BE0" w:rsidP="00844A06">
            <w:pPr>
              <w:rPr>
                <w:rFonts w:ascii="Calibri Light" w:hAnsi="Calibri Light" w:cs="Calibri Light"/>
                <w:sz w:val="18"/>
                <w:szCs w:val="18"/>
              </w:rPr>
            </w:pPr>
            <w:r>
              <w:rPr>
                <w:rFonts w:ascii="Calibri Light" w:hAnsi="Calibri Light"/>
                <w:sz w:val="18"/>
              </w:rPr>
              <w:t>Impôts à payer à long terme</w:t>
            </w:r>
          </w:p>
        </w:tc>
        <w:tc>
          <w:tcPr>
            <w:tcW w:w="705" w:type="pct"/>
            <w:tcBorders>
              <w:top w:val="nil"/>
              <w:left w:val="nil"/>
              <w:bottom w:val="nil"/>
              <w:right w:val="nil"/>
            </w:tcBorders>
            <w:shd w:val="clear" w:color="auto" w:fill="auto"/>
            <w:noWrap/>
            <w:hideMark/>
          </w:tcPr>
          <w:p w14:paraId="06EC86E3" w14:textId="22479D35" w:rsidR="00844A06" w:rsidRDefault="00844A06" w:rsidP="00844A06">
            <w:pPr>
              <w:jc w:val="right"/>
              <w:rPr>
                <w:rFonts w:ascii="Calibri Light" w:hAnsi="Calibri Light" w:cs="Calibri Light"/>
                <w:color w:val="000000"/>
                <w:sz w:val="18"/>
                <w:szCs w:val="18"/>
              </w:rPr>
            </w:pPr>
            <w:r>
              <w:rPr>
                <w:rFonts w:ascii="Calibri Light" w:hAnsi="Calibri Light"/>
                <w:color w:val="000000"/>
                <w:sz w:val="18"/>
              </w:rPr>
              <w:t>1 405 678</w:t>
            </w:r>
          </w:p>
        </w:tc>
        <w:tc>
          <w:tcPr>
            <w:tcW w:w="928" w:type="pct"/>
            <w:tcBorders>
              <w:top w:val="nil"/>
              <w:left w:val="nil"/>
              <w:bottom w:val="nil"/>
              <w:right w:val="nil"/>
            </w:tcBorders>
            <w:shd w:val="clear" w:color="auto" w:fill="auto"/>
            <w:noWrap/>
            <w:hideMark/>
          </w:tcPr>
          <w:p w14:paraId="3AFF74DA" w14:textId="71066F5E" w:rsidR="00844A06" w:rsidRDefault="00844A06" w:rsidP="00844A06">
            <w:pPr>
              <w:jc w:val="right"/>
              <w:rPr>
                <w:rFonts w:ascii="Calibri Light" w:hAnsi="Calibri Light" w:cs="Calibri Light"/>
                <w:color w:val="000000"/>
                <w:sz w:val="18"/>
                <w:szCs w:val="18"/>
              </w:rPr>
            </w:pPr>
            <w:r>
              <w:rPr>
                <w:rFonts w:ascii="Calibri Light" w:hAnsi="Calibri Light"/>
                <w:color w:val="000000"/>
                <w:sz w:val="18"/>
              </w:rPr>
              <w:t>1 604 489</w:t>
            </w:r>
          </w:p>
        </w:tc>
      </w:tr>
      <w:tr w:rsidR="004566BD" w14:paraId="4CF65380" w14:textId="77777777" w:rsidTr="00717185">
        <w:trPr>
          <w:trHeight w:val="20"/>
        </w:trPr>
        <w:tc>
          <w:tcPr>
            <w:tcW w:w="3367" w:type="pct"/>
            <w:tcBorders>
              <w:top w:val="nil"/>
              <w:left w:val="nil"/>
              <w:bottom w:val="nil"/>
              <w:right w:val="nil"/>
            </w:tcBorders>
            <w:shd w:val="clear" w:color="auto" w:fill="auto"/>
            <w:noWrap/>
            <w:vAlign w:val="bottom"/>
            <w:hideMark/>
          </w:tcPr>
          <w:p w14:paraId="3329D457" w14:textId="77777777" w:rsidR="004566BD" w:rsidRDefault="004566BD">
            <w:pPr>
              <w:rPr>
                <w:rFonts w:ascii="Calibri Light" w:hAnsi="Calibri Light" w:cs="Calibri Light"/>
                <w:sz w:val="18"/>
                <w:szCs w:val="18"/>
              </w:rPr>
            </w:pPr>
            <w:r>
              <w:rPr>
                <w:rFonts w:ascii="Calibri Light" w:hAnsi="Calibri Light"/>
                <w:sz w:val="18"/>
              </w:rPr>
              <w:t>Impôts différés passif</w:t>
            </w:r>
          </w:p>
        </w:tc>
        <w:tc>
          <w:tcPr>
            <w:tcW w:w="705" w:type="pct"/>
            <w:tcBorders>
              <w:top w:val="nil"/>
              <w:left w:val="nil"/>
              <w:bottom w:val="single" w:sz="4" w:space="0" w:color="auto"/>
              <w:right w:val="nil"/>
            </w:tcBorders>
            <w:shd w:val="clear" w:color="auto" w:fill="auto"/>
            <w:noWrap/>
            <w:vAlign w:val="bottom"/>
            <w:hideMark/>
          </w:tcPr>
          <w:p w14:paraId="66C3D9A8"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52 149</w:t>
            </w:r>
          </w:p>
        </w:tc>
        <w:tc>
          <w:tcPr>
            <w:tcW w:w="928" w:type="pct"/>
            <w:tcBorders>
              <w:top w:val="nil"/>
              <w:left w:val="nil"/>
              <w:bottom w:val="single" w:sz="4" w:space="0" w:color="auto"/>
              <w:right w:val="nil"/>
            </w:tcBorders>
            <w:shd w:val="clear" w:color="auto" w:fill="auto"/>
            <w:noWrap/>
            <w:vAlign w:val="bottom"/>
            <w:hideMark/>
          </w:tcPr>
          <w:p w14:paraId="0281E9E3"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52 149</w:t>
            </w:r>
          </w:p>
        </w:tc>
      </w:tr>
      <w:tr w:rsidR="004566BD" w14:paraId="3EC22278" w14:textId="77777777" w:rsidTr="00717185">
        <w:trPr>
          <w:trHeight w:val="20"/>
        </w:trPr>
        <w:tc>
          <w:tcPr>
            <w:tcW w:w="3367" w:type="pct"/>
            <w:tcBorders>
              <w:top w:val="nil"/>
              <w:left w:val="nil"/>
              <w:bottom w:val="nil"/>
              <w:right w:val="nil"/>
            </w:tcBorders>
            <w:shd w:val="clear" w:color="auto" w:fill="auto"/>
            <w:noWrap/>
            <w:vAlign w:val="bottom"/>
            <w:hideMark/>
          </w:tcPr>
          <w:p w14:paraId="20EE2B86" w14:textId="77777777" w:rsidR="004566BD" w:rsidRDefault="004566BD">
            <w:pPr>
              <w:rPr>
                <w:rFonts w:ascii="Calibri Light" w:hAnsi="Calibri Light" w:cs="Calibri Light"/>
                <w:b/>
                <w:bCs/>
                <w:color w:val="000000"/>
                <w:sz w:val="18"/>
                <w:szCs w:val="18"/>
              </w:rPr>
            </w:pPr>
            <w:r>
              <w:rPr>
                <w:rFonts w:ascii="Calibri Light" w:hAnsi="Calibri Light"/>
                <w:b/>
                <w:color w:val="000000"/>
                <w:sz w:val="18"/>
              </w:rPr>
              <w:t>TOTAL PASSIFS À LONG TERME</w:t>
            </w:r>
          </w:p>
        </w:tc>
        <w:tc>
          <w:tcPr>
            <w:tcW w:w="705" w:type="pct"/>
            <w:tcBorders>
              <w:top w:val="nil"/>
              <w:left w:val="nil"/>
              <w:bottom w:val="nil"/>
              <w:right w:val="nil"/>
            </w:tcBorders>
            <w:shd w:val="clear" w:color="auto" w:fill="auto"/>
            <w:noWrap/>
            <w:vAlign w:val="bottom"/>
            <w:hideMark/>
          </w:tcPr>
          <w:p w14:paraId="6C086BE0"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1 989 224</w:t>
            </w:r>
          </w:p>
        </w:tc>
        <w:tc>
          <w:tcPr>
            <w:tcW w:w="928" w:type="pct"/>
            <w:tcBorders>
              <w:top w:val="nil"/>
              <w:left w:val="nil"/>
              <w:bottom w:val="nil"/>
              <w:right w:val="nil"/>
            </w:tcBorders>
            <w:shd w:val="clear" w:color="auto" w:fill="auto"/>
            <w:noWrap/>
            <w:vAlign w:val="bottom"/>
            <w:hideMark/>
          </w:tcPr>
          <w:p w14:paraId="1A1F530F"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2 191 462</w:t>
            </w:r>
          </w:p>
        </w:tc>
      </w:tr>
      <w:tr w:rsidR="004566BD" w14:paraId="54F9BC67" w14:textId="77777777" w:rsidTr="00717185">
        <w:trPr>
          <w:trHeight w:val="20"/>
        </w:trPr>
        <w:tc>
          <w:tcPr>
            <w:tcW w:w="3367" w:type="pct"/>
            <w:tcBorders>
              <w:top w:val="nil"/>
              <w:left w:val="nil"/>
              <w:bottom w:val="nil"/>
              <w:right w:val="nil"/>
            </w:tcBorders>
            <w:shd w:val="clear" w:color="auto" w:fill="auto"/>
            <w:noWrap/>
            <w:vAlign w:val="bottom"/>
            <w:hideMark/>
          </w:tcPr>
          <w:p w14:paraId="38B11C07" w14:textId="77777777" w:rsidR="004566BD" w:rsidRDefault="004566BD">
            <w:pPr>
              <w:jc w:val="right"/>
              <w:rPr>
                <w:rFonts w:ascii="Calibri Light" w:hAnsi="Calibri Light" w:cs="Calibri Light"/>
                <w:b/>
                <w:bCs/>
                <w:color w:val="000000"/>
                <w:sz w:val="18"/>
                <w:szCs w:val="18"/>
              </w:rPr>
            </w:pPr>
          </w:p>
        </w:tc>
        <w:tc>
          <w:tcPr>
            <w:tcW w:w="705" w:type="pct"/>
            <w:tcBorders>
              <w:top w:val="nil"/>
              <w:left w:val="nil"/>
              <w:bottom w:val="nil"/>
              <w:right w:val="nil"/>
            </w:tcBorders>
            <w:shd w:val="clear" w:color="auto" w:fill="auto"/>
            <w:noWrap/>
            <w:vAlign w:val="bottom"/>
            <w:hideMark/>
          </w:tcPr>
          <w:p w14:paraId="7D8D087D" w14:textId="77777777" w:rsidR="004566BD" w:rsidRDefault="004566BD">
            <w:pPr>
              <w:rPr>
                <w:sz w:val="20"/>
                <w:szCs w:val="20"/>
              </w:rPr>
            </w:pPr>
          </w:p>
        </w:tc>
        <w:tc>
          <w:tcPr>
            <w:tcW w:w="928" w:type="pct"/>
            <w:tcBorders>
              <w:top w:val="nil"/>
              <w:left w:val="nil"/>
              <w:bottom w:val="nil"/>
              <w:right w:val="nil"/>
            </w:tcBorders>
            <w:shd w:val="clear" w:color="auto" w:fill="auto"/>
            <w:noWrap/>
            <w:vAlign w:val="bottom"/>
            <w:hideMark/>
          </w:tcPr>
          <w:p w14:paraId="268B9C59" w14:textId="77777777" w:rsidR="004566BD" w:rsidRDefault="004566BD">
            <w:pPr>
              <w:rPr>
                <w:sz w:val="20"/>
                <w:szCs w:val="20"/>
              </w:rPr>
            </w:pPr>
          </w:p>
        </w:tc>
      </w:tr>
      <w:tr w:rsidR="004566BD" w14:paraId="49020E2B" w14:textId="77777777" w:rsidTr="00717185">
        <w:trPr>
          <w:trHeight w:val="20"/>
        </w:trPr>
        <w:tc>
          <w:tcPr>
            <w:tcW w:w="3367" w:type="pct"/>
            <w:tcBorders>
              <w:top w:val="nil"/>
              <w:left w:val="nil"/>
              <w:bottom w:val="nil"/>
              <w:right w:val="nil"/>
            </w:tcBorders>
            <w:shd w:val="clear" w:color="auto" w:fill="auto"/>
            <w:noWrap/>
            <w:vAlign w:val="bottom"/>
            <w:hideMark/>
          </w:tcPr>
          <w:p w14:paraId="0BBD8C7E" w14:textId="77777777" w:rsidR="004566BD" w:rsidRDefault="004566BD">
            <w:pPr>
              <w:rPr>
                <w:rFonts w:ascii="Calibri Light" w:hAnsi="Calibri Light" w:cs="Calibri Light"/>
                <w:b/>
                <w:bCs/>
                <w:sz w:val="18"/>
                <w:szCs w:val="18"/>
              </w:rPr>
            </w:pPr>
            <w:r>
              <w:rPr>
                <w:rFonts w:ascii="Calibri Light" w:hAnsi="Calibri Light"/>
                <w:b/>
                <w:sz w:val="18"/>
              </w:rPr>
              <w:t>Passif à court terme</w:t>
            </w:r>
          </w:p>
        </w:tc>
        <w:tc>
          <w:tcPr>
            <w:tcW w:w="705" w:type="pct"/>
            <w:tcBorders>
              <w:top w:val="nil"/>
              <w:left w:val="nil"/>
              <w:bottom w:val="nil"/>
              <w:right w:val="nil"/>
            </w:tcBorders>
            <w:shd w:val="clear" w:color="auto" w:fill="auto"/>
            <w:noWrap/>
            <w:vAlign w:val="bottom"/>
            <w:hideMark/>
          </w:tcPr>
          <w:p w14:paraId="01C385C9" w14:textId="77777777" w:rsidR="004566BD" w:rsidRDefault="004566BD">
            <w:pPr>
              <w:rPr>
                <w:rFonts w:ascii="Calibri Light" w:hAnsi="Calibri Light" w:cs="Calibri Light"/>
                <w:b/>
                <w:bCs/>
                <w:sz w:val="18"/>
                <w:szCs w:val="18"/>
              </w:rPr>
            </w:pPr>
          </w:p>
        </w:tc>
        <w:tc>
          <w:tcPr>
            <w:tcW w:w="928" w:type="pct"/>
            <w:tcBorders>
              <w:top w:val="nil"/>
              <w:left w:val="nil"/>
              <w:bottom w:val="nil"/>
              <w:right w:val="nil"/>
            </w:tcBorders>
            <w:shd w:val="clear" w:color="auto" w:fill="auto"/>
            <w:noWrap/>
            <w:vAlign w:val="bottom"/>
            <w:hideMark/>
          </w:tcPr>
          <w:p w14:paraId="44F0127D" w14:textId="77777777" w:rsidR="004566BD" w:rsidRDefault="004566BD">
            <w:pPr>
              <w:rPr>
                <w:sz w:val="20"/>
                <w:szCs w:val="20"/>
              </w:rPr>
            </w:pPr>
          </w:p>
        </w:tc>
      </w:tr>
      <w:tr w:rsidR="004566BD" w14:paraId="2AE6F011" w14:textId="77777777" w:rsidTr="00717185">
        <w:trPr>
          <w:trHeight w:val="20"/>
        </w:trPr>
        <w:tc>
          <w:tcPr>
            <w:tcW w:w="3367" w:type="pct"/>
            <w:tcBorders>
              <w:top w:val="nil"/>
              <w:left w:val="nil"/>
              <w:bottom w:val="nil"/>
              <w:right w:val="nil"/>
            </w:tcBorders>
            <w:shd w:val="clear" w:color="auto" w:fill="auto"/>
            <w:noWrap/>
            <w:vAlign w:val="bottom"/>
            <w:hideMark/>
          </w:tcPr>
          <w:p w14:paraId="6EE66069" w14:textId="77777777" w:rsidR="004566BD" w:rsidRDefault="004566BD">
            <w:pPr>
              <w:rPr>
                <w:rFonts w:ascii="Calibri Light" w:hAnsi="Calibri Light" w:cs="Calibri Light"/>
                <w:color w:val="000000"/>
                <w:sz w:val="18"/>
                <w:szCs w:val="18"/>
              </w:rPr>
            </w:pPr>
            <w:r>
              <w:rPr>
                <w:rFonts w:ascii="Calibri Light" w:hAnsi="Calibri Light"/>
                <w:color w:val="000000"/>
                <w:sz w:val="18"/>
              </w:rPr>
              <w:t>Dettes envers les banques et part à court terme des prêts à long terme</w:t>
            </w:r>
          </w:p>
        </w:tc>
        <w:tc>
          <w:tcPr>
            <w:tcW w:w="705" w:type="pct"/>
            <w:tcBorders>
              <w:top w:val="nil"/>
              <w:left w:val="nil"/>
              <w:bottom w:val="nil"/>
              <w:right w:val="nil"/>
            </w:tcBorders>
            <w:shd w:val="clear" w:color="auto" w:fill="auto"/>
            <w:noWrap/>
            <w:vAlign w:val="bottom"/>
            <w:hideMark/>
          </w:tcPr>
          <w:p w14:paraId="170D7F5A"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0</w:t>
            </w:r>
          </w:p>
        </w:tc>
        <w:tc>
          <w:tcPr>
            <w:tcW w:w="928" w:type="pct"/>
            <w:tcBorders>
              <w:top w:val="nil"/>
              <w:left w:val="nil"/>
              <w:bottom w:val="nil"/>
              <w:right w:val="nil"/>
            </w:tcBorders>
            <w:shd w:val="clear" w:color="auto" w:fill="auto"/>
            <w:noWrap/>
            <w:vAlign w:val="bottom"/>
            <w:hideMark/>
          </w:tcPr>
          <w:p w14:paraId="7BDB660D"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0</w:t>
            </w:r>
          </w:p>
        </w:tc>
      </w:tr>
      <w:tr w:rsidR="004566BD" w14:paraId="17AC8163" w14:textId="77777777" w:rsidTr="00717185">
        <w:trPr>
          <w:trHeight w:val="20"/>
        </w:trPr>
        <w:tc>
          <w:tcPr>
            <w:tcW w:w="3367" w:type="pct"/>
            <w:tcBorders>
              <w:top w:val="nil"/>
              <w:left w:val="nil"/>
              <w:bottom w:val="nil"/>
              <w:right w:val="nil"/>
            </w:tcBorders>
            <w:shd w:val="clear" w:color="auto" w:fill="auto"/>
            <w:noWrap/>
            <w:vAlign w:val="bottom"/>
            <w:hideMark/>
          </w:tcPr>
          <w:p w14:paraId="78949304" w14:textId="77777777" w:rsidR="004566BD" w:rsidRDefault="004566BD">
            <w:pPr>
              <w:rPr>
                <w:rFonts w:ascii="Calibri Light" w:hAnsi="Calibri Light" w:cs="Calibri Light"/>
                <w:color w:val="000000"/>
                <w:sz w:val="18"/>
                <w:szCs w:val="18"/>
              </w:rPr>
            </w:pPr>
            <w:r>
              <w:rPr>
                <w:rFonts w:ascii="Calibri Light" w:hAnsi="Calibri Light"/>
                <w:color w:val="000000"/>
                <w:sz w:val="18"/>
              </w:rPr>
              <w:t>Autres passifs financiers exigibles</w:t>
            </w:r>
          </w:p>
        </w:tc>
        <w:tc>
          <w:tcPr>
            <w:tcW w:w="705" w:type="pct"/>
            <w:tcBorders>
              <w:top w:val="nil"/>
              <w:left w:val="nil"/>
              <w:bottom w:val="nil"/>
              <w:right w:val="nil"/>
            </w:tcBorders>
            <w:shd w:val="clear" w:color="auto" w:fill="auto"/>
            <w:noWrap/>
            <w:vAlign w:val="bottom"/>
            <w:hideMark/>
          </w:tcPr>
          <w:p w14:paraId="76D8EE4C"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48 209</w:t>
            </w:r>
          </w:p>
        </w:tc>
        <w:tc>
          <w:tcPr>
            <w:tcW w:w="928" w:type="pct"/>
            <w:tcBorders>
              <w:top w:val="nil"/>
              <w:left w:val="nil"/>
              <w:bottom w:val="nil"/>
              <w:right w:val="nil"/>
            </w:tcBorders>
            <w:shd w:val="clear" w:color="auto" w:fill="auto"/>
            <w:noWrap/>
            <w:vAlign w:val="bottom"/>
            <w:hideMark/>
          </w:tcPr>
          <w:p w14:paraId="7B3ABE89"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87 781</w:t>
            </w:r>
          </w:p>
        </w:tc>
      </w:tr>
      <w:tr w:rsidR="004566BD" w14:paraId="1EB26032" w14:textId="77777777" w:rsidTr="00717185">
        <w:trPr>
          <w:trHeight w:val="20"/>
        </w:trPr>
        <w:tc>
          <w:tcPr>
            <w:tcW w:w="3367" w:type="pct"/>
            <w:tcBorders>
              <w:top w:val="nil"/>
              <w:left w:val="nil"/>
              <w:bottom w:val="nil"/>
              <w:right w:val="nil"/>
            </w:tcBorders>
            <w:shd w:val="clear" w:color="auto" w:fill="auto"/>
            <w:noWrap/>
            <w:vAlign w:val="bottom"/>
            <w:hideMark/>
          </w:tcPr>
          <w:p w14:paraId="4FEC70EE" w14:textId="77777777" w:rsidR="004566BD" w:rsidRDefault="004566BD">
            <w:pPr>
              <w:rPr>
                <w:rFonts w:ascii="Calibri Light" w:hAnsi="Calibri Light" w:cs="Calibri Light"/>
                <w:color w:val="000000"/>
                <w:sz w:val="18"/>
                <w:szCs w:val="18"/>
              </w:rPr>
            </w:pPr>
            <w:r>
              <w:rPr>
                <w:rFonts w:ascii="Calibri Light" w:hAnsi="Calibri Light"/>
                <w:color w:val="000000"/>
                <w:sz w:val="18"/>
              </w:rPr>
              <w:t>Dettes commerciales</w:t>
            </w:r>
          </w:p>
        </w:tc>
        <w:tc>
          <w:tcPr>
            <w:tcW w:w="705" w:type="pct"/>
            <w:tcBorders>
              <w:top w:val="nil"/>
              <w:left w:val="nil"/>
              <w:bottom w:val="nil"/>
              <w:right w:val="nil"/>
            </w:tcBorders>
            <w:shd w:val="clear" w:color="auto" w:fill="auto"/>
            <w:noWrap/>
            <w:vAlign w:val="bottom"/>
            <w:hideMark/>
          </w:tcPr>
          <w:p w14:paraId="3CB53C9E"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2 664 917</w:t>
            </w:r>
          </w:p>
        </w:tc>
        <w:tc>
          <w:tcPr>
            <w:tcW w:w="928" w:type="pct"/>
            <w:tcBorders>
              <w:top w:val="nil"/>
              <w:left w:val="nil"/>
              <w:bottom w:val="nil"/>
              <w:right w:val="nil"/>
            </w:tcBorders>
            <w:shd w:val="clear" w:color="auto" w:fill="auto"/>
            <w:noWrap/>
            <w:vAlign w:val="bottom"/>
            <w:hideMark/>
          </w:tcPr>
          <w:p w14:paraId="0FE3514B"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2 658 821</w:t>
            </w:r>
          </w:p>
        </w:tc>
      </w:tr>
      <w:tr w:rsidR="004566BD" w14:paraId="3A0404E9" w14:textId="77777777" w:rsidTr="00717185">
        <w:trPr>
          <w:trHeight w:val="20"/>
        </w:trPr>
        <w:tc>
          <w:tcPr>
            <w:tcW w:w="3367" w:type="pct"/>
            <w:tcBorders>
              <w:top w:val="nil"/>
              <w:left w:val="nil"/>
              <w:bottom w:val="nil"/>
              <w:right w:val="nil"/>
            </w:tcBorders>
            <w:shd w:val="clear" w:color="auto" w:fill="auto"/>
            <w:noWrap/>
            <w:vAlign w:val="bottom"/>
            <w:hideMark/>
          </w:tcPr>
          <w:p w14:paraId="3C212F9D" w14:textId="77777777" w:rsidR="004566BD" w:rsidRDefault="004566BD">
            <w:pPr>
              <w:rPr>
                <w:rFonts w:ascii="Calibri Light" w:hAnsi="Calibri Light" w:cs="Calibri Light"/>
                <w:color w:val="000000"/>
                <w:sz w:val="18"/>
                <w:szCs w:val="18"/>
              </w:rPr>
            </w:pPr>
            <w:r>
              <w:rPr>
                <w:rFonts w:ascii="Calibri Light" w:hAnsi="Calibri Light"/>
                <w:color w:val="000000"/>
                <w:sz w:val="18"/>
              </w:rPr>
              <w:t>Dettes pour les retours</w:t>
            </w:r>
          </w:p>
        </w:tc>
        <w:tc>
          <w:tcPr>
            <w:tcW w:w="705" w:type="pct"/>
            <w:tcBorders>
              <w:top w:val="nil"/>
              <w:left w:val="nil"/>
              <w:bottom w:val="nil"/>
              <w:right w:val="nil"/>
            </w:tcBorders>
            <w:shd w:val="clear" w:color="auto" w:fill="auto"/>
            <w:noWrap/>
            <w:vAlign w:val="bottom"/>
            <w:hideMark/>
          </w:tcPr>
          <w:p w14:paraId="602C5E85"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0</w:t>
            </w:r>
          </w:p>
        </w:tc>
        <w:tc>
          <w:tcPr>
            <w:tcW w:w="928" w:type="pct"/>
            <w:tcBorders>
              <w:top w:val="nil"/>
              <w:left w:val="nil"/>
              <w:bottom w:val="nil"/>
              <w:right w:val="nil"/>
            </w:tcBorders>
            <w:shd w:val="clear" w:color="auto" w:fill="auto"/>
            <w:noWrap/>
            <w:vAlign w:val="bottom"/>
            <w:hideMark/>
          </w:tcPr>
          <w:p w14:paraId="2132EEE8"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0</w:t>
            </w:r>
          </w:p>
        </w:tc>
      </w:tr>
      <w:tr w:rsidR="004566BD" w14:paraId="5B966D19" w14:textId="77777777" w:rsidTr="00717185">
        <w:trPr>
          <w:trHeight w:val="20"/>
        </w:trPr>
        <w:tc>
          <w:tcPr>
            <w:tcW w:w="3367" w:type="pct"/>
            <w:tcBorders>
              <w:top w:val="nil"/>
              <w:left w:val="nil"/>
              <w:bottom w:val="nil"/>
              <w:right w:val="nil"/>
            </w:tcBorders>
            <w:shd w:val="clear" w:color="auto" w:fill="auto"/>
            <w:noWrap/>
            <w:vAlign w:val="bottom"/>
            <w:hideMark/>
          </w:tcPr>
          <w:p w14:paraId="473D3530" w14:textId="77777777" w:rsidR="004566BD" w:rsidRDefault="004566BD">
            <w:pPr>
              <w:rPr>
                <w:rFonts w:ascii="Calibri Light" w:hAnsi="Calibri Light" w:cs="Calibri Light"/>
                <w:color w:val="000000"/>
                <w:sz w:val="18"/>
                <w:szCs w:val="18"/>
              </w:rPr>
            </w:pPr>
            <w:r>
              <w:rPr>
                <w:rFonts w:ascii="Calibri Light" w:hAnsi="Calibri Light"/>
                <w:color w:val="000000"/>
                <w:sz w:val="18"/>
              </w:rPr>
              <w:t>Passif contractuel à court terme</w:t>
            </w:r>
          </w:p>
        </w:tc>
        <w:tc>
          <w:tcPr>
            <w:tcW w:w="705" w:type="pct"/>
            <w:tcBorders>
              <w:top w:val="nil"/>
              <w:left w:val="nil"/>
              <w:bottom w:val="nil"/>
              <w:right w:val="nil"/>
            </w:tcBorders>
            <w:shd w:val="clear" w:color="auto" w:fill="auto"/>
            <w:noWrap/>
            <w:vAlign w:val="bottom"/>
            <w:hideMark/>
          </w:tcPr>
          <w:p w14:paraId="122E446A"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0</w:t>
            </w:r>
          </w:p>
        </w:tc>
        <w:tc>
          <w:tcPr>
            <w:tcW w:w="928" w:type="pct"/>
            <w:tcBorders>
              <w:top w:val="nil"/>
              <w:left w:val="nil"/>
              <w:bottom w:val="nil"/>
              <w:right w:val="nil"/>
            </w:tcBorders>
            <w:shd w:val="clear" w:color="auto" w:fill="auto"/>
            <w:noWrap/>
            <w:vAlign w:val="bottom"/>
            <w:hideMark/>
          </w:tcPr>
          <w:p w14:paraId="14033F0C"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0</w:t>
            </w:r>
          </w:p>
        </w:tc>
      </w:tr>
      <w:tr w:rsidR="004566BD" w14:paraId="49B25AF6" w14:textId="77777777" w:rsidTr="00717185">
        <w:trPr>
          <w:trHeight w:val="20"/>
        </w:trPr>
        <w:tc>
          <w:tcPr>
            <w:tcW w:w="3367" w:type="pct"/>
            <w:tcBorders>
              <w:top w:val="nil"/>
              <w:left w:val="nil"/>
              <w:bottom w:val="nil"/>
              <w:right w:val="nil"/>
            </w:tcBorders>
            <w:shd w:val="clear" w:color="auto" w:fill="auto"/>
            <w:noWrap/>
            <w:vAlign w:val="bottom"/>
            <w:hideMark/>
          </w:tcPr>
          <w:p w14:paraId="34E44BB3" w14:textId="77777777" w:rsidR="004566BD" w:rsidRDefault="004566BD">
            <w:pPr>
              <w:rPr>
                <w:rFonts w:ascii="Calibri Light" w:hAnsi="Calibri Light" w:cs="Calibri Light"/>
                <w:color w:val="000000"/>
                <w:sz w:val="18"/>
                <w:szCs w:val="18"/>
              </w:rPr>
            </w:pPr>
            <w:r>
              <w:rPr>
                <w:rFonts w:ascii="Calibri Light" w:hAnsi="Calibri Light"/>
                <w:color w:val="000000"/>
                <w:sz w:val="18"/>
              </w:rPr>
              <w:t>Dettes fiscales</w:t>
            </w:r>
          </w:p>
        </w:tc>
        <w:tc>
          <w:tcPr>
            <w:tcW w:w="705" w:type="pct"/>
            <w:tcBorders>
              <w:top w:val="nil"/>
              <w:left w:val="nil"/>
              <w:bottom w:val="nil"/>
              <w:right w:val="nil"/>
            </w:tcBorders>
            <w:shd w:val="clear" w:color="auto" w:fill="auto"/>
            <w:noWrap/>
            <w:vAlign w:val="bottom"/>
            <w:hideMark/>
          </w:tcPr>
          <w:p w14:paraId="3538CFEB"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1 291 215</w:t>
            </w:r>
          </w:p>
        </w:tc>
        <w:tc>
          <w:tcPr>
            <w:tcW w:w="928" w:type="pct"/>
            <w:tcBorders>
              <w:top w:val="nil"/>
              <w:left w:val="nil"/>
              <w:bottom w:val="nil"/>
              <w:right w:val="nil"/>
            </w:tcBorders>
            <w:shd w:val="clear" w:color="auto" w:fill="auto"/>
            <w:noWrap/>
            <w:vAlign w:val="bottom"/>
            <w:hideMark/>
          </w:tcPr>
          <w:p w14:paraId="5F8D458F"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1 289 511</w:t>
            </w:r>
          </w:p>
        </w:tc>
      </w:tr>
      <w:tr w:rsidR="004566BD" w14:paraId="3B207750" w14:textId="77777777" w:rsidTr="00717185">
        <w:trPr>
          <w:trHeight w:val="20"/>
        </w:trPr>
        <w:tc>
          <w:tcPr>
            <w:tcW w:w="3367" w:type="pct"/>
            <w:tcBorders>
              <w:top w:val="nil"/>
              <w:left w:val="nil"/>
              <w:bottom w:val="nil"/>
              <w:right w:val="nil"/>
            </w:tcBorders>
            <w:shd w:val="clear" w:color="auto" w:fill="auto"/>
            <w:noWrap/>
            <w:vAlign w:val="bottom"/>
            <w:hideMark/>
          </w:tcPr>
          <w:p w14:paraId="5A586B4E" w14:textId="77777777" w:rsidR="004566BD" w:rsidRDefault="004566BD">
            <w:pPr>
              <w:rPr>
                <w:rFonts w:ascii="Calibri Light" w:hAnsi="Calibri Light" w:cs="Calibri Light"/>
                <w:color w:val="000000"/>
                <w:sz w:val="18"/>
                <w:szCs w:val="18"/>
              </w:rPr>
            </w:pPr>
            <w:r>
              <w:rPr>
                <w:rFonts w:ascii="Calibri Light" w:hAnsi="Calibri Light"/>
                <w:color w:val="000000"/>
                <w:sz w:val="18"/>
              </w:rPr>
              <w:t>Autres dettes et engagements à court terme</w:t>
            </w:r>
          </w:p>
        </w:tc>
        <w:tc>
          <w:tcPr>
            <w:tcW w:w="705" w:type="pct"/>
            <w:tcBorders>
              <w:top w:val="nil"/>
              <w:left w:val="nil"/>
              <w:bottom w:val="nil"/>
              <w:right w:val="nil"/>
            </w:tcBorders>
            <w:shd w:val="clear" w:color="auto" w:fill="auto"/>
            <w:noWrap/>
            <w:vAlign w:val="bottom"/>
            <w:hideMark/>
          </w:tcPr>
          <w:p w14:paraId="0D19644F"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154 175</w:t>
            </w:r>
          </w:p>
        </w:tc>
        <w:tc>
          <w:tcPr>
            <w:tcW w:w="928" w:type="pct"/>
            <w:tcBorders>
              <w:top w:val="nil"/>
              <w:left w:val="nil"/>
              <w:bottom w:val="nil"/>
              <w:right w:val="nil"/>
            </w:tcBorders>
            <w:shd w:val="clear" w:color="auto" w:fill="auto"/>
            <w:noWrap/>
            <w:vAlign w:val="bottom"/>
            <w:hideMark/>
          </w:tcPr>
          <w:p w14:paraId="2229DD6E"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32 136</w:t>
            </w:r>
          </w:p>
        </w:tc>
      </w:tr>
      <w:tr w:rsidR="004566BD" w14:paraId="58DF1399" w14:textId="77777777" w:rsidTr="00717185">
        <w:trPr>
          <w:trHeight w:val="20"/>
        </w:trPr>
        <w:tc>
          <w:tcPr>
            <w:tcW w:w="3367" w:type="pct"/>
            <w:tcBorders>
              <w:top w:val="nil"/>
              <w:left w:val="nil"/>
              <w:bottom w:val="nil"/>
              <w:right w:val="nil"/>
            </w:tcBorders>
            <w:shd w:val="clear" w:color="auto" w:fill="auto"/>
            <w:noWrap/>
            <w:vAlign w:val="bottom"/>
            <w:hideMark/>
          </w:tcPr>
          <w:p w14:paraId="678E144C" w14:textId="77777777" w:rsidR="004566BD" w:rsidRDefault="004566BD">
            <w:pPr>
              <w:rPr>
                <w:rFonts w:ascii="Calibri Light" w:hAnsi="Calibri Light" w:cs="Calibri Light"/>
                <w:b/>
                <w:bCs/>
                <w:color w:val="000000"/>
                <w:sz w:val="18"/>
                <w:szCs w:val="18"/>
              </w:rPr>
            </w:pPr>
            <w:r>
              <w:rPr>
                <w:rFonts w:ascii="Calibri Light" w:hAnsi="Calibri Light"/>
                <w:b/>
                <w:color w:val="000000"/>
                <w:sz w:val="18"/>
              </w:rPr>
              <w:t>TOTAL PASSIF À COURT TERME</w:t>
            </w:r>
          </w:p>
        </w:tc>
        <w:tc>
          <w:tcPr>
            <w:tcW w:w="705" w:type="pct"/>
            <w:tcBorders>
              <w:top w:val="single" w:sz="4" w:space="0" w:color="auto"/>
              <w:left w:val="nil"/>
              <w:bottom w:val="nil"/>
              <w:right w:val="nil"/>
            </w:tcBorders>
            <w:shd w:val="clear" w:color="auto" w:fill="auto"/>
            <w:noWrap/>
            <w:vAlign w:val="bottom"/>
            <w:hideMark/>
          </w:tcPr>
          <w:p w14:paraId="50AD9873"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4 158 515</w:t>
            </w:r>
          </w:p>
        </w:tc>
        <w:tc>
          <w:tcPr>
            <w:tcW w:w="928" w:type="pct"/>
            <w:tcBorders>
              <w:top w:val="single" w:sz="4" w:space="0" w:color="auto"/>
              <w:left w:val="nil"/>
              <w:bottom w:val="nil"/>
              <w:right w:val="nil"/>
            </w:tcBorders>
            <w:shd w:val="clear" w:color="auto" w:fill="auto"/>
            <w:noWrap/>
            <w:vAlign w:val="bottom"/>
            <w:hideMark/>
          </w:tcPr>
          <w:p w14:paraId="2EBE62BF"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4 068 249</w:t>
            </w:r>
          </w:p>
        </w:tc>
      </w:tr>
      <w:tr w:rsidR="004566BD" w14:paraId="04939783" w14:textId="77777777" w:rsidTr="00717185">
        <w:trPr>
          <w:trHeight w:val="20"/>
        </w:trPr>
        <w:tc>
          <w:tcPr>
            <w:tcW w:w="3367" w:type="pct"/>
            <w:tcBorders>
              <w:top w:val="nil"/>
              <w:left w:val="nil"/>
              <w:bottom w:val="nil"/>
              <w:right w:val="nil"/>
            </w:tcBorders>
            <w:shd w:val="clear" w:color="auto" w:fill="auto"/>
            <w:noWrap/>
            <w:vAlign w:val="bottom"/>
            <w:hideMark/>
          </w:tcPr>
          <w:p w14:paraId="00FFC91A" w14:textId="77777777" w:rsidR="004566BD" w:rsidRDefault="004566BD">
            <w:pPr>
              <w:jc w:val="right"/>
              <w:rPr>
                <w:rFonts w:ascii="Calibri Light" w:hAnsi="Calibri Light" w:cs="Calibri Light"/>
                <w:b/>
                <w:bCs/>
                <w:color w:val="000000"/>
                <w:sz w:val="18"/>
                <w:szCs w:val="18"/>
              </w:rPr>
            </w:pPr>
          </w:p>
        </w:tc>
        <w:tc>
          <w:tcPr>
            <w:tcW w:w="705" w:type="pct"/>
            <w:tcBorders>
              <w:top w:val="nil"/>
              <w:left w:val="nil"/>
              <w:bottom w:val="nil"/>
              <w:right w:val="nil"/>
            </w:tcBorders>
            <w:shd w:val="clear" w:color="auto" w:fill="auto"/>
            <w:noWrap/>
            <w:vAlign w:val="bottom"/>
            <w:hideMark/>
          </w:tcPr>
          <w:p w14:paraId="6FD288DD" w14:textId="77777777" w:rsidR="004566BD" w:rsidRDefault="004566BD">
            <w:pPr>
              <w:rPr>
                <w:sz w:val="20"/>
                <w:szCs w:val="20"/>
              </w:rPr>
            </w:pPr>
          </w:p>
        </w:tc>
        <w:tc>
          <w:tcPr>
            <w:tcW w:w="928" w:type="pct"/>
            <w:tcBorders>
              <w:top w:val="nil"/>
              <w:left w:val="nil"/>
              <w:bottom w:val="nil"/>
              <w:right w:val="nil"/>
            </w:tcBorders>
            <w:shd w:val="clear" w:color="auto" w:fill="auto"/>
            <w:noWrap/>
            <w:vAlign w:val="bottom"/>
            <w:hideMark/>
          </w:tcPr>
          <w:p w14:paraId="7AD97CBF" w14:textId="77777777" w:rsidR="004566BD" w:rsidRDefault="004566BD">
            <w:pPr>
              <w:rPr>
                <w:sz w:val="20"/>
                <w:szCs w:val="20"/>
              </w:rPr>
            </w:pPr>
          </w:p>
        </w:tc>
      </w:tr>
      <w:tr w:rsidR="004566BD" w14:paraId="4037FF5D" w14:textId="77777777" w:rsidTr="00717185">
        <w:trPr>
          <w:trHeight w:val="20"/>
        </w:trPr>
        <w:tc>
          <w:tcPr>
            <w:tcW w:w="3367" w:type="pct"/>
            <w:tcBorders>
              <w:top w:val="nil"/>
              <w:left w:val="nil"/>
              <w:bottom w:val="nil"/>
              <w:right w:val="nil"/>
            </w:tcBorders>
            <w:shd w:val="clear" w:color="auto" w:fill="auto"/>
            <w:noWrap/>
            <w:vAlign w:val="bottom"/>
            <w:hideMark/>
          </w:tcPr>
          <w:p w14:paraId="2D283443" w14:textId="77777777" w:rsidR="004566BD" w:rsidRDefault="004566BD">
            <w:pPr>
              <w:rPr>
                <w:rFonts w:ascii="Calibri Light" w:hAnsi="Calibri Light" w:cs="Calibri Light"/>
                <w:b/>
                <w:bCs/>
                <w:color w:val="000000"/>
                <w:sz w:val="18"/>
                <w:szCs w:val="18"/>
              </w:rPr>
            </w:pPr>
            <w:r>
              <w:rPr>
                <w:rFonts w:ascii="Calibri Light" w:hAnsi="Calibri Light"/>
                <w:b/>
                <w:color w:val="000000"/>
                <w:sz w:val="18"/>
              </w:rPr>
              <w:t>TOTAL PASSIF</w:t>
            </w:r>
          </w:p>
        </w:tc>
        <w:tc>
          <w:tcPr>
            <w:tcW w:w="705" w:type="pct"/>
            <w:tcBorders>
              <w:top w:val="single" w:sz="4" w:space="0" w:color="auto"/>
              <w:left w:val="nil"/>
              <w:bottom w:val="single" w:sz="8" w:space="0" w:color="auto"/>
              <w:right w:val="nil"/>
            </w:tcBorders>
            <w:shd w:val="clear" w:color="auto" w:fill="auto"/>
            <w:noWrap/>
            <w:vAlign w:val="bottom"/>
            <w:hideMark/>
          </w:tcPr>
          <w:p w14:paraId="7A69C69A"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6 147 739</w:t>
            </w:r>
          </w:p>
        </w:tc>
        <w:tc>
          <w:tcPr>
            <w:tcW w:w="928" w:type="pct"/>
            <w:tcBorders>
              <w:top w:val="single" w:sz="4" w:space="0" w:color="auto"/>
              <w:left w:val="nil"/>
              <w:bottom w:val="single" w:sz="8" w:space="0" w:color="auto"/>
              <w:right w:val="nil"/>
            </w:tcBorders>
            <w:shd w:val="clear" w:color="auto" w:fill="auto"/>
            <w:noWrap/>
            <w:vAlign w:val="bottom"/>
            <w:hideMark/>
          </w:tcPr>
          <w:p w14:paraId="46F50119"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6 259 711</w:t>
            </w:r>
          </w:p>
        </w:tc>
      </w:tr>
      <w:tr w:rsidR="004566BD" w14:paraId="28A00904" w14:textId="77777777" w:rsidTr="00717185">
        <w:trPr>
          <w:trHeight w:val="20"/>
        </w:trPr>
        <w:tc>
          <w:tcPr>
            <w:tcW w:w="3367" w:type="pct"/>
            <w:tcBorders>
              <w:top w:val="nil"/>
              <w:left w:val="nil"/>
              <w:bottom w:val="nil"/>
              <w:right w:val="nil"/>
            </w:tcBorders>
            <w:shd w:val="clear" w:color="auto" w:fill="auto"/>
            <w:noWrap/>
            <w:vAlign w:val="bottom"/>
            <w:hideMark/>
          </w:tcPr>
          <w:p w14:paraId="3F4C601D" w14:textId="77777777" w:rsidR="004566BD" w:rsidRDefault="004566BD">
            <w:pPr>
              <w:jc w:val="right"/>
              <w:rPr>
                <w:rFonts w:ascii="Calibri Light" w:hAnsi="Calibri Light" w:cs="Calibri Light"/>
                <w:b/>
                <w:bCs/>
                <w:color w:val="000000"/>
                <w:sz w:val="18"/>
                <w:szCs w:val="18"/>
              </w:rPr>
            </w:pPr>
          </w:p>
        </w:tc>
        <w:tc>
          <w:tcPr>
            <w:tcW w:w="705" w:type="pct"/>
            <w:tcBorders>
              <w:top w:val="nil"/>
              <w:left w:val="nil"/>
              <w:bottom w:val="nil"/>
              <w:right w:val="nil"/>
            </w:tcBorders>
            <w:shd w:val="clear" w:color="auto" w:fill="auto"/>
            <w:noWrap/>
            <w:vAlign w:val="bottom"/>
            <w:hideMark/>
          </w:tcPr>
          <w:p w14:paraId="700FFD64" w14:textId="77777777" w:rsidR="004566BD" w:rsidRDefault="004566BD">
            <w:pPr>
              <w:rPr>
                <w:sz w:val="20"/>
                <w:szCs w:val="20"/>
              </w:rPr>
            </w:pPr>
          </w:p>
        </w:tc>
        <w:tc>
          <w:tcPr>
            <w:tcW w:w="928" w:type="pct"/>
            <w:tcBorders>
              <w:top w:val="nil"/>
              <w:left w:val="nil"/>
              <w:bottom w:val="nil"/>
              <w:right w:val="nil"/>
            </w:tcBorders>
            <w:shd w:val="clear" w:color="auto" w:fill="auto"/>
            <w:noWrap/>
            <w:vAlign w:val="bottom"/>
            <w:hideMark/>
          </w:tcPr>
          <w:p w14:paraId="3078E2C2" w14:textId="77777777" w:rsidR="004566BD" w:rsidRDefault="004566BD">
            <w:pPr>
              <w:rPr>
                <w:sz w:val="20"/>
                <w:szCs w:val="20"/>
              </w:rPr>
            </w:pPr>
          </w:p>
        </w:tc>
      </w:tr>
      <w:tr w:rsidR="004566BD" w14:paraId="26C2571D" w14:textId="77777777" w:rsidTr="00717185">
        <w:trPr>
          <w:trHeight w:val="20"/>
        </w:trPr>
        <w:tc>
          <w:tcPr>
            <w:tcW w:w="3367" w:type="pct"/>
            <w:tcBorders>
              <w:top w:val="nil"/>
              <w:left w:val="nil"/>
              <w:bottom w:val="nil"/>
              <w:right w:val="nil"/>
            </w:tcBorders>
            <w:shd w:val="clear" w:color="auto" w:fill="auto"/>
            <w:noWrap/>
            <w:vAlign w:val="bottom"/>
            <w:hideMark/>
          </w:tcPr>
          <w:p w14:paraId="1E869E72" w14:textId="77777777" w:rsidR="004566BD" w:rsidRDefault="004566BD">
            <w:pPr>
              <w:rPr>
                <w:rFonts w:ascii="Calibri Light" w:hAnsi="Calibri Light" w:cs="Calibri Light"/>
                <w:b/>
                <w:bCs/>
                <w:color w:val="000000"/>
                <w:sz w:val="18"/>
                <w:szCs w:val="18"/>
              </w:rPr>
            </w:pPr>
            <w:r>
              <w:rPr>
                <w:rFonts w:ascii="Calibri Light" w:hAnsi="Calibri Light"/>
                <w:b/>
                <w:color w:val="000000"/>
                <w:sz w:val="18"/>
              </w:rPr>
              <w:t>TOTAL CAPITAUX PROPRES ET PASSIF</w:t>
            </w:r>
          </w:p>
        </w:tc>
        <w:tc>
          <w:tcPr>
            <w:tcW w:w="705" w:type="pct"/>
            <w:tcBorders>
              <w:top w:val="single" w:sz="4" w:space="0" w:color="auto"/>
              <w:left w:val="nil"/>
              <w:bottom w:val="single" w:sz="8" w:space="0" w:color="auto"/>
              <w:right w:val="nil"/>
            </w:tcBorders>
            <w:shd w:val="clear" w:color="auto" w:fill="auto"/>
            <w:noWrap/>
            <w:vAlign w:val="bottom"/>
            <w:hideMark/>
          </w:tcPr>
          <w:p w14:paraId="2D793389"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8 616 974</w:t>
            </w:r>
          </w:p>
        </w:tc>
        <w:tc>
          <w:tcPr>
            <w:tcW w:w="928" w:type="pct"/>
            <w:tcBorders>
              <w:top w:val="single" w:sz="4" w:space="0" w:color="auto"/>
              <w:left w:val="nil"/>
              <w:bottom w:val="single" w:sz="8" w:space="0" w:color="auto"/>
              <w:right w:val="nil"/>
            </w:tcBorders>
            <w:shd w:val="clear" w:color="auto" w:fill="auto"/>
            <w:noWrap/>
            <w:vAlign w:val="bottom"/>
            <w:hideMark/>
          </w:tcPr>
          <w:p w14:paraId="1DBAEA7C"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9 811 255</w:t>
            </w:r>
          </w:p>
        </w:tc>
      </w:tr>
    </w:tbl>
    <w:p w14:paraId="73F3FE61" w14:textId="6DA2C125" w:rsidR="004566BD" w:rsidRDefault="004566BD" w:rsidP="00E16D12">
      <w:pPr>
        <w:spacing w:line="276" w:lineRule="auto"/>
        <w:rPr>
          <w:rFonts w:ascii="Cambria" w:hAnsi="Cambria"/>
          <w:sz w:val="22"/>
          <w:szCs w:val="22"/>
        </w:rPr>
      </w:pPr>
    </w:p>
    <w:p w14:paraId="17D8A281" w14:textId="72BFE9F6" w:rsidR="004566BD" w:rsidRDefault="004566BD" w:rsidP="00E16D12">
      <w:pPr>
        <w:spacing w:line="276" w:lineRule="auto"/>
        <w:rPr>
          <w:rFonts w:ascii="Cambria" w:hAnsi="Cambria"/>
          <w:sz w:val="22"/>
          <w:szCs w:val="22"/>
        </w:rPr>
      </w:pPr>
    </w:p>
    <w:p w14:paraId="477F7BC0" w14:textId="365582F3" w:rsidR="004566BD" w:rsidRDefault="004566BD" w:rsidP="00E16D12">
      <w:pPr>
        <w:spacing w:line="276" w:lineRule="auto"/>
        <w:rPr>
          <w:rFonts w:ascii="Cambria" w:hAnsi="Cambria"/>
          <w:sz w:val="22"/>
          <w:szCs w:val="22"/>
        </w:rPr>
      </w:pPr>
    </w:p>
    <w:tbl>
      <w:tblPr>
        <w:tblW w:w="5000" w:type="pct"/>
        <w:tblCellMar>
          <w:left w:w="70" w:type="dxa"/>
          <w:right w:w="70" w:type="dxa"/>
        </w:tblCellMar>
        <w:tblLook w:val="04A0" w:firstRow="1" w:lastRow="0" w:firstColumn="1" w:lastColumn="0" w:noHBand="0" w:noVBand="1"/>
      </w:tblPr>
      <w:tblGrid>
        <w:gridCol w:w="5940"/>
        <w:gridCol w:w="1849"/>
        <w:gridCol w:w="1849"/>
      </w:tblGrid>
      <w:tr w:rsidR="004566BD" w14:paraId="11CF4703" w14:textId="77777777" w:rsidTr="0061181E">
        <w:trPr>
          <w:trHeight w:val="495"/>
        </w:trPr>
        <w:tc>
          <w:tcPr>
            <w:tcW w:w="3082" w:type="pct"/>
            <w:tcBorders>
              <w:top w:val="single" w:sz="4" w:space="0" w:color="0070C0"/>
              <w:left w:val="nil"/>
              <w:bottom w:val="single" w:sz="8" w:space="0" w:color="0070C0"/>
              <w:right w:val="nil"/>
            </w:tcBorders>
            <w:shd w:val="clear" w:color="auto" w:fill="auto"/>
            <w:noWrap/>
            <w:vAlign w:val="bottom"/>
            <w:hideMark/>
          </w:tcPr>
          <w:p w14:paraId="5E5C27D2" w14:textId="77777777" w:rsidR="004566BD" w:rsidRDefault="004566BD">
            <w:pPr>
              <w:rPr>
                <w:rFonts w:ascii="Calibri Light" w:hAnsi="Calibri Light" w:cs="Calibri Light"/>
                <w:color w:val="000000"/>
                <w:sz w:val="18"/>
                <w:szCs w:val="18"/>
              </w:rPr>
            </w:pPr>
            <w:r>
              <w:rPr>
                <w:rFonts w:ascii="Calibri Light" w:hAnsi="Calibri Light"/>
                <w:color w:val="000000"/>
                <w:sz w:val="18"/>
              </w:rPr>
              <w:t>(</w:t>
            </w:r>
            <w:proofErr w:type="gramStart"/>
            <w:r>
              <w:rPr>
                <w:rFonts w:ascii="Calibri Light" w:hAnsi="Calibri Light"/>
                <w:color w:val="000000"/>
                <w:sz w:val="18"/>
              </w:rPr>
              <w:t>en</w:t>
            </w:r>
            <w:proofErr w:type="gramEnd"/>
            <w:r>
              <w:rPr>
                <w:rFonts w:ascii="Calibri Light" w:hAnsi="Calibri Light"/>
                <w:color w:val="000000"/>
                <w:sz w:val="18"/>
              </w:rPr>
              <w:t xml:space="preserve"> euros)</w:t>
            </w:r>
          </w:p>
        </w:tc>
        <w:tc>
          <w:tcPr>
            <w:tcW w:w="959" w:type="pct"/>
            <w:tcBorders>
              <w:top w:val="single" w:sz="4" w:space="0" w:color="0070C0"/>
              <w:left w:val="nil"/>
              <w:bottom w:val="single" w:sz="8" w:space="0" w:color="0070C0"/>
              <w:right w:val="nil"/>
            </w:tcBorders>
            <w:shd w:val="clear" w:color="auto" w:fill="auto"/>
            <w:vAlign w:val="center"/>
            <w:hideMark/>
          </w:tcPr>
          <w:p w14:paraId="10708693" w14:textId="77777777" w:rsidR="004566BD" w:rsidRPr="0061181E" w:rsidRDefault="004566BD">
            <w:pPr>
              <w:jc w:val="center"/>
              <w:rPr>
                <w:rFonts w:ascii="Calibri Light" w:hAnsi="Calibri Light" w:cs="Calibri Light"/>
                <w:b/>
                <w:bCs/>
                <w:sz w:val="18"/>
                <w:szCs w:val="18"/>
              </w:rPr>
            </w:pPr>
            <w:r>
              <w:rPr>
                <w:rFonts w:ascii="Calibri Light" w:hAnsi="Calibri Light"/>
                <w:b/>
                <w:sz w:val="18"/>
              </w:rPr>
              <w:t>OVER</w:t>
            </w:r>
            <w:r>
              <w:rPr>
                <w:rFonts w:ascii="Calibri Light" w:hAnsi="Calibri Light"/>
                <w:b/>
                <w:bCs/>
                <w:sz w:val="18"/>
                <w:szCs w:val="18"/>
              </w:rPr>
              <w:br/>
            </w:r>
            <w:r>
              <w:rPr>
                <w:rFonts w:ascii="Calibri Light" w:hAnsi="Calibri Light"/>
                <w:b/>
                <w:sz w:val="18"/>
              </w:rPr>
              <w:t xml:space="preserve"> 30 juin 2021</w:t>
            </w:r>
          </w:p>
        </w:tc>
        <w:tc>
          <w:tcPr>
            <w:tcW w:w="959" w:type="pct"/>
            <w:tcBorders>
              <w:top w:val="single" w:sz="4" w:space="0" w:color="0070C0"/>
              <w:left w:val="nil"/>
              <w:bottom w:val="single" w:sz="8" w:space="0" w:color="0070C0"/>
              <w:right w:val="nil"/>
            </w:tcBorders>
            <w:shd w:val="clear" w:color="auto" w:fill="auto"/>
            <w:vAlign w:val="center"/>
            <w:hideMark/>
          </w:tcPr>
          <w:p w14:paraId="47E75C5D" w14:textId="77777777" w:rsidR="004566BD" w:rsidRPr="0061181E" w:rsidRDefault="004566BD">
            <w:pPr>
              <w:jc w:val="center"/>
              <w:rPr>
                <w:rFonts w:ascii="Calibri Light" w:hAnsi="Calibri Light" w:cs="Calibri Light"/>
                <w:b/>
                <w:bCs/>
                <w:sz w:val="18"/>
                <w:szCs w:val="18"/>
              </w:rPr>
            </w:pPr>
            <w:r>
              <w:rPr>
                <w:rFonts w:ascii="Calibri Light" w:hAnsi="Calibri Light"/>
                <w:b/>
                <w:sz w:val="18"/>
              </w:rPr>
              <w:t>OVER</w:t>
            </w:r>
            <w:r>
              <w:rPr>
                <w:rFonts w:ascii="Calibri Light" w:hAnsi="Calibri Light"/>
                <w:b/>
                <w:bCs/>
                <w:sz w:val="18"/>
                <w:szCs w:val="18"/>
              </w:rPr>
              <w:br/>
            </w:r>
            <w:r>
              <w:rPr>
                <w:rFonts w:ascii="Calibri Light" w:hAnsi="Calibri Light"/>
                <w:b/>
                <w:sz w:val="18"/>
              </w:rPr>
              <w:t xml:space="preserve"> 30 juin 2020</w:t>
            </w:r>
          </w:p>
        </w:tc>
      </w:tr>
      <w:tr w:rsidR="004566BD" w14:paraId="0ED5A3EF" w14:textId="77777777" w:rsidTr="0061181E">
        <w:trPr>
          <w:trHeight w:val="240"/>
        </w:trPr>
        <w:tc>
          <w:tcPr>
            <w:tcW w:w="3082" w:type="pct"/>
            <w:tcBorders>
              <w:top w:val="nil"/>
              <w:left w:val="nil"/>
              <w:bottom w:val="nil"/>
              <w:right w:val="nil"/>
            </w:tcBorders>
            <w:shd w:val="clear" w:color="auto" w:fill="auto"/>
            <w:noWrap/>
            <w:vAlign w:val="bottom"/>
            <w:hideMark/>
          </w:tcPr>
          <w:p w14:paraId="57E3EECB" w14:textId="77777777" w:rsidR="004566BD" w:rsidRDefault="004566BD">
            <w:pPr>
              <w:jc w:val="center"/>
              <w:rPr>
                <w:rFonts w:ascii="Calibri Light" w:hAnsi="Calibri Light" w:cs="Calibri Light"/>
                <w:b/>
                <w:bCs/>
                <w:color w:val="FF0000"/>
                <w:sz w:val="18"/>
                <w:szCs w:val="18"/>
              </w:rPr>
            </w:pPr>
          </w:p>
        </w:tc>
        <w:tc>
          <w:tcPr>
            <w:tcW w:w="959" w:type="pct"/>
            <w:tcBorders>
              <w:top w:val="nil"/>
              <w:left w:val="nil"/>
              <w:bottom w:val="nil"/>
              <w:right w:val="nil"/>
            </w:tcBorders>
            <w:shd w:val="clear" w:color="auto" w:fill="auto"/>
            <w:vAlign w:val="bottom"/>
            <w:hideMark/>
          </w:tcPr>
          <w:p w14:paraId="5E4CBE22" w14:textId="77777777" w:rsidR="004566BD" w:rsidRDefault="004566BD">
            <w:pPr>
              <w:rPr>
                <w:sz w:val="20"/>
                <w:szCs w:val="20"/>
              </w:rPr>
            </w:pPr>
          </w:p>
        </w:tc>
        <w:tc>
          <w:tcPr>
            <w:tcW w:w="959" w:type="pct"/>
            <w:tcBorders>
              <w:top w:val="nil"/>
              <w:left w:val="nil"/>
              <w:bottom w:val="nil"/>
              <w:right w:val="nil"/>
            </w:tcBorders>
            <w:shd w:val="clear" w:color="auto" w:fill="auto"/>
            <w:vAlign w:val="bottom"/>
            <w:hideMark/>
          </w:tcPr>
          <w:p w14:paraId="4126F6C4" w14:textId="77777777" w:rsidR="004566BD" w:rsidRDefault="004566BD">
            <w:pPr>
              <w:jc w:val="center"/>
              <w:rPr>
                <w:sz w:val="20"/>
                <w:szCs w:val="20"/>
              </w:rPr>
            </w:pPr>
          </w:p>
        </w:tc>
      </w:tr>
      <w:tr w:rsidR="004566BD" w14:paraId="0F6ABF26" w14:textId="77777777" w:rsidTr="0061181E">
        <w:trPr>
          <w:trHeight w:val="240"/>
        </w:trPr>
        <w:tc>
          <w:tcPr>
            <w:tcW w:w="3082" w:type="pct"/>
            <w:tcBorders>
              <w:top w:val="nil"/>
              <w:left w:val="nil"/>
              <w:bottom w:val="nil"/>
              <w:right w:val="nil"/>
            </w:tcBorders>
            <w:shd w:val="clear" w:color="auto" w:fill="auto"/>
            <w:noWrap/>
            <w:vAlign w:val="bottom"/>
            <w:hideMark/>
          </w:tcPr>
          <w:p w14:paraId="34FEBC6D" w14:textId="77777777" w:rsidR="004566BD" w:rsidRDefault="004566BD">
            <w:pPr>
              <w:jc w:val="center"/>
              <w:rPr>
                <w:sz w:val="20"/>
                <w:szCs w:val="20"/>
              </w:rPr>
            </w:pPr>
          </w:p>
        </w:tc>
        <w:tc>
          <w:tcPr>
            <w:tcW w:w="959" w:type="pct"/>
            <w:tcBorders>
              <w:top w:val="nil"/>
              <w:left w:val="nil"/>
              <w:bottom w:val="nil"/>
              <w:right w:val="nil"/>
            </w:tcBorders>
            <w:shd w:val="clear" w:color="auto" w:fill="auto"/>
            <w:vAlign w:val="bottom"/>
            <w:hideMark/>
          </w:tcPr>
          <w:p w14:paraId="2B8F68B5" w14:textId="77777777" w:rsidR="004566BD" w:rsidRDefault="004566BD">
            <w:pPr>
              <w:rPr>
                <w:sz w:val="20"/>
                <w:szCs w:val="20"/>
              </w:rPr>
            </w:pPr>
          </w:p>
        </w:tc>
        <w:tc>
          <w:tcPr>
            <w:tcW w:w="959" w:type="pct"/>
            <w:tcBorders>
              <w:top w:val="nil"/>
              <w:left w:val="nil"/>
              <w:bottom w:val="nil"/>
              <w:right w:val="nil"/>
            </w:tcBorders>
            <w:shd w:val="clear" w:color="auto" w:fill="auto"/>
            <w:vAlign w:val="bottom"/>
            <w:hideMark/>
          </w:tcPr>
          <w:p w14:paraId="37B0A9B1" w14:textId="77777777" w:rsidR="004566BD" w:rsidRDefault="004566BD">
            <w:pPr>
              <w:jc w:val="center"/>
              <w:rPr>
                <w:sz w:val="20"/>
                <w:szCs w:val="20"/>
              </w:rPr>
            </w:pPr>
          </w:p>
        </w:tc>
      </w:tr>
      <w:tr w:rsidR="004566BD" w14:paraId="300D6F92" w14:textId="77777777" w:rsidTr="0061181E">
        <w:trPr>
          <w:trHeight w:val="240"/>
        </w:trPr>
        <w:tc>
          <w:tcPr>
            <w:tcW w:w="3082" w:type="pct"/>
            <w:tcBorders>
              <w:top w:val="nil"/>
              <w:left w:val="nil"/>
              <w:bottom w:val="nil"/>
              <w:right w:val="nil"/>
            </w:tcBorders>
            <w:shd w:val="clear" w:color="auto" w:fill="auto"/>
            <w:noWrap/>
            <w:vAlign w:val="bottom"/>
            <w:hideMark/>
          </w:tcPr>
          <w:p w14:paraId="0D33D219" w14:textId="77777777" w:rsidR="004566BD" w:rsidRDefault="004566BD">
            <w:pPr>
              <w:rPr>
                <w:rFonts w:ascii="Calibri Light" w:hAnsi="Calibri Light" w:cs="Calibri Light"/>
                <w:color w:val="000000"/>
                <w:sz w:val="18"/>
                <w:szCs w:val="18"/>
              </w:rPr>
            </w:pPr>
            <w:r>
              <w:rPr>
                <w:rFonts w:ascii="Calibri Light" w:hAnsi="Calibri Light"/>
                <w:color w:val="000000"/>
                <w:sz w:val="18"/>
              </w:rPr>
              <w:lastRenderedPageBreak/>
              <w:t>Revenus des contrats avec les clients</w:t>
            </w:r>
          </w:p>
        </w:tc>
        <w:tc>
          <w:tcPr>
            <w:tcW w:w="959" w:type="pct"/>
            <w:tcBorders>
              <w:top w:val="nil"/>
              <w:left w:val="nil"/>
              <w:bottom w:val="nil"/>
              <w:right w:val="nil"/>
            </w:tcBorders>
            <w:shd w:val="clear" w:color="auto" w:fill="auto"/>
            <w:noWrap/>
            <w:vAlign w:val="bottom"/>
            <w:hideMark/>
          </w:tcPr>
          <w:p w14:paraId="180FD2E4"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2 923 898</w:t>
            </w:r>
          </w:p>
        </w:tc>
        <w:tc>
          <w:tcPr>
            <w:tcW w:w="959" w:type="pct"/>
            <w:tcBorders>
              <w:top w:val="nil"/>
              <w:left w:val="nil"/>
              <w:bottom w:val="nil"/>
              <w:right w:val="nil"/>
            </w:tcBorders>
            <w:shd w:val="clear" w:color="auto" w:fill="auto"/>
            <w:noWrap/>
            <w:vAlign w:val="bottom"/>
            <w:hideMark/>
          </w:tcPr>
          <w:p w14:paraId="321A2515"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2 775 478</w:t>
            </w:r>
          </w:p>
        </w:tc>
      </w:tr>
      <w:tr w:rsidR="004566BD" w14:paraId="7F03503C" w14:textId="77777777" w:rsidTr="0061181E">
        <w:trPr>
          <w:trHeight w:val="240"/>
        </w:trPr>
        <w:tc>
          <w:tcPr>
            <w:tcW w:w="3082" w:type="pct"/>
            <w:tcBorders>
              <w:top w:val="nil"/>
              <w:left w:val="nil"/>
              <w:bottom w:val="nil"/>
              <w:right w:val="nil"/>
            </w:tcBorders>
            <w:shd w:val="clear" w:color="auto" w:fill="auto"/>
            <w:noWrap/>
            <w:vAlign w:val="bottom"/>
            <w:hideMark/>
          </w:tcPr>
          <w:p w14:paraId="0E7DFED2" w14:textId="77777777" w:rsidR="004566BD" w:rsidRDefault="004566BD">
            <w:pPr>
              <w:rPr>
                <w:rFonts w:ascii="Calibri Light" w:hAnsi="Calibri Light" w:cs="Calibri Light"/>
                <w:b/>
                <w:bCs/>
                <w:color w:val="000000"/>
                <w:sz w:val="18"/>
                <w:szCs w:val="18"/>
              </w:rPr>
            </w:pPr>
            <w:r>
              <w:rPr>
                <w:rFonts w:ascii="Calibri Light" w:hAnsi="Calibri Light"/>
                <w:b/>
                <w:color w:val="000000"/>
                <w:sz w:val="18"/>
              </w:rPr>
              <w:t>REVENUS</w:t>
            </w:r>
          </w:p>
        </w:tc>
        <w:tc>
          <w:tcPr>
            <w:tcW w:w="959" w:type="pct"/>
            <w:tcBorders>
              <w:top w:val="nil"/>
              <w:left w:val="nil"/>
              <w:bottom w:val="nil"/>
              <w:right w:val="nil"/>
            </w:tcBorders>
            <w:shd w:val="clear" w:color="auto" w:fill="auto"/>
            <w:noWrap/>
            <w:vAlign w:val="bottom"/>
            <w:hideMark/>
          </w:tcPr>
          <w:p w14:paraId="12A57C68"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2 923 898</w:t>
            </w:r>
          </w:p>
        </w:tc>
        <w:tc>
          <w:tcPr>
            <w:tcW w:w="959" w:type="pct"/>
            <w:tcBorders>
              <w:top w:val="nil"/>
              <w:left w:val="nil"/>
              <w:bottom w:val="nil"/>
              <w:right w:val="nil"/>
            </w:tcBorders>
            <w:shd w:val="clear" w:color="auto" w:fill="auto"/>
            <w:noWrap/>
            <w:vAlign w:val="bottom"/>
            <w:hideMark/>
          </w:tcPr>
          <w:p w14:paraId="71A26B82"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2 775 478</w:t>
            </w:r>
          </w:p>
        </w:tc>
      </w:tr>
      <w:tr w:rsidR="004566BD" w14:paraId="6C53B469" w14:textId="77777777" w:rsidTr="0061181E">
        <w:trPr>
          <w:trHeight w:val="240"/>
        </w:trPr>
        <w:tc>
          <w:tcPr>
            <w:tcW w:w="3082" w:type="pct"/>
            <w:tcBorders>
              <w:top w:val="nil"/>
              <w:left w:val="nil"/>
              <w:bottom w:val="nil"/>
              <w:right w:val="nil"/>
            </w:tcBorders>
            <w:shd w:val="clear" w:color="auto" w:fill="auto"/>
            <w:noWrap/>
            <w:vAlign w:val="bottom"/>
            <w:hideMark/>
          </w:tcPr>
          <w:p w14:paraId="3D2A114C" w14:textId="77777777" w:rsidR="004566BD" w:rsidRDefault="004566BD">
            <w:pPr>
              <w:jc w:val="right"/>
              <w:rPr>
                <w:rFonts w:ascii="Calibri Light" w:hAnsi="Calibri Light" w:cs="Calibri Light"/>
                <w:b/>
                <w:bCs/>
                <w:color w:val="000000"/>
                <w:sz w:val="18"/>
                <w:szCs w:val="18"/>
              </w:rPr>
            </w:pPr>
          </w:p>
        </w:tc>
        <w:tc>
          <w:tcPr>
            <w:tcW w:w="959" w:type="pct"/>
            <w:tcBorders>
              <w:top w:val="nil"/>
              <w:left w:val="nil"/>
              <w:bottom w:val="nil"/>
              <w:right w:val="nil"/>
            </w:tcBorders>
            <w:shd w:val="clear" w:color="auto" w:fill="auto"/>
            <w:noWrap/>
            <w:vAlign w:val="bottom"/>
            <w:hideMark/>
          </w:tcPr>
          <w:p w14:paraId="11E6620F" w14:textId="77777777" w:rsidR="004566BD" w:rsidRDefault="004566BD">
            <w:pPr>
              <w:rPr>
                <w:sz w:val="20"/>
                <w:szCs w:val="20"/>
              </w:rPr>
            </w:pPr>
          </w:p>
        </w:tc>
        <w:tc>
          <w:tcPr>
            <w:tcW w:w="959" w:type="pct"/>
            <w:tcBorders>
              <w:top w:val="nil"/>
              <w:left w:val="nil"/>
              <w:bottom w:val="nil"/>
              <w:right w:val="nil"/>
            </w:tcBorders>
            <w:shd w:val="clear" w:color="auto" w:fill="auto"/>
            <w:noWrap/>
            <w:vAlign w:val="bottom"/>
            <w:hideMark/>
          </w:tcPr>
          <w:p w14:paraId="4E4C9DEF" w14:textId="77777777" w:rsidR="004566BD" w:rsidRDefault="004566BD">
            <w:pPr>
              <w:rPr>
                <w:sz w:val="20"/>
                <w:szCs w:val="20"/>
              </w:rPr>
            </w:pPr>
          </w:p>
        </w:tc>
      </w:tr>
      <w:tr w:rsidR="004566BD" w14:paraId="3A7BCC2D" w14:textId="77777777" w:rsidTr="0061181E">
        <w:trPr>
          <w:trHeight w:val="240"/>
        </w:trPr>
        <w:tc>
          <w:tcPr>
            <w:tcW w:w="3082" w:type="pct"/>
            <w:tcBorders>
              <w:top w:val="nil"/>
              <w:left w:val="nil"/>
              <w:bottom w:val="nil"/>
              <w:right w:val="nil"/>
            </w:tcBorders>
            <w:shd w:val="clear" w:color="auto" w:fill="auto"/>
            <w:noWrap/>
            <w:vAlign w:val="bottom"/>
            <w:hideMark/>
          </w:tcPr>
          <w:p w14:paraId="623D1122" w14:textId="77777777" w:rsidR="004566BD" w:rsidRDefault="004566BD">
            <w:pPr>
              <w:rPr>
                <w:rFonts w:ascii="Calibri Light" w:hAnsi="Calibri Light" w:cs="Calibri Light"/>
                <w:color w:val="000000"/>
                <w:sz w:val="18"/>
                <w:szCs w:val="18"/>
              </w:rPr>
            </w:pPr>
            <w:r>
              <w:rPr>
                <w:rFonts w:ascii="Calibri Light" w:hAnsi="Calibri Light"/>
                <w:color w:val="000000"/>
                <w:sz w:val="18"/>
              </w:rPr>
              <w:t>Autres revenus</w:t>
            </w:r>
          </w:p>
        </w:tc>
        <w:tc>
          <w:tcPr>
            <w:tcW w:w="959" w:type="pct"/>
            <w:tcBorders>
              <w:top w:val="nil"/>
              <w:left w:val="nil"/>
              <w:bottom w:val="nil"/>
              <w:right w:val="nil"/>
            </w:tcBorders>
            <w:shd w:val="clear" w:color="auto" w:fill="auto"/>
            <w:noWrap/>
            <w:vAlign w:val="bottom"/>
            <w:hideMark/>
          </w:tcPr>
          <w:p w14:paraId="5BC74241"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46 403</w:t>
            </w:r>
          </w:p>
        </w:tc>
        <w:tc>
          <w:tcPr>
            <w:tcW w:w="959" w:type="pct"/>
            <w:tcBorders>
              <w:top w:val="nil"/>
              <w:left w:val="nil"/>
              <w:bottom w:val="nil"/>
              <w:right w:val="nil"/>
            </w:tcBorders>
            <w:shd w:val="clear" w:color="auto" w:fill="auto"/>
            <w:noWrap/>
            <w:vAlign w:val="bottom"/>
            <w:hideMark/>
          </w:tcPr>
          <w:p w14:paraId="0645AFF4"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40 942</w:t>
            </w:r>
          </w:p>
        </w:tc>
      </w:tr>
      <w:tr w:rsidR="004566BD" w14:paraId="2E012C51" w14:textId="77777777" w:rsidTr="0061181E">
        <w:trPr>
          <w:trHeight w:val="240"/>
        </w:trPr>
        <w:tc>
          <w:tcPr>
            <w:tcW w:w="3082" w:type="pct"/>
            <w:tcBorders>
              <w:top w:val="nil"/>
              <w:left w:val="nil"/>
              <w:bottom w:val="nil"/>
              <w:right w:val="nil"/>
            </w:tcBorders>
            <w:shd w:val="clear" w:color="auto" w:fill="auto"/>
            <w:noWrap/>
            <w:vAlign w:val="bottom"/>
            <w:hideMark/>
          </w:tcPr>
          <w:p w14:paraId="3A54BE74" w14:textId="77777777" w:rsidR="004566BD" w:rsidRDefault="004566BD">
            <w:pPr>
              <w:rPr>
                <w:rFonts w:ascii="Calibri Light" w:hAnsi="Calibri Light" w:cs="Calibri Light"/>
                <w:i/>
                <w:iCs/>
                <w:color w:val="000000"/>
                <w:sz w:val="18"/>
                <w:szCs w:val="18"/>
              </w:rPr>
            </w:pPr>
            <w:proofErr w:type="gramStart"/>
            <w:r>
              <w:rPr>
                <w:rFonts w:ascii="Calibri Light" w:hAnsi="Calibri Light"/>
                <w:i/>
                <w:color w:val="000000"/>
                <w:sz w:val="18"/>
              </w:rPr>
              <w:t>dont</w:t>
            </w:r>
            <w:proofErr w:type="gramEnd"/>
            <w:r>
              <w:rPr>
                <w:rFonts w:ascii="Calibri Light" w:hAnsi="Calibri Light"/>
                <w:i/>
                <w:color w:val="000000"/>
                <w:sz w:val="18"/>
              </w:rPr>
              <w:t xml:space="preserve"> avec des parties liées</w:t>
            </w:r>
          </w:p>
        </w:tc>
        <w:tc>
          <w:tcPr>
            <w:tcW w:w="959" w:type="pct"/>
            <w:tcBorders>
              <w:top w:val="nil"/>
              <w:left w:val="nil"/>
              <w:bottom w:val="nil"/>
              <w:right w:val="nil"/>
            </w:tcBorders>
            <w:shd w:val="clear" w:color="000000" w:fill="FFFFFF"/>
            <w:noWrap/>
            <w:vAlign w:val="bottom"/>
            <w:hideMark/>
          </w:tcPr>
          <w:p w14:paraId="601B3564" w14:textId="77777777" w:rsidR="004566BD" w:rsidRDefault="004566BD">
            <w:pPr>
              <w:rPr>
                <w:rFonts w:ascii="Calibri Light" w:hAnsi="Calibri Light" w:cs="Calibri Light"/>
                <w:i/>
                <w:iCs/>
                <w:color w:val="000000"/>
                <w:sz w:val="18"/>
                <w:szCs w:val="18"/>
              </w:rPr>
            </w:pPr>
            <w:r>
              <w:rPr>
                <w:rFonts w:ascii="Calibri Light" w:hAnsi="Calibri Light"/>
                <w:i/>
                <w:color w:val="000000"/>
                <w:sz w:val="18"/>
              </w:rPr>
              <w:t> </w:t>
            </w:r>
          </w:p>
        </w:tc>
        <w:tc>
          <w:tcPr>
            <w:tcW w:w="959" w:type="pct"/>
            <w:tcBorders>
              <w:top w:val="nil"/>
              <w:left w:val="nil"/>
              <w:bottom w:val="nil"/>
              <w:right w:val="nil"/>
            </w:tcBorders>
            <w:shd w:val="clear" w:color="000000" w:fill="FFFFFF"/>
            <w:noWrap/>
            <w:vAlign w:val="bottom"/>
            <w:hideMark/>
          </w:tcPr>
          <w:p w14:paraId="0EDC2196" w14:textId="77777777" w:rsidR="004566BD" w:rsidRDefault="004566BD">
            <w:pPr>
              <w:rPr>
                <w:rFonts w:ascii="Calibri Light" w:hAnsi="Calibri Light" w:cs="Calibri Light"/>
                <w:i/>
                <w:iCs/>
                <w:color w:val="000000"/>
                <w:sz w:val="18"/>
                <w:szCs w:val="18"/>
              </w:rPr>
            </w:pPr>
            <w:r>
              <w:rPr>
                <w:rFonts w:ascii="Calibri Light" w:hAnsi="Calibri Light"/>
                <w:i/>
                <w:color w:val="000000"/>
                <w:sz w:val="18"/>
              </w:rPr>
              <w:t> </w:t>
            </w:r>
          </w:p>
        </w:tc>
      </w:tr>
      <w:tr w:rsidR="004566BD" w14:paraId="39E42FC1" w14:textId="77777777" w:rsidTr="0061181E">
        <w:trPr>
          <w:trHeight w:val="240"/>
        </w:trPr>
        <w:tc>
          <w:tcPr>
            <w:tcW w:w="3082" w:type="pct"/>
            <w:tcBorders>
              <w:top w:val="nil"/>
              <w:left w:val="nil"/>
              <w:bottom w:val="nil"/>
              <w:right w:val="nil"/>
            </w:tcBorders>
            <w:shd w:val="clear" w:color="auto" w:fill="auto"/>
            <w:noWrap/>
            <w:vAlign w:val="bottom"/>
            <w:hideMark/>
          </w:tcPr>
          <w:p w14:paraId="7E0DFB6F" w14:textId="77777777" w:rsidR="004566BD" w:rsidRDefault="004566BD">
            <w:pPr>
              <w:rPr>
                <w:rFonts w:ascii="Calibri Light" w:hAnsi="Calibri Light" w:cs="Calibri Light"/>
                <w:i/>
                <w:iCs/>
                <w:color w:val="000000"/>
                <w:sz w:val="18"/>
                <w:szCs w:val="18"/>
              </w:rPr>
            </w:pPr>
          </w:p>
        </w:tc>
        <w:tc>
          <w:tcPr>
            <w:tcW w:w="959" w:type="pct"/>
            <w:tcBorders>
              <w:top w:val="nil"/>
              <w:left w:val="nil"/>
              <w:bottom w:val="nil"/>
              <w:right w:val="nil"/>
            </w:tcBorders>
            <w:shd w:val="clear" w:color="auto" w:fill="auto"/>
            <w:noWrap/>
            <w:vAlign w:val="bottom"/>
            <w:hideMark/>
          </w:tcPr>
          <w:p w14:paraId="7973D39F" w14:textId="77777777" w:rsidR="004566BD" w:rsidRDefault="004566BD">
            <w:pPr>
              <w:rPr>
                <w:sz w:val="20"/>
                <w:szCs w:val="20"/>
              </w:rPr>
            </w:pPr>
          </w:p>
        </w:tc>
        <w:tc>
          <w:tcPr>
            <w:tcW w:w="959" w:type="pct"/>
            <w:tcBorders>
              <w:top w:val="nil"/>
              <w:left w:val="nil"/>
              <w:bottom w:val="nil"/>
              <w:right w:val="nil"/>
            </w:tcBorders>
            <w:shd w:val="clear" w:color="auto" w:fill="auto"/>
            <w:noWrap/>
            <w:vAlign w:val="bottom"/>
            <w:hideMark/>
          </w:tcPr>
          <w:p w14:paraId="6B8A762B" w14:textId="77777777" w:rsidR="004566BD" w:rsidRDefault="004566BD">
            <w:pPr>
              <w:rPr>
                <w:sz w:val="20"/>
                <w:szCs w:val="20"/>
              </w:rPr>
            </w:pPr>
          </w:p>
        </w:tc>
      </w:tr>
      <w:tr w:rsidR="004566BD" w14:paraId="5A1BB43C" w14:textId="77777777" w:rsidTr="0061181E">
        <w:trPr>
          <w:trHeight w:val="240"/>
        </w:trPr>
        <w:tc>
          <w:tcPr>
            <w:tcW w:w="3082" w:type="pct"/>
            <w:tcBorders>
              <w:top w:val="nil"/>
              <w:left w:val="nil"/>
              <w:bottom w:val="nil"/>
              <w:right w:val="nil"/>
            </w:tcBorders>
            <w:shd w:val="clear" w:color="auto" w:fill="auto"/>
            <w:noWrap/>
            <w:vAlign w:val="bottom"/>
            <w:hideMark/>
          </w:tcPr>
          <w:p w14:paraId="0208DAC1" w14:textId="77777777" w:rsidR="004566BD" w:rsidRDefault="004566BD">
            <w:pPr>
              <w:rPr>
                <w:rFonts w:ascii="Calibri Light" w:hAnsi="Calibri Light" w:cs="Calibri Light"/>
                <w:color w:val="000000"/>
                <w:sz w:val="18"/>
                <w:szCs w:val="18"/>
              </w:rPr>
            </w:pPr>
            <w:r>
              <w:rPr>
                <w:rFonts w:ascii="Calibri Light" w:hAnsi="Calibri Light"/>
                <w:color w:val="000000"/>
                <w:sz w:val="18"/>
              </w:rPr>
              <w:t>Coûts des matières premières et consommables</w:t>
            </w:r>
          </w:p>
        </w:tc>
        <w:tc>
          <w:tcPr>
            <w:tcW w:w="959" w:type="pct"/>
            <w:tcBorders>
              <w:top w:val="nil"/>
              <w:left w:val="nil"/>
              <w:bottom w:val="nil"/>
              <w:right w:val="nil"/>
            </w:tcBorders>
            <w:shd w:val="clear" w:color="auto" w:fill="auto"/>
            <w:noWrap/>
            <w:vAlign w:val="bottom"/>
            <w:hideMark/>
          </w:tcPr>
          <w:p w14:paraId="28BCD736"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(1 173 957)</w:t>
            </w:r>
          </w:p>
        </w:tc>
        <w:tc>
          <w:tcPr>
            <w:tcW w:w="959" w:type="pct"/>
            <w:tcBorders>
              <w:top w:val="nil"/>
              <w:left w:val="nil"/>
              <w:bottom w:val="nil"/>
              <w:right w:val="nil"/>
            </w:tcBorders>
            <w:shd w:val="clear" w:color="auto" w:fill="auto"/>
            <w:noWrap/>
            <w:vAlign w:val="bottom"/>
            <w:hideMark/>
          </w:tcPr>
          <w:p w14:paraId="6F98F5D4"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(2 120 061)</w:t>
            </w:r>
          </w:p>
        </w:tc>
      </w:tr>
      <w:tr w:rsidR="004566BD" w14:paraId="4D49D1CD" w14:textId="77777777" w:rsidTr="0061181E">
        <w:trPr>
          <w:trHeight w:val="240"/>
        </w:trPr>
        <w:tc>
          <w:tcPr>
            <w:tcW w:w="3082" w:type="pct"/>
            <w:tcBorders>
              <w:top w:val="nil"/>
              <w:left w:val="nil"/>
              <w:bottom w:val="nil"/>
              <w:right w:val="nil"/>
            </w:tcBorders>
            <w:shd w:val="clear" w:color="auto" w:fill="auto"/>
            <w:noWrap/>
            <w:vAlign w:val="bottom"/>
            <w:hideMark/>
          </w:tcPr>
          <w:p w14:paraId="73DE4320" w14:textId="77777777" w:rsidR="004566BD" w:rsidRDefault="004566BD">
            <w:pPr>
              <w:rPr>
                <w:rFonts w:ascii="Calibri Light" w:hAnsi="Calibri Light" w:cs="Calibri Light"/>
                <w:color w:val="000000"/>
                <w:sz w:val="18"/>
                <w:szCs w:val="18"/>
              </w:rPr>
            </w:pPr>
            <w:r>
              <w:rPr>
                <w:rFonts w:ascii="Calibri Light" w:hAnsi="Calibri Light"/>
                <w:color w:val="000000"/>
                <w:sz w:val="18"/>
              </w:rPr>
              <w:t>Coûts de services</w:t>
            </w:r>
          </w:p>
        </w:tc>
        <w:tc>
          <w:tcPr>
            <w:tcW w:w="959" w:type="pct"/>
            <w:tcBorders>
              <w:top w:val="nil"/>
              <w:left w:val="nil"/>
              <w:bottom w:val="nil"/>
              <w:right w:val="nil"/>
            </w:tcBorders>
            <w:shd w:val="clear" w:color="auto" w:fill="auto"/>
            <w:noWrap/>
            <w:vAlign w:val="bottom"/>
            <w:hideMark/>
          </w:tcPr>
          <w:p w14:paraId="30C220F5"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(154 579)</w:t>
            </w:r>
          </w:p>
        </w:tc>
        <w:tc>
          <w:tcPr>
            <w:tcW w:w="959" w:type="pct"/>
            <w:tcBorders>
              <w:top w:val="nil"/>
              <w:left w:val="nil"/>
              <w:bottom w:val="nil"/>
              <w:right w:val="nil"/>
            </w:tcBorders>
            <w:shd w:val="clear" w:color="auto" w:fill="auto"/>
            <w:noWrap/>
            <w:vAlign w:val="bottom"/>
            <w:hideMark/>
          </w:tcPr>
          <w:p w14:paraId="22771413"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(87 549)</w:t>
            </w:r>
          </w:p>
        </w:tc>
      </w:tr>
      <w:tr w:rsidR="004566BD" w14:paraId="3EFE70E7" w14:textId="77777777" w:rsidTr="0061181E">
        <w:trPr>
          <w:trHeight w:val="240"/>
        </w:trPr>
        <w:tc>
          <w:tcPr>
            <w:tcW w:w="3082" w:type="pct"/>
            <w:tcBorders>
              <w:top w:val="nil"/>
              <w:left w:val="nil"/>
              <w:bottom w:val="nil"/>
              <w:right w:val="nil"/>
            </w:tcBorders>
            <w:shd w:val="clear" w:color="auto" w:fill="auto"/>
            <w:noWrap/>
            <w:vAlign w:val="bottom"/>
            <w:hideMark/>
          </w:tcPr>
          <w:p w14:paraId="24028874" w14:textId="77777777" w:rsidR="004566BD" w:rsidRDefault="004566BD">
            <w:pPr>
              <w:rPr>
                <w:rFonts w:ascii="Calibri Light" w:hAnsi="Calibri Light" w:cs="Calibri Light"/>
                <w:color w:val="000000"/>
                <w:sz w:val="18"/>
                <w:szCs w:val="18"/>
              </w:rPr>
            </w:pPr>
            <w:r>
              <w:rPr>
                <w:rFonts w:ascii="Calibri Light" w:hAnsi="Calibri Light"/>
                <w:color w:val="000000"/>
                <w:sz w:val="18"/>
              </w:rPr>
              <w:t>Charges de personnel</w:t>
            </w:r>
          </w:p>
        </w:tc>
        <w:tc>
          <w:tcPr>
            <w:tcW w:w="959" w:type="pct"/>
            <w:tcBorders>
              <w:top w:val="nil"/>
              <w:left w:val="nil"/>
              <w:bottom w:val="nil"/>
              <w:right w:val="nil"/>
            </w:tcBorders>
            <w:shd w:val="clear" w:color="auto" w:fill="auto"/>
            <w:noWrap/>
            <w:vAlign w:val="bottom"/>
            <w:hideMark/>
          </w:tcPr>
          <w:p w14:paraId="1039A1F6"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(292 657)</w:t>
            </w:r>
          </w:p>
        </w:tc>
        <w:tc>
          <w:tcPr>
            <w:tcW w:w="959" w:type="pct"/>
            <w:tcBorders>
              <w:top w:val="nil"/>
              <w:left w:val="nil"/>
              <w:bottom w:val="nil"/>
              <w:right w:val="nil"/>
            </w:tcBorders>
            <w:shd w:val="clear" w:color="auto" w:fill="auto"/>
            <w:noWrap/>
            <w:vAlign w:val="bottom"/>
            <w:hideMark/>
          </w:tcPr>
          <w:p w14:paraId="0E07095A"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(215 138)</w:t>
            </w:r>
          </w:p>
        </w:tc>
      </w:tr>
      <w:tr w:rsidR="004566BD" w14:paraId="50E6B796" w14:textId="77777777" w:rsidTr="0061181E">
        <w:trPr>
          <w:trHeight w:val="240"/>
        </w:trPr>
        <w:tc>
          <w:tcPr>
            <w:tcW w:w="3082" w:type="pct"/>
            <w:tcBorders>
              <w:top w:val="nil"/>
              <w:left w:val="nil"/>
              <w:bottom w:val="nil"/>
              <w:right w:val="nil"/>
            </w:tcBorders>
            <w:shd w:val="clear" w:color="auto" w:fill="auto"/>
            <w:noWrap/>
            <w:vAlign w:val="bottom"/>
            <w:hideMark/>
          </w:tcPr>
          <w:p w14:paraId="423E1207" w14:textId="77777777" w:rsidR="004566BD" w:rsidRDefault="004566BD">
            <w:pPr>
              <w:rPr>
                <w:rFonts w:ascii="Calibri Light" w:hAnsi="Calibri Light" w:cs="Calibri Light"/>
                <w:color w:val="000000"/>
                <w:sz w:val="18"/>
                <w:szCs w:val="18"/>
              </w:rPr>
            </w:pPr>
            <w:r>
              <w:rPr>
                <w:rFonts w:ascii="Calibri Light" w:hAnsi="Calibri Light"/>
                <w:color w:val="000000"/>
                <w:sz w:val="18"/>
              </w:rPr>
              <w:t>Autres coûts d’exploitation</w:t>
            </w:r>
          </w:p>
        </w:tc>
        <w:tc>
          <w:tcPr>
            <w:tcW w:w="959" w:type="pct"/>
            <w:tcBorders>
              <w:top w:val="nil"/>
              <w:left w:val="nil"/>
              <w:bottom w:val="nil"/>
              <w:right w:val="nil"/>
            </w:tcBorders>
            <w:shd w:val="clear" w:color="auto" w:fill="auto"/>
            <w:noWrap/>
            <w:vAlign w:val="bottom"/>
            <w:hideMark/>
          </w:tcPr>
          <w:p w14:paraId="624674A7"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(21 572)</w:t>
            </w:r>
          </w:p>
        </w:tc>
        <w:tc>
          <w:tcPr>
            <w:tcW w:w="959" w:type="pct"/>
            <w:tcBorders>
              <w:top w:val="nil"/>
              <w:left w:val="nil"/>
              <w:bottom w:val="nil"/>
              <w:right w:val="nil"/>
            </w:tcBorders>
            <w:shd w:val="clear" w:color="auto" w:fill="auto"/>
            <w:noWrap/>
            <w:vAlign w:val="bottom"/>
            <w:hideMark/>
          </w:tcPr>
          <w:p w14:paraId="43F609E7"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(1 783)</w:t>
            </w:r>
          </w:p>
        </w:tc>
      </w:tr>
      <w:tr w:rsidR="004566BD" w14:paraId="628C6A9E" w14:textId="77777777" w:rsidTr="0061181E">
        <w:trPr>
          <w:trHeight w:val="240"/>
        </w:trPr>
        <w:tc>
          <w:tcPr>
            <w:tcW w:w="3082" w:type="pct"/>
            <w:tcBorders>
              <w:top w:val="nil"/>
              <w:left w:val="nil"/>
              <w:bottom w:val="nil"/>
              <w:right w:val="nil"/>
            </w:tcBorders>
            <w:shd w:val="clear" w:color="auto" w:fill="auto"/>
            <w:noWrap/>
            <w:vAlign w:val="bottom"/>
            <w:hideMark/>
          </w:tcPr>
          <w:p w14:paraId="3E1DD913" w14:textId="77777777" w:rsidR="004566BD" w:rsidRDefault="004566BD">
            <w:pPr>
              <w:rPr>
                <w:rFonts w:ascii="Calibri Light" w:hAnsi="Calibri Light" w:cs="Calibri Light"/>
                <w:color w:val="000000"/>
                <w:sz w:val="18"/>
                <w:szCs w:val="18"/>
              </w:rPr>
            </w:pPr>
            <w:r>
              <w:rPr>
                <w:rFonts w:ascii="Calibri Light" w:hAnsi="Calibri Light"/>
                <w:color w:val="000000"/>
                <w:sz w:val="18"/>
              </w:rPr>
              <w:t xml:space="preserve">Amortissements et dépréciations </w:t>
            </w:r>
          </w:p>
        </w:tc>
        <w:tc>
          <w:tcPr>
            <w:tcW w:w="959" w:type="pct"/>
            <w:tcBorders>
              <w:top w:val="nil"/>
              <w:left w:val="nil"/>
              <w:bottom w:val="nil"/>
              <w:right w:val="nil"/>
            </w:tcBorders>
            <w:shd w:val="clear" w:color="auto" w:fill="auto"/>
            <w:noWrap/>
            <w:vAlign w:val="bottom"/>
            <w:hideMark/>
          </w:tcPr>
          <w:p w14:paraId="1A1D70BE"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(62 144)</w:t>
            </w:r>
          </w:p>
        </w:tc>
        <w:tc>
          <w:tcPr>
            <w:tcW w:w="959" w:type="pct"/>
            <w:tcBorders>
              <w:top w:val="nil"/>
              <w:left w:val="nil"/>
              <w:bottom w:val="nil"/>
              <w:right w:val="nil"/>
            </w:tcBorders>
            <w:shd w:val="clear" w:color="auto" w:fill="auto"/>
            <w:noWrap/>
            <w:vAlign w:val="bottom"/>
            <w:hideMark/>
          </w:tcPr>
          <w:p w14:paraId="767ADD65"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(60 792)</w:t>
            </w:r>
          </w:p>
        </w:tc>
      </w:tr>
      <w:tr w:rsidR="004566BD" w14:paraId="116BDACA" w14:textId="77777777" w:rsidTr="0061181E">
        <w:trPr>
          <w:trHeight w:val="240"/>
        </w:trPr>
        <w:tc>
          <w:tcPr>
            <w:tcW w:w="3082" w:type="pct"/>
            <w:tcBorders>
              <w:top w:val="nil"/>
              <w:left w:val="nil"/>
              <w:bottom w:val="nil"/>
              <w:right w:val="nil"/>
            </w:tcBorders>
            <w:shd w:val="clear" w:color="auto" w:fill="auto"/>
            <w:noWrap/>
            <w:vAlign w:val="bottom"/>
            <w:hideMark/>
          </w:tcPr>
          <w:p w14:paraId="3FE32436" w14:textId="77777777" w:rsidR="004566BD" w:rsidRDefault="004566BD">
            <w:pPr>
              <w:rPr>
                <w:rFonts w:ascii="Calibri Light" w:hAnsi="Calibri Light" w:cs="Calibri Light"/>
                <w:b/>
                <w:bCs/>
                <w:color w:val="000000"/>
                <w:sz w:val="18"/>
                <w:szCs w:val="18"/>
              </w:rPr>
            </w:pPr>
            <w:r>
              <w:rPr>
                <w:rFonts w:ascii="Calibri Light" w:hAnsi="Calibri Light"/>
                <w:b/>
                <w:color w:val="000000"/>
                <w:sz w:val="18"/>
              </w:rPr>
              <w:t>RÉSULTAT D’EXPLOITATION</w:t>
            </w:r>
          </w:p>
        </w:tc>
        <w:tc>
          <w:tcPr>
            <w:tcW w:w="959" w:type="pct"/>
            <w:tcBorders>
              <w:top w:val="single" w:sz="4" w:space="0" w:color="auto"/>
              <w:left w:val="nil"/>
              <w:bottom w:val="nil"/>
              <w:right w:val="nil"/>
            </w:tcBorders>
            <w:shd w:val="clear" w:color="auto" w:fill="auto"/>
            <w:noWrap/>
            <w:vAlign w:val="bottom"/>
            <w:hideMark/>
          </w:tcPr>
          <w:p w14:paraId="07F10C47"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1 265 393</w:t>
            </w:r>
          </w:p>
        </w:tc>
        <w:tc>
          <w:tcPr>
            <w:tcW w:w="959" w:type="pct"/>
            <w:tcBorders>
              <w:top w:val="single" w:sz="4" w:space="0" w:color="auto"/>
              <w:left w:val="nil"/>
              <w:bottom w:val="nil"/>
              <w:right w:val="nil"/>
            </w:tcBorders>
            <w:shd w:val="clear" w:color="auto" w:fill="auto"/>
            <w:noWrap/>
            <w:vAlign w:val="bottom"/>
            <w:hideMark/>
          </w:tcPr>
          <w:p w14:paraId="4570BF68"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331 096</w:t>
            </w:r>
          </w:p>
        </w:tc>
      </w:tr>
      <w:tr w:rsidR="004566BD" w14:paraId="18FAAE79" w14:textId="77777777" w:rsidTr="0061181E">
        <w:trPr>
          <w:trHeight w:val="240"/>
        </w:trPr>
        <w:tc>
          <w:tcPr>
            <w:tcW w:w="3082" w:type="pct"/>
            <w:tcBorders>
              <w:top w:val="nil"/>
              <w:left w:val="nil"/>
              <w:bottom w:val="nil"/>
              <w:right w:val="nil"/>
            </w:tcBorders>
            <w:shd w:val="clear" w:color="auto" w:fill="auto"/>
            <w:noWrap/>
            <w:vAlign w:val="bottom"/>
            <w:hideMark/>
          </w:tcPr>
          <w:p w14:paraId="71B54156" w14:textId="77777777" w:rsidR="004566BD" w:rsidRDefault="004566BD">
            <w:pPr>
              <w:rPr>
                <w:rFonts w:ascii="Calibri Light" w:hAnsi="Calibri Light" w:cs="Calibri Light"/>
                <w:color w:val="000000"/>
                <w:sz w:val="18"/>
                <w:szCs w:val="18"/>
              </w:rPr>
            </w:pPr>
            <w:r>
              <w:rPr>
                <w:rFonts w:ascii="Calibri Light" w:hAnsi="Calibri Light"/>
                <w:color w:val="000000"/>
                <w:sz w:val="18"/>
              </w:rPr>
              <w:t>Charges financières</w:t>
            </w:r>
          </w:p>
        </w:tc>
        <w:tc>
          <w:tcPr>
            <w:tcW w:w="959" w:type="pct"/>
            <w:tcBorders>
              <w:top w:val="nil"/>
              <w:left w:val="nil"/>
              <w:bottom w:val="nil"/>
              <w:right w:val="nil"/>
            </w:tcBorders>
            <w:shd w:val="clear" w:color="auto" w:fill="auto"/>
            <w:noWrap/>
            <w:vAlign w:val="bottom"/>
            <w:hideMark/>
          </w:tcPr>
          <w:p w14:paraId="519864CC"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(99 316)</w:t>
            </w:r>
          </w:p>
        </w:tc>
        <w:tc>
          <w:tcPr>
            <w:tcW w:w="959" w:type="pct"/>
            <w:tcBorders>
              <w:top w:val="nil"/>
              <w:left w:val="nil"/>
              <w:bottom w:val="nil"/>
              <w:right w:val="nil"/>
            </w:tcBorders>
            <w:shd w:val="clear" w:color="auto" w:fill="auto"/>
            <w:noWrap/>
            <w:vAlign w:val="bottom"/>
            <w:hideMark/>
          </w:tcPr>
          <w:p w14:paraId="5E5FB6F5"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(35 482)</w:t>
            </w:r>
          </w:p>
        </w:tc>
      </w:tr>
      <w:tr w:rsidR="004566BD" w14:paraId="4731C032" w14:textId="77777777" w:rsidTr="0061181E">
        <w:trPr>
          <w:trHeight w:val="240"/>
        </w:trPr>
        <w:tc>
          <w:tcPr>
            <w:tcW w:w="3082" w:type="pct"/>
            <w:tcBorders>
              <w:top w:val="nil"/>
              <w:left w:val="nil"/>
              <w:bottom w:val="nil"/>
              <w:right w:val="nil"/>
            </w:tcBorders>
            <w:shd w:val="clear" w:color="auto" w:fill="auto"/>
            <w:noWrap/>
            <w:vAlign w:val="bottom"/>
            <w:hideMark/>
          </w:tcPr>
          <w:p w14:paraId="640406C9" w14:textId="77777777" w:rsidR="004566BD" w:rsidRDefault="004566BD">
            <w:pPr>
              <w:rPr>
                <w:rFonts w:ascii="Calibri Light" w:hAnsi="Calibri Light" w:cs="Calibri Light"/>
                <w:color w:val="000000"/>
                <w:sz w:val="18"/>
                <w:szCs w:val="18"/>
              </w:rPr>
            </w:pPr>
            <w:r>
              <w:rPr>
                <w:rFonts w:ascii="Calibri Light" w:hAnsi="Calibri Light"/>
                <w:color w:val="000000"/>
                <w:sz w:val="18"/>
              </w:rPr>
              <w:t>Produits financiers</w:t>
            </w:r>
          </w:p>
        </w:tc>
        <w:tc>
          <w:tcPr>
            <w:tcW w:w="959" w:type="pct"/>
            <w:tcBorders>
              <w:top w:val="nil"/>
              <w:left w:val="nil"/>
              <w:bottom w:val="single" w:sz="4" w:space="0" w:color="auto"/>
              <w:right w:val="nil"/>
            </w:tcBorders>
            <w:shd w:val="clear" w:color="auto" w:fill="auto"/>
            <w:noWrap/>
            <w:vAlign w:val="bottom"/>
            <w:hideMark/>
          </w:tcPr>
          <w:p w14:paraId="09853B05"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2 787</w:t>
            </w:r>
          </w:p>
        </w:tc>
        <w:tc>
          <w:tcPr>
            <w:tcW w:w="959" w:type="pct"/>
            <w:tcBorders>
              <w:top w:val="nil"/>
              <w:left w:val="nil"/>
              <w:bottom w:val="single" w:sz="4" w:space="0" w:color="auto"/>
              <w:right w:val="nil"/>
            </w:tcBorders>
            <w:shd w:val="clear" w:color="auto" w:fill="auto"/>
            <w:noWrap/>
            <w:vAlign w:val="bottom"/>
            <w:hideMark/>
          </w:tcPr>
          <w:p w14:paraId="5735D4CE"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1 932</w:t>
            </w:r>
          </w:p>
        </w:tc>
      </w:tr>
      <w:tr w:rsidR="004566BD" w14:paraId="1E807D48" w14:textId="77777777" w:rsidTr="0061181E">
        <w:trPr>
          <w:trHeight w:val="240"/>
        </w:trPr>
        <w:tc>
          <w:tcPr>
            <w:tcW w:w="3082" w:type="pct"/>
            <w:tcBorders>
              <w:top w:val="nil"/>
              <w:left w:val="nil"/>
              <w:bottom w:val="nil"/>
              <w:right w:val="nil"/>
            </w:tcBorders>
            <w:shd w:val="clear" w:color="auto" w:fill="auto"/>
            <w:noWrap/>
            <w:vAlign w:val="bottom"/>
            <w:hideMark/>
          </w:tcPr>
          <w:p w14:paraId="5AA72471" w14:textId="77777777" w:rsidR="004566BD" w:rsidRDefault="004566BD">
            <w:pPr>
              <w:rPr>
                <w:rFonts w:ascii="Calibri Light" w:hAnsi="Calibri Light" w:cs="Calibri Light"/>
                <w:b/>
                <w:bCs/>
                <w:color w:val="000000"/>
                <w:sz w:val="18"/>
                <w:szCs w:val="18"/>
              </w:rPr>
            </w:pPr>
            <w:r>
              <w:rPr>
                <w:rFonts w:ascii="Calibri Light" w:hAnsi="Calibri Light"/>
                <w:b/>
                <w:color w:val="000000"/>
                <w:sz w:val="18"/>
              </w:rPr>
              <w:t>RÉSULTAT AVANT IMPÔT DES ACTIVITÉS D'EXPLOITATION</w:t>
            </w:r>
          </w:p>
        </w:tc>
        <w:tc>
          <w:tcPr>
            <w:tcW w:w="959" w:type="pct"/>
            <w:tcBorders>
              <w:top w:val="nil"/>
              <w:left w:val="nil"/>
              <w:bottom w:val="nil"/>
              <w:right w:val="nil"/>
            </w:tcBorders>
            <w:shd w:val="clear" w:color="auto" w:fill="auto"/>
            <w:noWrap/>
            <w:vAlign w:val="bottom"/>
            <w:hideMark/>
          </w:tcPr>
          <w:p w14:paraId="592DDA91"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1 168 864</w:t>
            </w:r>
          </w:p>
        </w:tc>
        <w:tc>
          <w:tcPr>
            <w:tcW w:w="959" w:type="pct"/>
            <w:tcBorders>
              <w:top w:val="nil"/>
              <w:left w:val="nil"/>
              <w:bottom w:val="nil"/>
              <w:right w:val="nil"/>
            </w:tcBorders>
            <w:shd w:val="clear" w:color="auto" w:fill="auto"/>
            <w:noWrap/>
            <w:vAlign w:val="bottom"/>
            <w:hideMark/>
          </w:tcPr>
          <w:p w14:paraId="4F26CC82"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297 546</w:t>
            </w:r>
          </w:p>
        </w:tc>
      </w:tr>
      <w:tr w:rsidR="004566BD" w14:paraId="2FB795B9" w14:textId="77777777" w:rsidTr="0061181E">
        <w:trPr>
          <w:trHeight w:val="240"/>
        </w:trPr>
        <w:tc>
          <w:tcPr>
            <w:tcW w:w="3082" w:type="pct"/>
            <w:tcBorders>
              <w:top w:val="nil"/>
              <w:left w:val="nil"/>
              <w:bottom w:val="nil"/>
              <w:right w:val="nil"/>
            </w:tcBorders>
            <w:shd w:val="clear" w:color="auto" w:fill="auto"/>
            <w:noWrap/>
            <w:vAlign w:val="bottom"/>
            <w:hideMark/>
          </w:tcPr>
          <w:p w14:paraId="4252F5C5" w14:textId="77777777" w:rsidR="004566BD" w:rsidRDefault="004566BD">
            <w:pPr>
              <w:jc w:val="right"/>
              <w:rPr>
                <w:rFonts w:ascii="Calibri Light" w:hAnsi="Calibri Light" w:cs="Calibri Light"/>
                <w:b/>
                <w:bCs/>
                <w:color w:val="000000"/>
                <w:sz w:val="18"/>
                <w:szCs w:val="18"/>
              </w:rPr>
            </w:pPr>
          </w:p>
        </w:tc>
        <w:tc>
          <w:tcPr>
            <w:tcW w:w="959" w:type="pct"/>
            <w:tcBorders>
              <w:top w:val="nil"/>
              <w:left w:val="nil"/>
              <w:bottom w:val="nil"/>
              <w:right w:val="nil"/>
            </w:tcBorders>
            <w:shd w:val="clear" w:color="auto" w:fill="auto"/>
            <w:noWrap/>
            <w:vAlign w:val="bottom"/>
            <w:hideMark/>
          </w:tcPr>
          <w:p w14:paraId="03AB4C67" w14:textId="77777777" w:rsidR="004566BD" w:rsidRDefault="004566BD">
            <w:pPr>
              <w:rPr>
                <w:sz w:val="20"/>
                <w:szCs w:val="20"/>
              </w:rPr>
            </w:pPr>
          </w:p>
        </w:tc>
        <w:tc>
          <w:tcPr>
            <w:tcW w:w="959" w:type="pct"/>
            <w:tcBorders>
              <w:top w:val="nil"/>
              <w:left w:val="nil"/>
              <w:bottom w:val="nil"/>
              <w:right w:val="nil"/>
            </w:tcBorders>
            <w:shd w:val="clear" w:color="auto" w:fill="auto"/>
            <w:noWrap/>
            <w:vAlign w:val="bottom"/>
            <w:hideMark/>
          </w:tcPr>
          <w:p w14:paraId="5D9EC9FB" w14:textId="77777777" w:rsidR="004566BD" w:rsidRDefault="004566BD">
            <w:pPr>
              <w:rPr>
                <w:sz w:val="20"/>
                <w:szCs w:val="20"/>
              </w:rPr>
            </w:pPr>
          </w:p>
        </w:tc>
      </w:tr>
      <w:tr w:rsidR="004566BD" w14:paraId="5D478929" w14:textId="77777777" w:rsidTr="0061181E">
        <w:trPr>
          <w:trHeight w:val="240"/>
        </w:trPr>
        <w:tc>
          <w:tcPr>
            <w:tcW w:w="3082" w:type="pct"/>
            <w:tcBorders>
              <w:top w:val="nil"/>
              <w:left w:val="nil"/>
              <w:bottom w:val="nil"/>
              <w:right w:val="nil"/>
            </w:tcBorders>
            <w:shd w:val="clear" w:color="auto" w:fill="auto"/>
            <w:noWrap/>
            <w:vAlign w:val="bottom"/>
            <w:hideMark/>
          </w:tcPr>
          <w:p w14:paraId="30F7B77E" w14:textId="77777777" w:rsidR="004566BD" w:rsidRDefault="004566BD">
            <w:pPr>
              <w:rPr>
                <w:rFonts w:ascii="Calibri Light" w:hAnsi="Calibri Light" w:cs="Calibri Light"/>
                <w:sz w:val="18"/>
                <w:szCs w:val="18"/>
              </w:rPr>
            </w:pPr>
            <w:r>
              <w:rPr>
                <w:rFonts w:ascii="Calibri Light" w:hAnsi="Calibri Light"/>
                <w:sz w:val="18"/>
              </w:rPr>
              <w:t>Impôts sur le revenu</w:t>
            </w:r>
          </w:p>
        </w:tc>
        <w:tc>
          <w:tcPr>
            <w:tcW w:w="959" w:type="pct"/>
            <w:tcBorders>
              <w:top w:val="nil"/>
              <w:left w:val="nil"/>
              <w:bottom w:val="nil"/>
              <w:right w:val="nil"/>
            </w:tcBorders>
            <w:shd w:val="clear" w:color="auto" w:fill="auto"/>
            <w:noWrap/>
            <w:vAlign w:val="bottom"/>
            <w:hideMark/>
          </w:tcPr>
          <w:p w14:paraId="2A473C15"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(255 748)</w:t>
            </w:r>
          </w:p>
        </w:tc>
        <w:tc>
          <w:tcPr>
            <w:tcW w:w="959" w:type="pct"/>
            <w:tcBorders>
              <w:top w:val="nil"/>
              <w:left w:val="nil"/>
              <w:bottom w:val="nil"/>
              <w:right w:val="nil"/>
            </w:tcBorders>
            <w:shd w:val="clear" w:color="auto" w:fill="auto"/>
            <w:noWrap/>
            <w:vAlign w:val="bottom"/>
            <w:hideMark/>
          </w:tcPr>
          <w:p w14:paraId="09D8CD45" w14:textId="77777777" w:rsidR="004566BD" w:rsidRDefault="004566BD">
            <w:pPr>
              <w:jc w:val="right"/>
              <w:rPr>
                <w:rFonts w:ascii="Calibri Light" w:hAnsi="Calibri Light" w:cs="Calibri Light"/>
                <w:color w:val="000000"/>
                <w:sz w:val="18"/>
                <w:szCs w:val="18"/>
              </w:rPr>
            </w:pPr>
            <w:r>
              <w:rPr>
                <w:rFonts w:ascii="Calibri Light" w:hAnsi="Calibri Light"/>
                <w:color w:val="000000"/>
                <w:sz w:val="18"/>
              </w:rPr>
              <w:t>(85 753)</w:t>
            </w:r>
          </w:p>
        </w:tc>
      </w:tr>
      <w:tr w:rsidR="004566BD" w14:paraId="3DA2B8DA" w14:textId="77777777" w:rsidTr="0061181E">
        <w:trPr>
          <w:trHeight w:val="255"/>
        </w:trPr>
        <w:tc>
          <w:tcPr>
            <w:tcW w:w="3082" w:type="pct"/>
            <w:tcBorders>
              <w:top w:val="nil"/>
              <w:left w:val="nil"/>
              <w:bottom w:val="nil"/>
              <w:right w:val="nil"/>
            </w:tcBorders>
            <w:shd w:val="clear" w:color="auto" w:fill="auto"/>
            <w:noWrap/>
            <w:vAlign w:val="bottom"/>
            <w:hideMark/>
          </w:tcPr>
          <w:p w14:paraId="1C65D379" w14:textId="77777777" w:rsidR="004566BD" w:rsidRDefault="004566BD">
            <w:pPr>
              <w:rPr>
                <w:rFonts w:ascii="Calibri Light" w:hAnsi="Calibri Light" w:cs="Calibri Light"/>
                <w:b/>
                <w:bCs/>
                <w:sz w:val="18"/>
                <w:szCs w:val="18"/>
              </w:rPr>
            </w:pPr>
            <w:r>
              <w:rPr>
                <w:rFonts w:ascii="Calibri Light" w:hAnsi="Calibri Light"/>
                <w:b/>
                <w:sz w:val="18"/>
              </w:rPr>
              <w:t>RÉSULTAT DE L'EXERCICE PROVENANT DES ACTIVITÉS D'EXPLOITATION</w:t>
            </w:r>
          </w:p>
        </w:tc>
        <w:tc>
          <w:tcPr>
            <w:tcW w:w="959" w:type="pct"/>
            <w:tcBorders>
              <w:top w:val="single" w:sz="4" w:space="0" w:color="auto"/>
              <w:left w:val="nil"/>
              <w:bottom w:val="single" w:sz="8" w:space="0" w:color="auto"/>
              <w:right w:val="nil"/>
            </w:tcBorders>
            <w:shd w:val="clear" w:color="auto" w:fill="auto"/>
            <w:noWrap/>
            <w:vAlign w:val="bottom"/>
            <w:hideMark/>
          </w:tcPr>
          <w:p w14:paraId="096E79D0"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913 116</w:t>
            </w:r>
          </w:p>
        </w:tc>
        <w:tc>
          <w:tcPr>
            <w:tcW w:w="959" w:type="pct"/>
            <w:tcBorders>
              <w:top w:val="single" w:sz="4" w:space="0" w:color="auto"/>
              <w:left w:val="nil"/>
              <w:bottom w:val="single" w:sz="8" w:space="0" w:color="auto"/>
              <w:right w:val="nil"/>
            </w:tcBorders>
            <w:shd w:val="clear" w:color="auto" w:fill="auto"/>
            <w:noWrap/>
            <w:vAlign w:val="bottom"/>
            <w:hideMark/>
          </w:tcPr>
          <w:p w14:paraId="6E43E485"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211 793</w:t>
            </w:r>
          </w:p>
        </w:tc>
      </w:tr>
      <w:tr w:rsidR="004566BD" w14:paraId="2924BA16" w14:textId="77777777" w:rsidTr="0061181E">
        <w:trPr>
          <w:trHeight w:val="240"/>
        </w:trPr>
        <w:tc>
          <w:tcPr>
            <w:tcW w:w="3082" w:type="pct"/>
            <w:tcBorders>
              <w:top w:val="nil"/>
              <w:left w:val="nil"/>
              <w:bottom w:val="nil"/>
              <w:right w:val="nil"/>
            </w:tcBorders>
            <w:shd w:val="clear" w:color="auto" w:fill="auto"/>
            <w:noWrap/>
            <w:vAlign w:val="bottom"/>
            <w:hideMark/>
          </w:tcPr>
          <w:p w14:paraId="269A6AD3" w14:textId="77777777" w:rsidR="004566BD" w:rsidRDefault="004566BD">
            <w:pPr>
              <w:jc w:val="right"/>
              <w:rPr>
                <w:rFonts w:ascii="Calibri Light" w:hAnsi="Calibri Light" w:cs="Calibri Light"/>
                <w:b/>
                <w:bCs/>
                <w:color w:val="000000"/>
                <w:sz w:val="18"/>
                <w:szCs w:val="18"/>
              </w:rPr>
            </w:pPr>
          </w:p>
        </w:tc>
        <w:tc>
          <w:tcPr>
            <w:tcW w:w="959" w:type="pct"/>
            <w:tcBorders>
              <w:top w:val="nil"/>
              <w:left w:val="nil"/>
              <w:bottom w:val="nil"/>
              <w:right w:val="nil"/>
            </w:tcBorders>
            <w:shd w:val="clear" w:color="auto" w:fill="auto"/>
            <w:noWrap/>
            <w:vAlign w:val="bottom"/>
            <w:hideMark/>
          </w:tcPr>
          <w:p w14:paraId="0D00DC26" w14:textId="77777777" w:rsidR="004566BD" w:rsidRDefault="004566BD">
            <w:pPr>
              <w:rPr>
                <w:sz w:val="20"/>
                <w:szCs w:val="20"/>
              </w:rPr>
            </w:pPr>
          </w:p>
        </w:tc>
        <w:tc>
          <w:tcPr>
            <w:tcW w:w="959" w:type="pct"/>
            <w:tcBorders>
              <w:top w:val="nil"/>
              <w:left w:val="nil"/>
              <w:bottom w:val="nil"/>
              <w:right w:val="nil"/>
            </w:tcBorders>
            <w:shd w:val="clear" w:color="auto" w:fill="auto"/>
            <w:noWrap/>
            <w:vAlign w:val="bottom"/>
            <w:hideMark/>
          </w:tcPr>
          <w:p w14:paraId="750A59D2" w14:textId="77777777" w:rsidR="004566BD" w:rsidRDefault="004566BD">
            <w:pPr>
              <w:rPr>
                <w:sz w:val="20"/>
                <w:szCs w:val="20"/>
              </w:rPr>
            </w:pPr>
          </w:p>
        </w:tc>
      </w:tr>
      <w:tr w:rsidR="004566BD" w14:paraId="1013EB7F" w14:textId="77777777" w:rsidTr="0061181E">
        <w:trPr>
          <w:trHeight w:val="255"/>
        </w:trPr>
        <w:tc>
          <w:tcPr>
            <w:tcW w:w="3082" w:type="pct"/>
            <w:tcBorders>
              <w:top w:val="nil"/>
              <w:left w:val="nil"/>
              <w:bottom w:val="nil"/>
              <w:right w:val="nil"/>
            </w:tcBorders>
            <w:shd w:val="clear" w:color="auto" w:fill="auto"/>
            <w:noWrap/>
            <w:vAlign w:val="bottom"/>
            <w:hideMark/>
          </w:tcPr>
          <w:p w14:paraId="0103ADF2" w14:textId="77777777" w:rsidR="004566BD" w:rsidRDefault="004566BD">
            <w:pPr>
              <w:rPr>
                <w:rFonts w:ascii="Calibri Light" w:hAnsi="Calibri Light" w:cs="Calibri Light"/>
                <w:b/>
                <w:bCs/>
                <w:sz w:val="18"/>
                <w:szCs w:val="18"/>
              </w:rPr>
            </w:pPr>
            <w:r>
              <w:rPr>
                <w:rFonts w:ascii="Calibri Light" w:hAnsi="Calibri Light"/>
                <w:b/>
                <w:sz w:val="18"/>
              </w:rPr>
              <w:t>RÉSULTAT POUR LA PÉRIODE</w:t>
            </w:r>
          </w:p>
        </w:tc>
        <w:tc>
          <w:tcPr>
            <w:tcW w:w="959" w:type="pct"/>
            <w:tcBorders>
              <w:top w:val="single" w:sz="4" w:space="0" w:color="auto"/>
              <w:left w:val="nil"/>
              <w:bottom w:val="single" w:sz="8" w:space="0" w:color="auto"/>
              <w:right w:val="nil"/>
            </w:tcBorders>
            <w:shd w:val="clear" w:color="auto" w:fill="auto"/>
            <w:noWrap/>
            <w:vAlign w:val="bottom"/>
            <w:hideMark/>
          </w:tcPr>
          <w:p w14:paraId="0534C920"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913 116</w:t>
            </w:r>
          </w:p>
        </w:tc>
        <w:tc>
          <w:tcPr>
            <w:tcW w:w="959" w:type="pct"/>
            <w:tcBorders>
              <w:top w:val="single" w:sz="4" w:space="0" w:color="auto"/>
              <w:left w:val="nil"/>
              <w:bottom w:val="single" w:sz="8" w:space="0" w:color="auto"/>
              <w:right w:val="nil"/>
            </w:tcBorders>
            <w:shd w:val="clear" w:color="auto" w:fill="auto"/>
            <w:noWrap/>
            <w:vAlign w:val="bottom"/>
            <w:hideMark/>
          </w:tcPr>
          <w:p w14:paraId="55148A8B" w14:textId="77777777" w:rsidR="004566BD" w:rsidRDefault="004566BD">
            <w:pPr>
              <w:jc w:val="right"/>
              <w:rPr>
                <w:rFonts w:ascii="Calibri Light" w:hAnsi="Calibri Light" w:cs="Calibri Light"/>
                <w:b/>
                <w:bCs/>
                <w:color w:val="000000"/>
                <w:sz w:val="18"/>
                <w:szCs w:val="18"/>
              </w:rPr>
            </w:pPr>
            <w:r>
              <w:rPr>
                <w:rFonts w:ascii="Calibri Light" w:hAnsi="Calibri Light"/>
                <w:b/>
                <w:color w:val="000000"/>
                <w:sz w:val="18"/>
              </w:rPr>
              <w:t>211 793</w:t>
            </w:r>
          </w:p>
        </w:tc>
      </w:tr>
      <w:bookmarkEnd w:id="217"/>
    </w:tbl>
    <w:p w14:paraId="098D768D" w14:textId="77777777" w:rsidR="004566BD" w:rsidRPr="00C17031" w:rsidRDefault="004566BD" w:rsidP="00E16D12">
      <w:pPr>
        <w:spacing w:line="276" w:lineRule="auto"/>
        <w:rPr>
          <w:rFonts w:ascii="Cambria" w:hAnsi="Cambria"/>
          <w:sz w:val="22"/>
          <w:szCs w:val="22"/>
        </w:rPr>
      </w:pPr>
    </w:p>
    <w:sectPr w:rsidR="004566BD" w:rsidRPr="00C17031" w:rsidSect="006A0331">
      <w:footerReference w:type="first" r:id="rId26"/>
      <w:pgSz w:w="11906" w:h="16838" w:code="9"/>
      <w:pgMar w:top="398" w:right="1134" w:bottom="1418" w:left="1134" w:header="851" w:footer="933" w:gutter="113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23F8" w14:textId="77777777" w:rsidR="0002350C" w:rsidRDefault="0002350C" w:rsidP="00B0576C">
      <w:r>
        <w:separator/>
      </w:r>
    </w:p>
  </w:endnote>
  <w:endnote w:type="continuationSeparator" w:id="0">
    <w:p w14:paraId="349AD313" w14:textId="77777777" w:rsidR="0002350C" w:rsidRDefault="0002350C" w:rsidP="00B0576C">
      <w:r>
        <w:continuationSeparator/>
      </w:r>
    </w:p>
  </w:endnote>
  <w:endnote w:type="continuationNotice" w:id="1">
    <w:p w14:paraId="4B830C80" w14:textId="77777777" w:rsidR="0002350C" w:rsidRDefault="00023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E4B0" w14:textId="51AA2D08" w:rsidR="00FB17B8" w:rsidRPr="00365DB4" w:rsidRDefault="00FB17B8" w:rsidP="00365DB4">
    <w:pPr>
      <w:pStyle w:val="Pidipa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4450" w14:textId="77777777" w:rsidR="00FB17B8" w:rsidRDefault="00FB17B8" w:rsidP="003B1581">
    <w:pPr>
      <w:pStyle w:val="Pidipagina"/>
      <w:pBdr>
        <w:bottom w:val="single" w:sz="6" w:space="1" w:color="auto"/>
      </w:pBdr>
      <w:jc w:val="right"/>
    </w:pPr>
  </w:p>
  <w:p w14:paraId="1B3178EC" w14:textId="48614380" w:rsidR="00FB17B8" w:rsidRPr="00596CD6" w:rsidRDefault="00FB17B8" w:rsidP="003B1581">
    <w:pPr>
      <w:pStyle w:val="Pidipagina"/>
      <w:jc w:val="right"/>
    </w:pPr>
    <w:r w:rsidRPr="00C17031">
      <w:rPr>
        <w:rFonts w:ascii="Cambria" w:hAnsi="Cambria"/>
      </w:rPr>
      <w:fldChar w:fldCharType="begin"/>
    </w:r>
    <w:r w:rsidRPr="00C17031">
      <w:rPr>
        <w:rFonts w:ascii="Cambria" w:hAnsi="Cambria"/>
      </w:rPr>
      <w:instrText>PAGE   \* MERGEFORMAT</w:instrText>
    </w:r>
    <w:r w:rsidRPr="00C17031">
      <w:rPr>
        <w:rFonts w:ascii="Cambria" w:hAnsi="Cambria"/>
      </w:rPr>
      <w:fldChar w:fldCharType="separate"/>
    </w:r>
    <w:r>
      <w:rPr>
        <w:rFonts w:ascii="Cambria" w:hAnsi="Cambria"/>
      </w:rPr>
      <w:t>63</w:t>
    </w:r>
    <w:r w:rsidRPr="00C17031">
      <w:rPr>
        <w:rFonts w:ascii="Cambria" w:hAnsi="Cambria"/>
      </w:rPr>
      <w:fldChar w:fldCharType="end"/>
    </w:r>
  </w:p>
  <w:p w14:paraId="069CE17D" w14:textId="77777777" w:rsidR="00FB17B8" w:rsidRDefault="00FB17B8">
    <w:pPr>
      <w:pStyle w:val="Pidipagina"/>
    </w:pPr>
  </w:p>
  <w:p w14:paraId="0CE979BF" w14:textId="77777777" w:rsidR="00FB17B8" w:rsidRDefault="00FB17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3E42" w14:textId="77777777" w:rsidR="00FB17B8" w:rsidRPr="002854E4" w:rsidRDefault="00FB17B8" w:rsidP="002854E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01E3" w14:textId="77777777" w:rsidR="00FB17B8" w:rsidRPr="002854E4" w:rsidRDefault="00FB17B8" w:rsidP="002854E4">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8F7A" w14:textId="1864184C" w:rsidR="00FB17B8" w:rsidRDefault="00FB17B8" w:rsidP="006A0331">
    <w:pPr>
      <w:pStyle w:val="Pidipagina"/>
      <w:pBdr>
        <w:bottom w:val="single" w:sz="6" w:space="0" w:color="auto"/>
      </w:pBdr>
      <w:tabs>
        <w:tab w:val="left" w:pos="911"/>
      </w:tabs>
    </w:pPr>
    <w:r>
      <w:tab/>
    </w:r>
  </w:p>
  <w:p w14:paraId="6165E9ED" w14:textId="4D312B30" w:rsidR="00FB17B8" w:rsidRDefault="00FB17B8">
    <w:pPr>
      <w:pStyle w:val="Pidipagina"/>
      <w:jc w:val="right"/>
    </w:pPr>
    <w:r w:rsidRPr="00C17031">
      <w:rPr>
        <w:rFonts w:ascii="Cambria" w:hAnsi="Cambria"/>
      </w:rPr>
      <w:fldChar w:fldCharType="begin"/>
    </w:r>
    <w:r w:rsidRPr="00C17031">
      <w:rPr>
        <w:rFonts w:ascii="Cambria" w:hAnsi="Cambria"/>
      </w:rPr>
      <w:instrText>PAGE   \* MERGEFORMAT</w:instrText>
    </w:r>
    <w:r w:rsidRPr="00C17031">
      <w:rPr>
        <w:rFonts w:ascii="Cambria" w:hAnsi="Cambria"/>
      </w:rPr>
      <w:fldChar w:fldCharType="separate"/>
    </w:r>
    <w:r>
      <w:rPr>
        <w:rFonts w:ascii="Cambria" w:hAnsi="Cambria"/>
      </w:rPr>
      <w:t>14</w:t>
    </w:r>
    <w:r w:rsidRPr="00C17031">
      <w:rPr>
        <w:rFonts w:ascii="Cambria" w:hAnsi="Cambri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E867" w14:textId="77777777" w:rsidR="00FB17B8" w:rsidRDefault="00FB17B8">
    <w:pPr>
      <w:pStyle w:val="Pidipagina"/>
      <w:pBdr>
        <w:bottom w:val="single" w:sz="6" w:space="1" w:color="auto"/>
      </w:pBdr>
      <w:jc w:val="right"/>
    </w:pPr>
  </w:p>
  <w:p w14:paraId="5849A842" w14:textId="7B4701FD" w:rsidR="00FB17B8" w:rsidRDefault="00FB17B8">
    <w:pPr>
      <w:pStyle w:val="Pidipagina"/>
      <w:jc w:val="right"/>
    </w:pPr>
    <w:r w:rsidRPr="00C17031">
      <w:rPr>
        <w:rFonts w:ascii="Cambria" w:hAnsi="Cambria"/>
      </w:rPr>
      <w:fldChar w:fldCharType="begin"/>
    </w:r>
    <w:r w:rsidRPr="00C17031">
      <w:rPr>
        <w:rFonts w:ascii="Cambria" w:hAnsi="Cambria"/>
      </w:rPr>
      <w:instrText>PAGE   \* MERGEFORMAT</w:instrText>
    </w:r>
    <w:r w:rsidRPr="00C17031">
      <w:rPr>
        <w:rFonts w:ascii="Cambria" w:hAnsi="Cambria"/>
      </w:rPr>
      <w:fldChar w:fldCharType="separate"/>
    </w:r>
    <w:r>
      <w:rPr>
        <w:rFonts w:ascii="Cambria" w:hAnsi="Cambria"/>
      </w:rPr>
      <w:t>2</w:t>
    </w:r>
    <w:r w:rsidRPr="00C17031">
      <w:rPr>
        <w:rFonts w:ascii="Cambria" w:hAnsi="Cambria"/>
      </w:rPr>
      <w:fldChar w:fldCharType="end"/>
    </w:r>
  </w:p>
  <w:p w14:paraId="608A0FDE" w14:textId="77777777" w:rsidR="00FB17B8" w:rsidRPr="002854E4" w:rsidRDefault="00FB17B8" w:rsidP="002854E4">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5A45" w14:textId="77777777" w:rsidR="00FB17B8" w:rsidRDefault="00FB17B8">
    <w:pPr>
      <w:pStyle w:val="Pidipagina"/>
      <w:jc w:val="right"/>
    </w:pPr>
  </w:p>
  <w:p w14:paraId="4B00CCEC" w14:textId="77777777" w:rsidR="00FB17B8" w:rsidRPr="002854E4" w:rsidRDefault="00FB17B8" w:rsidP="002854E4">
    <w:pPr>
      <w:pStyle w:val="Pidipa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7C74" w14:textId="77777777" w:rsidR="00FB17B8" w:rsidRDefault="00FB17B8" w:rsidP="002854E4">
    <w:pPr>
      <w:pStyle w:val="Pidipagina"/>
      <w:pBdr>
        <w:bottom w:val="single" w:sz="6" w:space="1" w:color="auto"/>
      </w:pBdr>
      <w:jc w:val="right"/>
    </w:pPr>
  </w:p>
  <w:p w14:paraId="677C4761" w14:textId="44773F9E" w:rsidR="00FB17B8" w:rsidRPr="00C17031" w:rsidRDefault="00FB17B8" w:rsidP="002854E4">
    <w:pPr>
      <w:pStyle w:val="Pidipagina"/>
      <w:jc w:val="right"/>
      <w:rPr>
        <w:rFonts w:ascii="Cambria" w:hAnsi="Cambria"/>
      </w:rPr>
    </w:pPr>
    <w:r w:rsidRPr="00C17031">
      <w:rPr>
        <w:rFonts w:ascii="Cambria" w:hAnsi="Cambria"/>
      </w:rPr>
      <w:fldChar w:fldCharType="begin"/>
    </w:r>
    <w:r w:rsidRPr="00C17031">
      <w:rPr>
        <w:rFonts w:ascii="Cambria" w:hAnsi="Cambria"/>
      </w:rPr>
      <w:instrText>PAGE   \* MERGEFORMAT</w:instrText>
    </w:r>
    <w:r w:rsidRPr="00C17031">
      <w:rPr>
        <w:rFonts w:ascii="Cambria" w:hAnsi="Cambria"/>
      </w:rPr>
      <w:fldChar w:fldCharType="separate"/>
    </w:r>
    <w:r>
      <w:rPr>
        <w:rFonts w:ascii="Cambria" w:hAnsi="Cambria"/>
      </w:rPr>
      <w:t>10</w:t>
    </w:r>
    <w:r w:rsidRPr="00C17031">
      <w:rPr>
        <w:rFonts w:ascii="Cambria" w:hAnsi="Cambria"/>
      </w:rPr>
      <w:fldChar w:fldCharType="end"/>
    </w:r>
  </w:p>
  <w:p w14:paraId="009F10D4" w14:textId="77777777" w:rsidR="00FB17B8" w:rsidRDefault="00FB17B8">
    <w:pPr>
      <w:pStyle w:val="Pidipa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FBAD" w14:textId="77777777" w:rsidR="00FB17B8" w:rsidRPr="003B1581" w:rsidRDefault="00FB17B8" w:rsidP="003B1581">
    <w:pPr>
      <w:pStyle w:val="Pidipa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3C82" w14:textId="77777777" w:rsidR="00FB17B8" w:rsidRPr="003B1581" w:rsidRDefault="00FB17B8" w:rsidP="003B15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0AEA" w14:textId="77777777" w:rsidR="0002350C" w:rsidRDefault="0002350C" w:rsidP="00B0576C">
      <w:r>
        <w:separator/>
      </w:r>
    </w:p>
  </w:footnote>
  <w:footnote w:type="continuationSeparator" w:id="0">
    <w:p w14:paraId="05323DF2" w14:textId="77777777" w:rsidR="0002350C" w:rsidRDefault="0002350C" w:rsidP="00B0576C">
      <w:r>
        <w:continuationSeparator/>
      </w:r>
    </w:p>
  </w:footnote>
  <w:footnote w:type="continuationNotice" w:id="1">
    <w:p w14:paraId="6E835413" w14:textId="77777777" w:rsidR="0002350C" w:rsidRDefault="0002350C"/>
  </w:footnote>
  <w:footnote w:id="2">
    <w:p w14:paraId="1C0F0DCB" w14:textId="77777777" w:rsidR="00FB17B8" w:rsidRPr="00C17031" w:rsidRDefault="00FB17B8" w:rsidP="00260280">
      <w:pPr>
        <w:spacing w:after="195" w:line="276" w:lineRule="auto"/>
        <w:jc w:val="both"/>
        <w:rPr>
          <w:rStyle w:val="NormaleverdanaCarattere"/>
          <w:rFonts w:ascii="Cambria" w:hAnsi="Cambria"/>
          <w:sz w:val="16"/>
          <w:szCs w:val="16"/>
        </w:rPr>
      </w:pPr>
      <w:r>
        <w:rPr>
          <w:rStyle w:val="Rimandonotaapidipagina"/>
          <w:rFonts w:ascii="Cambria" w:hAnsi="Cambria"/>
          <w:sz w:val="16"/>
          <w:szCs w:val="16"/>
        </w:rPr>
        <w:footnoteRef/>
      </w:r>
      <w:r>
        <w:rPr>
          <w:rStyle w:val="NormaleverdanaCarattere"/>
          <w:rFonts w:ascii="Cambria" w:hAnsi="Cambria"/>
          <w:i/>
          <w:sz w:val="16"/>
          <w:u w:val="single"/>
        </w:rPr>
        <w:t>ROE (Return On Equity)</w:t>
      </w:r>
      <w:r>
        <w:rPr>
          <w:rStyle w:val="NormaleverdanaCarattere"/>
          <w:rFonts w:ascii="Cambria" w:hAnsi="Cambria"/>
          <w:i/>
          <w:sz w:val="16"/>
          <w:szCs w:val="16"/>
        </w:rPr>
        <w:t xml:space="preserve"> - </w:t>
      </w:r>
      <w:r>
        <w:rPr>
          <w:rStyle w:val="NormaleverdanaCarattere"/>
          <w:rFonts w:ascii="Cambria" w:hAnsi="Cambria"/>
          <w:sz w:val="16"/>
          <w:szCs w:val="16"/>
        </w:rPr>
        <w:t xml:space="preserve">Il décrit le rapport entre le résultat avant impôt et les fonds propres nets de l'entreprise. Il résume la rentabilité et le rendement des fonds propres. </w:t>
      </w:r>
    </w:p>
    <w:p w14:paraId="0890DE72" w14:textId="77777777" w:rsidR="00FB17B8" w:rsidRPr="00C17031" w:rsidRDefault="00FB17B8" w:rsidP="00260280">
      <w:pPr>
        <w:spacing w:after="195" w:line="276" w:lineRule="auto"/>
        <w:jc w:val="both"/>
        <w:rPr>
          <w:rStyle w:val="NormaleverdanaCarattere"/>
          <w:rFonts w:ascii="Cambria" w:hAnsi="Cambria"/>
          <w:sz w:val="16"/>
          <w:szCs w:val="16"/>
        </w:rPr>
      </w:pPr>
      <w:r>
        <w:rPr>
          <w:rStyle w:val="NormaleverdanaCarattere"/>
          <w:rFonts w:ascii="Cambria" w:hAnsi="Cambria"/>
          <w:i/>
          <w:sz w:val="16"/>
          <w:u w:val="single"/>
        </w:rPr>
        <w:t>ROI (Return On Investment)</w:t>
      </w:r>
      <w:r>
        <w:rPr>
          <w:rStyle w:val="NormaleverdanaCarattere"/>
          <w:rFonts w:ascii="Cambria" w:hAnsi="Cambria"/>
          <w:i/>
          <w:sz w:val="16"/>
          <w:szCs w:val="16"/>
        </w:rPr>
        <w:t xml:space="preserve"> - </w:t>
      </w:r>
      <w:r>
        <w:rPr>
          <w:rStyle w:val="NormaleverdanaCarattere"/>
          <w:rFonts w:ascii="Cambria" w:hAnsi="Cambria"/>
          <w:sz w:val="16"/>
          <w:szCs w:val="16"/>
        </w:rPr>
        <w:t xml:space="preserve">(RDI) Il décrit le rapport entre le résultat d'exploitation et le total des actifs. Il exprime la rentabilité ordinaire du capital investi. Par rentabilité ordinaire, on entend celle brute de la gestion financière et de la charge fiscale. </w:t>
      </w:r>
    </w:p>
    <w:p w14:paraId="38B269A5" w14:textId="77777777" w:rsidR="00FB17B8" w:rsidRPr="00F75C34" w:rsidRDefault="00FB17B8" w:rsidP="00260280">
      <w:pPr>
        <w:spacing w:after="195" w:line="276" w:lineRule="auto"/>
        <w:jc w:val="both"/>
        <w:rPr>
          <w:snapToGrid w:val="0"/>
        </w:rPr>
      </w:pPr>
      <w:r>
        <w:rPr>
          <w:rStyle w:val="NormaleverdanaCarattere"/>
          <w:rFonts w:ascii="Cambria" w:hAnsi="Cambria"/>
          <w:i/>
          <w:sz w:val="16"/>
          <w:u w:val="single"/>
        </w:rPr>
        <w:t>ROS (Return On Sales)</w:t>
      </w:r>
      <w:r>
        <w:rPr>
          <w:rStyle w:val="NormaleverdanaCarattere"/>
          <w:rFonts w:ascii="Cambria" w:hAnsi="Cambria"/>
          <w:i/>
          <w:sz w:val="16"/>
          <w:szCs w:val="16"/>
        </w:rPr>
        <w:t xml:space="preserve"> - </w:t>
      </w:r>
      <w:r>
        <w:rPr>
          <w:rStyle w:val="NormaleverdanaCarattere"/>
          <w:rFonts w:ascii="Cambria" w:hAnsi="Cambria"/>
          <w:sz w:val="16"/>
        </w:rPr>
        <w:t>-  (TRO) Il décrit le rapport entre le résultat d'exploitation et le produit des ventes. Il exprime en pourcentage la marge d'exploitation réalisée sur les ventes de l'activité principale, la rentabilité principale étant celle brute de la gestion financière et de la charge fiscale</w:t>
      </w:r>
      <w:r>
        <w:rPr>
          <w:rStyle w:val="NormaleverdanaCarattere"/>
          <w:rFonts w:ascii="Cambria" w:hAnsi="Cambria"/>
        </w:rPr>
        <w:t>.</w:t>
      </w:r>
    </w:p>
  </w:footnote>
  <w:footnote w:id="3">
    <w:p w14:paraId="2F8BBB8E" w14:textId="77777777" w:rsidR="00FB17B8" w:rsidRPr="00C17031" w:rsidRDefault="00FB17B8" w:rsidP="00260280">
      <w:pPr>
        <w:spacing w:after="120" w:line="276" w:lineRule="auto"/>
        <w:jc w:val="both"/>
        <w:rPr>
          <w:rStyle w:val="NormaleverdanaCarattere"/>
          <w:rFonts w:ascii="Cambria" w:hAnsi="Cambria"/>
          <w:sz w:val="14"/>
          <w:szCs w:val="14"/>
        </w:rPr>
      </w:pPr>
      <w:r>
        <w:rPr>
          <w:rStyle w:val="Rimandonotaapidipagina"/>
          <w:sz w:val="14"/>
          <w:szCs w:val="14"/>
        </w:rPr>
        <w:footnoteRef/>
      </w:r>
      <w:r>
        <w:rPr>
          <w:rStyle w:val="NormaleverdanaCarattere"/>
          <w:rFonts w:ascii="Cambria" w:hAnsi="Cambria"/>
          <w:i/>
          <w:sz w:val="14"/>
          <w:u w:val="single"/>
        </w:rPr>
        <w:t>Marge de l'actif immobilisé/capitaux propres (également appelée marge de couverture de l'actif immobilisé)</w:t>
      </w:r>
      <w:r>
        <w:rPr>
          <w:rStyle w:val="NormaleverdanaCarattere"/>
          <w:rFonts w:ascii="Cambria" w:hAnsi="Cambria"/>
          <w:i/>
          <w:sz w:val="14"/>
          <w:szCs w:val="14"/>
        </w:rPr>
        <w:t xml:space="preserve"> - </w:t>
      </w:r>
      <w:r>
        <w:rPr>
          <w:rStyle w:val="NormaleverdanaCarattere"/>
          <w:rFonts w:ascii="Cambria" w:hAnsi="Cambria"/>
          <w:sz w:val="14"/>
          <w:szCs w:val="14"/>
        </w:rPr>
        <w:t xml:space="preserve">Elle mesure, en termes absolus, la capacité de l'entreprise à financer l'actif immobilisé avec ses propres capitaux, ou avec les sources apportées par les actionnaires. Elle permet d'évaluer si les fonds propres sont suffisants ou non pour couvrir les actifs immobilisés. </w:t>
      </w:r>
    </w:p>
    <w:p w14:paraId="1EA6FD8C" w14:textId="77777777" w:rsidR="00FB17B8" w:rsidRPr="00C17031" w:rsidRDefault="00FB17B8" w:rsidP="00260280">
      <w:pPr>
        <w:spacing w:after="195" w:line="276" w:lineRule="auto"/>
        <w:jc w:val="both"/>
        <w:rPr>
          <w:rFonts w:ascii="Cambria" w:hAnsi="Cambria"/>
          <w:snapToGrid w:val="0"/>
          <w:sz w:val="14"/>
          <w:szCs w:val="14"/>
        </w:rPr>
      </w:pPr>
      <w:r>
        <w:rPr>
          <w:rStyle w:val="NormaleverdanaCarattere"/>
          <w:rFonts w:ascii="Cambria" w:hAnsi="Cambria"/>
          <w:i/>
          <w:sz w:val="14"/>
          <w:u w:val="single"/>
        </w:rPr>
        <w:t>Ratio immobilisations/fonds propres (également appelé couverture des immobilisations)</w:t>
      </w:r>
      <w:r>
        <w:rPr>
          <w:rStyle w:val="NormaleverdanaCarattere"/>
          <w:rFonts w:ascii="Cambria" w:hAnsi="Cambria"/>
          <w:i/>
          <w:sz w:val="14"/>
          <w:szCs w:val="14"/>
        </w:rPr>
        <w:t xml:space="preserve"> - </w:t>
      </w:r>
      <w:r>
        <w:rPr>
          <w:rStyle w:val="NormaleverdanaCarattere"/>
          <w:rFonts w:ascii="Cambria" w:hAnsi="Cambria"/>
          <w:sz w:val="14"/>
          <w:szCs w:val="14"/>
        </w:rPr>
        <w:t>Il mesure en pourcentage la capacité de l'entreprise à financer les immobilisations avec ses fonds propres. Il permet d'évaluer le rapport en pourcentage entre les capitaux propres (y compris le bénéfice ou la perte de l'exercice) et le total des actifs immobilisés.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C2A1" w14:textId="48CEF8B9" w:rsidR="00FB17B8" w:rsidRDefault="00FB17B8" w:rsidP="001672B3">
    <w:pPr>
      <w:pStyle w:val="Intestazione"/>
      <w:jc w:val="right"/>
      <w:rPr>
        <w:i/>
      </w:rPr>
    </w:pPr>
  </w:p>
  <w:p w14:paraId="542091B3" w14:textId="77777777" w:rsidR="00FB17B8" w:rsidRDefault="00FB17B8" w:rsidP="001672B3">
    <w:pPr>
      <w:pStyle w:val="Intestazione"/>
      <w:jc w:val="right"/>
      <w:rPr>
        <w:rFonts w:ascii="Garamond" w:hAnsi="Garamond"/>
        <w: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6782" w14:textId="1E7487A9" w:rsidR="00FB17B8" w:rsidRDefault="00FB17B8" w:rsidP="001672B3">
    <w:pPr>
      <w:pStyle w:val="Intestazione"/>
      <w:jc w:val="right"/>
      <w:rPr>
        <w:i/>
      </w:rPr>
    </w:pPr>
    <w:r>
      <w:rPr>
        <w:rFonts w:ascii="Garamond" w:hAnsi="Garamond"/>
        <w:i/>
        <w:noProof/>
        <w:sz w:val="22"/>
      </w:rPr>
      <w:drawing>
        <wp:anchor distT="0" distB="0" distL="114300" distR="114300" simplePos="0" relativeHeight="251656704" behindDoc="1" locked="0" layoutInCell="1" allowOverlap="1" wp14:anchorId="61B01E43" wp14:editId="2FA5AC39">
          <wp:simplePos x="0" y="0"/>
          <wp:positionH relativeFrom="margin">
            <wp:posOffset>1317625</wp:posOffset>
          </wp:positionH>
          <wp:positionV relativeFrom="paragraph">
            <wp:posOffset>-155575</wp:posOffset>
          </wp:positionV>
          <wp:extent cx="1409700" cy="396875"/>
          <wp:effectExtent l="0" t="0" r="0" b="3175"/>
          <wp:wrapNone/>
          <wp:docPr id="3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409700" cy="39687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i/>
        <w:noProof/>
        <w:sz w:val="22"/>
      </w:rPr>
      <w:drawing>
        <wp:anchor distT="0" distB="0" distL="114300" distR="114300" simplePos="0" relativeHeight="251655680" behindDoc="0" locked="0" layoutInCell="1" allowOverlap="1" wp14:anchorId="085C79C6" wp14:editId="411C8999">
          <wp:simplePos x="0" y="0"/>
          <wp:positionH relativeFrom="column">
            <wp:posOffset>0</wp:posOffset>
          </wp:positionH>
          <wp:positionV relativeFrom="paragraph">
            <wp:posOffset>-302260</wp:posOffset>
          </wp:positionV>
          <wp:extent cx="1242060" cy="6940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694055"/>
                  </a:xfrm>
                  <a:prstGeom prst="rect">
                    <a:avLst/>
                  </a:prstGeom>
                  <a:noFill/>
                </pic:spPr>
              </pic:pic>
            </a:graphicData>
          </a:graphic>
          <wp14:sizeRelH relativeFrom="page">
            <wp14:pctWidth>0</wp14:pctWidth>
          </wp14:sizeRelH>
          <wp14:sizeRelV relativeFrom="page">
            <wp14:pctHeight>0</wp14:pctHeight>
          </wp14:sizeRelV>
        </wp:anchor>
      </w:drawing>
    </w:r>
  </w:p>
  <w:p w14:paraId="5C6DBF3E" w14:textId="7C38C40A" w:rsidR="00FB17B8" w:rsidRDefault="00FB17B8" w:rsidP="001672B3">
    <w:pPr>
      <w:pStyle w:val="Intestazione"/>
      <w:jc w:val="right"/>
      <w:rPr>
        <w:rFonts w:ascii="Garamond" w:hAnsi="Garamond"/>
        <w:i/>
        <w:sz w:val="22"/>
      </w:rPr>
    </w:pPr>
  </w:p>
  <w:p w14:paraId="56E7D2B8" w14:textId="63F6D8A1" w:rsidR="00FB17B8" w:rsidRDefault="00FB17B8" w:rsidP="001672B3">
    <w:pPr>
      <w:pStyle w:val="Intestazione"/>
      <w:jc w:val="right"/>
      <w:rPr>
        <w:i/>
      </w:rPr>
    </w:pPr>
    <w:r>
      <w:rPr>
        <w:rFonts w:ascii="Cambria" w:hAnsi="Cambria"/>
        <w:i/>
      </w:rPr>
      <w:t>États financiers intermédiaires consolidés au 30 juin 2021</w:t>
    </w:r>
  </w:p>
  <w:p w14:paraId="168BCE37" w14:textId="0FE18211" w:rsidR="00FB17B8" w:rsidRDefault="00FB17B8" w:rsidP="001672B3">
    <w:pPr>
      <w:pStyle w:val="Intestazione"/>
      <w:jc w:val="right"/>
      <w:rPr>
        <w:i/>
      </w:rPr>
    </w:pPr>
    <w:r>
      <w:rPr>
        <w:i/>
        <w:noProof/>
      </w:rPr>
      <mc:AlternateContent>
        <mc:Choice Requires="wps">
          <w:drawing>
            <wp:anchor distT="4294967294" distB="4294967294" distL="114300" distR="114300" simplePos="0" relativeHeight="251653632" behindDoc="0" locked="0" layoutInCell="1" allowOverlap="1" wp14:anchorId="1A2AFEAC" wp14:editId="0E035F20">
              <wp:simplePos x="0" y="0"/>
              <wp:positionH relativeFrom="margin">
                <wp:align>center</wp:align>
              </wp:positionH>
              <wp:positionV relativeFrom="paragraph">
                <wp:posOffset>69215</wp:posOffset>
              </wp:positionV>
              <wp:extent cx="6124575" cy="0"/>
              <wp:effectExtent l="0" t="0" r="9525" b="19050"/>
              <wp:wrapNone/>
              <wp:docPr id="9"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12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B0B5D" id="Straight Connector 290" o:spid="_x0000_s1026" style="position:absolute;flip:x;z-index:25165465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45pt" to="482.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">
              <o:lock v:ext="edit" shapetype="f"/>
              <w10:wrap anchorx="margin"/>
            </v:line>
          </w:pict>
        </mc:Fallback>
      </mc:AlternateContent>
    </w:r>
  </w:p>
  <w:p w14:paraId="0C72C0A4" w14:textId="77777777" w:rsidR="00FB17B8" w:rsidRPr="008529F3" w:rsidRDefault="00FB17B8" w:rsidP="001672B3">
    <w:pPr>
      <w:pStyle w:val="Intestazione"/>
      <w:spacing w:line="100" w:lineRule="exac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BFD6" w14:textId="3FDDF2B5" w:rsidR="00FB17B8" w:rsidRDefault="00FB17B8" w:rsidP="00B04152">
    <w:pPr>
      <w:pStyle w:val="Intestazione"/>
      <w:pBdr>
        <w:bottom w:val="single" w:sz="6" w:space="0" w:color="auto"/>
      </w:pBdr>
      <w:jc w:val="right"/>
      <w:rPr>
        <w:rFonts w:ascii="Garamond" w:hAnsi="Garamond"/>
        <w:i/>
        <w:sz w:val="22"/>
      </w:rPr>
    </w:pPr>
    <w:r>
      <w:rPr>
        <w:noProof/>
      </w:rPr>
      <w:drawing>
        <wp:anchor distT="0" distB="0" distL="114300" distR="114300" simplePos="0" relativeHeight="251654656" behindDoc="1" locked="0" layoutInCell="1" allowOverlap="1" wp14:anchorId="20E7010A" wp14:editId="77FA94B8">
          <wp:simplePos x="0" y="0"/>
          <wp:positionH relativeFrom="margin">
            <wp:posOffset>1306830</wp:posOffset>
          </wp:positionH>
          <wp:positionV relativeFrom="paragraph">
            <wp:posOffset>-285115</wp:posOffset>
          </wp:positionV>
          <wp:extent cx="1409700" cy="397125"/>
          <wp:effectExtent l="0" t="0" r="0" b="3175"/>
          <wp:wrapNone/>
          <wp:docPr id="3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427876" cy="4022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7E78C979" wp14:editId="632843DD">
          <wp:simplePos x="0" y="0"/>
          <wp:positionH relativeFrom="column">
            <wp:posOffset>-10795</wp:posOffset>
          </wp:positionH>
          <wp:positionV relativeFrom="paragraph">
            <wp:posOffset>-431800</wp:posOffset>
          </wp:positionV>
          <wp:extent cx="1242060" cy="694055"/>
          <wp:effectExtent l="0" t="0" r="0" b="0"/>
          <wp:wrapNone/>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694055"/>
                  </a:xfrm>
                  <a:prstGeom prst="rect">
                    <a:avLst/>
                  </a:prstGeom>
                  <a:noFill/>
                </pic:spPr>
              </pic:pic>
            </a:graphicData>
          </a:graphic>
          <wp14:sizeRelH relativeFrom="page">
            <wp14:pctWidth>0</wp14:pctWidth>
          </wp14:sizeRelH>
          <wp14:sizeRelV relativeFrom="page">
            <wp14:pctHeight>0</wp14:pctHeight>
          </wp14:sizeRelV>
        </wp:anchor>
      </w:drawing>
    </w:r>
  </w:p>
  <w:p w14:paraId="4080449E" w14:textId="6BA6A339" w:rsidR="00FB17B8" w:rsidRPr="00C17031" w:rsidRDefault="00FB17B8" w:rsidP="00B04152">
    <w:pPr>
      <w:pStyle w:val="Intestazione"/>
      <w:pBdr>
        <w:bottom w:val="single" w:sz="6" w:space="0" w:color="auto"/>
      </w:pBdr>
      <w:tabs>
        <w:tab w:val="left" w:pos="677"/>
      </w:tabs>
      <w:rPr>
        <w:rFonts w:ascii="Cambria" w:hAnsi="Cambria"/>
        <w:i/>
        <w:sz w:val="16"/>
        <w:szCs w:val="18"/>
      </w:rPr>
    </w:pPr>
    <w:r>
      <w:rPr>
        <w:rFonts w:ascii="Cambria" w:hAnsi="Cambria"/>
        <w:i/>
      </w:rPr>
      <w:tab/>
    </w:r>
    <w:r>
      <w:rPr>
        <w:rFonts w:ascii="Cambria" w:hAnsi="Cambria"/>
        <w:i/>
      </w:rPr>
      <w:tab/>
    </w:r>
    <w:r>
      <w:rPr>
        <w:rFonts w:ascii="Cambria" w:hAnsi="Cambria"/>
        <w:i/>
      </w:rPr>
      <w:tab/>
      <w:t>États financiers intermédiaires consolidés au 30 juin 2021</w:t>
    </w:r>
  </w:p>
  <w:p w14:paraId="13D52D01" w14:textId="77777777" w:rsidR="00FB17B8" w:rsidRPr="00171488" w:rsidRDefault="00FB17B8" w:rsidP="00BE1D27">
    <w:pPr>
      <w:pStyle w:val="Intestazione"/>
      <w:pBdr>
        <w:bottom w:val="single" w:sz="6" w:space="0" w:color="auto"/>
      </w:pBdr>
      <w:spacing w:line="100" w:lineRule="exact"/>
      <w:jc w:val="right"/>
      <w:rPr>
        <w:i/>
      </w:rPr>
    </w:pPr>
  </w:p>
  <w:p w14:paraId="742C3D67" w14:textId="77777777" w:rsidR="00FB17B8" w:rsidRPr="00BE1D27" w:rsidRDefault="00FB17B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422" w14:textId="63B4E6B9" w:rsidR="00FB17B8" w:rsidRDefault="00FB17B8" w:rsidP="00B04152">
    <w:pPr>
      <w:pStyle w:val="Intestazione"/>
      <w:pBdr>
        <w:bottom w:val="single" w:sz="6" w:space="0" w:color="auto"/>
      </w:pBdr>
      <w:jc w:val="right"/>
      <w:rPr>
        <w:i/>
      </w:rPr>
    </w:pPr>
    <w:r>
      <w:rPr>
        <w:rFonts w:ascii="Cambria" w:hAnsi="Cambria"/>
        <w:i/>
        <w:noProof/>
      </w:rPr>
      <w:drawing>
        <wp:anchor distT="0" distB="0" distL="114300" distR="114300" simplePos="0" relativeHeight="251657728" behindDoc="0" locked="0" layoutInCell="1" allowOverlap="1" wp14:anchorId="39B6D9E1" wp14:editId="3030D1C9">
          <wp:simplePos x="0" y="0"/>
          <wp:positionH relativeFrom="column">
            <wp:posOffset>0</wp:posOffset>
          </wp:positionH>
          <wp:positionV relativeFrom="paragraph">
            <wp:posOffset>-426720</wp:posOffset>
          </wp:positionV>
          <wp:extent cx="1242060" cy="694055"/>
          <wp:effectExtent l="0" t="0" r="0" b="0"/>
          <wp:wrapNone/>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9405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i/>
        <w:noProof/>
      </w:rPr>
      <w:drawing>
        <wp:anchor distT="0" distB="0" distL="114300" distR="114300" simplePos="0" relativeHeight="251658752" behindDoc="1" locked="0" layoutInCell="1" allowOverlap="1" wp14:anchorId="17792E8C" wp14:editId="6F51CCF5">
          <wp:simplePos x="0" y="0"/>
          <wp:positionH relativeFrom="margin">
            <wp:posOffset>1317625</wp:posOffset>
          </wp:positionH>
          <wp:positionV relativeFrom="paragraph">
            <wp:posOffset>-280035</wp:posOffset>
          </wp:positionV>
          <wp:extent cx="1409700" cy="396875"/>
          <wp:effectExtent l="0" t="0" r="0" b="3175"/>
          <wp:wrapNone/>
          <wp:docPr id="39"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1409700" cy="3968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584" behindDoc="0" locked="0" layoutInCell="1" allowOverlap="1" wp14:anchorId="03D46B37" wp14:editId="1E0D3112">
          <wp:simplePos x="0" y="0"/>
          <wp:positionH relativeFrom="column">
            <wp:posOffset>3810</wp:posOffset>
          </wp:positionH>
          <wp:positionV relativeFrom="paragraph">
            <wp:posOffset>-3245485</wp:posOffset>
          </wp:positionV>
          <wp:extent cx="3032760" cy="1799590"/>
          <wp:effectExtent l="0" t="0" r="0" b="0"/>
          <wp:wrapNone/>
          <wp:docPr id="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32760" cy="179959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i/>
      </w:rPr>
      <w:t xml:space="preserve"> États financiers intermédiaires consolidés au 30 juin 2021</w:t>
    </w:r>
  </w:p>
  <w:p w14:paraId="7C373C42" w14:textId="77777777" w:rsidR="00FB17B8" w:rsidRPr="00C17031" w:rsidRDefault="00FB17B8" w:rsidP="00360BCE">
    <w:pPr>
      <w:pStyle w:val="Intestazione"/>
      <w:pBdr>
        <w:bottom w:val="single" w:sz="6" w:space="0" w:color="auto"/>
      </w:pBdr>
      <w:jc w:val="right"/>
      <w:rPr>
        <w:rFonts w:ascii="Cambria" w:hAnsi="Cambria"/>
        <w:i/>
        <w:sz w:val="16"/>
        <w:szCs w:val="18"/>
      </w:rPr>
    </w:pPr>
  </w:p>
  <w:p w14:paraId="6E0F9CFF" w14:textId="77777777" w:rsidR="00FB17B8" w:rsidRPr="00171488" w:rsidRDefault="00FB17B8" w:rsidP="00BE1D27">
    <w:pPr>
      <w:pStyle w:val="Intestazione"/>
      <w:pBdr>
        <w:bottom w:val="single" w:sz="6" w:space="0" w:color="auto"/>
      </w:pBdr>
      <w:spacing w:line="100" w:lineRule="exact"/>
      <w:jc w:val="right"/>
      <w:rPr>
        <w:i/>
      </w:rPr>
    </w:pPr>
  </w:p>
  <w:p w14:paraId="6806C790" w14:textId="77777777" w:rsidR="00FB17B8" w:rsidRPr="00BE1D27" w:rsidRDefault="00FB17B8">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3E3A" w14:textId="476C7DB5" w:rsidR="00FB17B8" w:rsidRDefault="00FB17B8" w:rsidP="00373060">
    <w:pPr>
      <w:pStyle w:val="Intestazione"/>
      <w:jc w:val="right"/>
      <w:rPr>
        <w:i/>
      </w:rPr>
    </w:pPr>
    <w:r>
      <w:rPr>
        <w:rFonts w:ascii="Garamond" w:hAnsi="Garamond"/>
        <w:i/>
        <w:noProof/>
        <w:sz w:val="22"/>
      </w:rPr>
      <w:drawing>
        <wp:anchor distT="0" distB="0" distL="114300" distR="114300" simplePos="0" relativeHeight="251660800" behindDoc="1" locked="0" layoutInCell="1" allowOverlap="1" wp14:anchorId="41321B2D" wp14:editId="3A495A99">
          <wp:simplePos x="0" y="0"/>
          <wp:positionH relativeFrom="margin">
            <wp:posOffset>1317625</wp:posOffset>
          </wp:positionH>
          <wp:positionV relativeFrom="paragraph">
            <wp:posOffset>-155575</wp:posOffset>
          </wp:positionV>
          <wp:extent cx="1409700" cy="396875"/>
          <wp:effectExtent l="0" t="0" r="0" b="3175"/>
          <wp:wrapNone/>
          <wp:docPr id="4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409700" cy="39687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i/>
        <w:noProof/>
        <w:sz w:val="22"/>
      </w:rPr>
      <w:drawing>
        <wp:anchor distT="0" distB="0" distL="114300" distR="114300" simplePos="0" relativeHeight="251659776" behindDoc="0" locked="0" layoutInCell="1" allowOverlap="1" wp14:anchorId="2B2583D6" wp14:editId="593F83EE">
          <wp:simplePos x="0" y="0"/>
          <wp:positionH relativeFrom="column">
            <wp:posOffset>0</wp:posOffset>
          </wp:positionH>
          <wp:positionV relativeFrom="paragraph">
            <wp:posOffset>-302260</wp:posOffset>
          </wp:positionV>
          <wp:extent cx="1242060" cy="694055"/>
          <wp:effectExtent l="0" t="0" r="0" b="0"/>
          <wp:wrapNone/>
          <wp:docPr id="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694055"/>
                  </a:xfrm>
                  <a:prstGeom prst="rect">
                    <a:avLst/>
                  </a:prstGeom>
                  <a:noFill/>
                </pic:spPr>
              </pic:pic>
            </a:graphicData>
          </a:graphic>
          <wp14:sizeRelH relativeFrom="page">
            <wp14:pctWidth>0</wp14:pctWidth>
          </wp14:sizeRelH>
          <wp14:sizeRelV relativeFrom="page">
            <wp14:pctHeight>0</wp14:pctHeight>
          </wp14:sizeRelV>
        </wp:anchor>
      </w:drawing>
    </w:r>
  </w:p>
  <w:p w14:paraId="54AEE0BD" w14:textId="39AC4602" w:rsidR="00FB17B8" w:rsidRDefault="00FB17B8" w:rsidP="00DE178E">
    <w:pPr>
      <w:pStyle w:val="Intestazione"/>
      <w:jc w:val="right"/>
      <w:rPr>
        <w:rFonts w:ascii="Garamond" w:hAnsi="Garamond"/>
        <w:i/>
        <w:sz w:val="22"/>
      </w:rPr>
    </w:pPr>
  </w:p>
  <w:p w14:paraId="215E0643" w14:textId="77777777" w:rsidR="00FB17B8" w:rsidRDefault="00FB17B8" w:rsidP="00DE178E">
    <w:pPr>
      <w:pStyle w:val="Intestazione"/>
      <w:jc w:val="right"/>
      <w:rPr>
        <w:i/>
      </w:rPr>
    </w:pPr>
    <w:r>
      <w:rPr>
        <w:rFonts w:ascii="Cambria" w:hAnsi="Cambria"/>
        <w:i/>
      </w:rPr>
      <w:t>États financiers intermédiaires consolidés au 30 juin 2021</w:t>
    </w:r>
  </w:p>
  <w:p w14:paraId="4E001F89" w14:textId="77777777" w:rsidR="00FB17B8" w:rsidRPr="00962146" w:rsidRDefault="00FB17B8" w:rsidP="00B37F52">
    <w:pPr>
      <w:pStyle w:val="Intestazione"/>
      <w:pBdr>
        <w:bottom w:val="single" w:sz="6" w:space="0" w:color="auto"/>
      </w:pBdr>
      <w:jc w:val="right"/>
      <w:rPr>
        <w:i/>
        <w:sz w:val="16"/>
        <w:szCs w:val="18"/>
      </w:rPr>
    </w:pPr>
  </w:p>
  <w:p w14:paraId="75C69C37" w14:textId="77777777" w:rsidR="00FB17B8" w:rsidRDefault="00FB17B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305F" w14:textId="56664F50" w:rsidR="00FB17B8" w:rsidRDefault="00FB17B8" w:rsidP="00373060">
    <w:pPr>
      <w:pStyle w:val="Intestazione"/>
      <w:jc w:val="right"/>
      <w:rPr>
        <w:i/>
      </w:rPr>
    </w:pPr>
    <w:r>
      <w:rPr>
        <w:rFonts w:ascii="Garamond" w:hAnsi="Garamond"/>
        <w:i/>
        <w:noProof/>
        <w:sz w:val="22"/>
      </w:rPr>
      <w:drawing>
        <wp:anchor distT="0" distB="0" distL="114300" distR="114300" simplePos="0" relativeHeight="251662848" behindDoc="1" locked="0" layoutInCell="1" allowOverlap="1" wp14:anchorId="04CF8342" wp14:editId="27EB2D68">
          <wp:simplePos x="0" y="0"/>
          <wp:positionH relativeFrom="margin">
            <wp:posOffset>1317625</wp:posOffset>
          </wp:positionH>
          <wp:positionV relativeFrom="paragraph">
            <wp:posOffset>-155575</wp:posOffset>
          </wp:positionV>
          <wp:extent cx="1409700" cy="396875"/>
          <wp:effectExtent l="0" t="0" r="0" b="3175"/>
          <wp:wrapNone/>
          <wp:docPr id="4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409700" cy="39687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i/>
        <w:noProof/>
        <w:sz w:val="22"/>
      </w:rPr>
      <w:drawing>
        <wp:anchor distT="0" distB="0" distL="114300" distR="114300" simplePos="0" relativeHeight="251661824" behindDoc="0" locked="0" layoutInCell="1" allowOverlap="1" wp14:anchorId="0439ABA1" wp14:editId="3379DF7C">
          <wp:simplePos x="0" y="0"/>
          <wp:positionH relativeFrom="column">
            <wp:posOffset>0</wp:posOffset>
          </wp:positionH>
          <wp:positionV relativeFrom="paragraph">
            <wp:posOffset>-302260</wp:posOffset>
          </wp:positionV>
          <wp:extent cx="1242060" cy="694055"/>
          <wp:effectExtent l="0" t="0" r="0" b="0"/>
          <wp:wrapNone/>
          <wp:docPr id="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694055"/>
                  </a:xfrm>
                  <a:prstGeom prst="rect">
                    <a:avLst/>
                  </a:prstGeom>
                  <a:noFill/>
                </pic:spPr>
              </pic:pic>
            </a:graphicData>
          </a:graphic>
          <wp14:sizeRelH relativeFrom="page">
            <wp14:pctWidth>0</wp14:pctWidth>
          </wp14:sizeRelH>
          <wp14:sizeRelV relativeFrom="page">
            <wp14:pctHeight>0</wp14:pctHeight>
          </wp14:sizeRelV>
        </wp:anchor>
      </w:drawing>
    </w:r>
  </w:p>
  <w:p w14:paraId="59CF909D" w14:textId="77777777" w:rsidR="00FB17B8" w:rsidRDefault="00FB17B8" w:rsidP="00DE178E">
    <w:pPr>
      <w:pStyle w:val="Intestazione"/>
      <w:jc w:val="right"/>
      <w:rPr>
        <w:rFonts w:ascii="Garamond" w:hAnsi="Garamond"/>
        <w:i/>
        <w:sz w:val="22"/>
      </w:rPr>
    </w:pPr>
  </w:p>
  <w:p w14:paraId="0AEBCAA7" w14:textId="77777777" w:rsidR="00FB17B8" w:rsidRDefault="00FB17B8" w:rsidP="00DE178E">
    <w:pPr>
      <w:pStyle w:val="Intestazione"/>
      <w:jc w:val="right"/>
      <w:rPr>
        <w:i/>
      </w:rPr>
    </w:pPr>
    <w:r>
      <w:rPr>
        <w:rFonts w:ascii="Cambria" w:hAnsi="Cambria"/>
        <w:i/>
      </w:rPr>
      <w:t>États financiers intermédiaires consolidés au 30 juin 2021</w:t>
    </w:r>
  </w:p>
  <w:p w14:paraId="12CA2690" w14:textId="77777777" w:rsidR="00FB17B8" w:rsidRPr="00962146" w:rsidRDefault="00FB17B8" w:rsidP="00B37F52">
    <w:pPr>
      <w:pStyle w:val="Intestazione"/>
      <w:pBdr>
        <w:bottom w:val="single" w:sz="6" w:space="0" w:color="auto"/>
      </w:pBdr>
      <w:jc w:val="right"/>
      <w:rPr>
        <w:i/>
        <w:sz w:val="16"/>
        <w:szCs w:val="18"/>
      </w:rPr>
    </w:pPr>
  </w:p>
  <w:p w14:paraId="70361722" w14:textId="77777777" w:rsidR="00FB17B8" w:rsidRDefault="00FB17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9DA"/>
    <w:multiLevelType w:val="hybridMultilevel"/>
    <w:tmpl w:val="16B43AC8"/>
    <w:lvl w:ilvl="0" w:tplc="8ED05F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8F2358"/>
    <w:multiLevelType w:val="hybridMultilevel"/>
    <w:tmpl w:val="2E9096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D4A92"/>
    <w:multiLevelType w:val="hybridMultilevel"/>
    <w:tmpl w:val="08528F92"/>
    <w:lvl w:ilvl="0" w:tplc="04100001">
      <w:start w:val="1"/>
      <w:numFmt w:val="bullet"/>
      <w:lvlText w:val=""/>
      <w:lvlJc w:val="left"/>
      <w:pPr>
        <w:ind w:left="720" w:hanging="360"/>
      </w:pPr>
      <w:rPr>
        <w:rFonts w:ascii="Symbol" w:hAnsi="Symbol" w:hint="default"/>
      </w:rPr>
    </w:lvl>
    <w:lvl w:ilvl="1" w:tplc="F9DC18E2">
      <w:start w:val="1"/>
      <w:numFmt w:val="bullet"/>
      <w:lvlText w:val="-"/>
      <w:lvlJc w:val="left"/>
      <w:pPr>
        <w:ind w:left="1440" w:hanging="360"/>
      </w:pPr>
      <w:rPr>
        <w:rFonts w:ascii="Arial"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8F2B04"/>
    <w:multiLevelType w:val="hybridMultilevel"/>
    <w:tmpl w:val="E6C84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2D658C"/>
    <w:multiLevelType w:val="hybridMultilevel"/>
    <w:tmpl w:val="CE36A736"/>
    <w:lvl w:ilvl="0" w:tplc="9A9CBDF6">
      <w:start w:val="1"/>
      <w:numFmt w:val="bullet"/>
      <w:lvlText w:val="-"/>
      <w:lvlJc w:val="left"/>
      <w:pPr>
        <w:ind w:left="720" w:hanging="360"/>
      </w:pPr>
      <w:rPr>
        <w:rFonts w:ascii="Times New Roman" w:eastAsia="Times New Roman" w:hAnsi="Times New Roman" w:cs="Times New Roman" w:hint="default"/>
      </w:rPr>
    </w:lvl>
    <w:lvl w:ilvl="1" w:tplc="F9DC18E2">
      <w:start w:val="1"/>
      <w:numFmt w:val="bullet"/>
      <w:lvlText w:val="-"/>
      <w:lvlJc w:val="left"/>
      <w:pPr>
        <w:ind w:left="1440" w:hanging="360"/>
      </w:pPr>
      <w:rPr>
        <w:rFonts w:ascii="Arial"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8926ED"/>
    <w:multiLevelType w:val="hybridMultilevel"/>
    <w:tmpl w:val="37D409E8"/>
    <w:lvl w:ilvl="0" w:tplc="8ED05F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8200D5"/>
    <w:multiLevelType w:val="hybridMultilevel"/>
    <w:tmpl w:val="0F6E6B5C"/>
    <w:lvl w:ilvl="0" w:tplc="9A9CBDF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9940E3"/>
    <w:multiLevelType w:val="hybridMultilevel"/>
    <w:tmpl w:val="2E386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0D43D4"/>
    <w:multiLevelType w:val="hybridMultilevel"/>
    <w:tmpl w:val="AACE24DE"/>
    <w:lvl w:ilvl="0" w:tplc="F9DC18E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CB0087"/>
    <w:multiLevelType w:val="hybridMultilevel"/>
    <w:tmpl w:val="3DBCCF36"/>
    <w:lvl w:ilvl="0" w:tplc="ED9AC1C6">
      <w:numFmt w:val="bullet"/>
      <w:lvlText w:val="•"/>
      <w:lvlJc w:val="left"/>
      <w:pPr>
        <w:ind w:left="1068" w:hanging="708"/>
      </w:pPr>
      <w:rPr>
        <w:rFonts w:ascii="Cambria" w:eastAsia="Calibr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D86E80"/>
    <w:multiLevelType w:val="hybridMultilevel"/>
    <w:tmpl w:val="0C381162"/>
    <w:lvl w:ilvl="0" w:tplc="321CE66A">
      <w:start w:val="1"/>
      <w:numFmt w:val="lowerRoman"/>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7C7679"/>
    <w:multiLevelType w:val="hybridMultilevel"/>
    <w:tmpl w:val="BD2A8A34"/>
    <w:lvl w:ilvl="0" w:tplc="9A9CBDF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C51651"/>
    <w:multiLevelType w:val="hybridMultilevel"/>
    <w:tmpl w:val="18B673D6"/>
    <w:lvl w:ilvl="0" w:tplc="8ED05F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9EA590E"/>
    <w:multiLevelType w:val="hybridMultilevel"/>
    <w:tmpl w:val="67C6AEDA"/>
    <w:lvl w:ilvl="0" w:tplc="8ED05F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BED0029"/>
    <w:multiLevelType w:val="hybridMultilevel"/>
    <w:tmpl w:val="B0BCB8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FE55788"/>
    <w:multiLevelType w:val="hybridMultilevel"/>
    <w:tmpl w:val="77522006"/>
    <w:lvl w:ilvl="0" w:tplc="F3E6788A">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FED011C"/>
    <w:multiLevelType w:val="hybridMultilevel"/>
    <w:tmpl w:val="DE7CF444"/>
    <w:lvl w:ilvl="0" w:tplc="883E3826">
      <w:start w:val="1"/>
      <w:numFmt w:val="decimal"/>
      <w:lvlText w:val="%1)"/>
      <w:lvlJc w:val="left"/>
      <w:pPr>
        <w:ind w:left="360" w:hanging="360"/>
      </w:pPr>
      <w:rPr>
        <w:rFonts w:hint="default"/>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0F47825"/>
    <w:multiLevelType w:val="hybridMultilevel"/>
    <w:tmpl w:val="9A44D034"/>
    <w:lvl w:ilvl="0" w:tplc="9D566896">
      <w:start w:val="1"/>
      <w:numFmt w:val="low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4197E84"/>
    <w:multiLevelType w:val="hybridMultilevel"/>
    <w:tmpl w:val="DB748308"/>
    <w:lvl w:ilvl="0" w:tplc="88EAF22C">
      <w:start w:val="2"/>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58A55C2"/>
    <w:multiLevelType w:val="hybridMultilevel"/>
    <w:tmpl w:val="46848844"/>
    <w:lvl w:ilvl="0" w:tplc="681697A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6EE3485"/>
    <w:multiLevelType w:val="hybridMultilevel"/>
    <w:tmpl w:val="FE106114"/>
    <w:lvl w:ilvl="0" w:tplc="F9DC18E2">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287A7ED6"/>
    <w:multiLevelType w:val="hybridMultilevel"/>
    <w:tmpl w:val="52120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D83E02"/>
    <w:multiLevelType w:val="hybridMultilevel"/>
    <w:tmpl w:val="AC4A1618"/>
    <w:lvl w:ilvl="0" w:tplc="F3E6788A">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C4A610C"/>
    <w:multiLevelType w:val="hybridMultilevel"/>
    <w:tmpl w:val="DF3C9EFE"/>
    <w:lvl w:ilvl="0" w:tplc="A4D86B38">
      <w:start w:val="1"/>
      <w:numFmt w:val="low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2CD40EBF"/>
    <w:multiLevelType w:val="hybridMultilevel"/>
    <w:tmpl w:val="8828F78C"/>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DB23537"/>
    <w:multiLevelType w:val="hybridMultilevel"/>
    <w:tmpl w:val="87D202AC"/>
    <w:lvl w:ilvl="0" w:tplc="8ED05F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EAF3D9F"/>
    <w:multiLevelType w:val="hybridMultilevel"/>
    <w:tmpl w:val="89E6B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0847E9B"/>
    <w:multiLevelType w:val="hybridMultilevel"/>
    <w:tmpl w:val="8532563C"/>
    <w:lvl w:ilvl="0" w:tplc="9A9CBDF6">
      <w:start w:val="1"/>
      <w:numFmt w:val="bullet"/>
      <w:lvlText w:val="-"/>
      <w:lvlJc w:val="left"/>
      <w:pPr>
        <w:ind w:left="720" w:hanging="360"/>
      </w:pPr>
      <w:rPr>
        <w:rFonts w:ascii="Times New Roman" w:eastAsia="Times New Roman" w:hAnsi="Times New Roman" w:cs="Times New Roman" w:hint="default"/>
      </w:rPr>
    </w:lvl>
    <w:lvl w:ilvl="1" w:tplc="98CC74FE">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2F939ED"/>
    <w:multiLevelType w:val="hybridMultilevel"/>
    <w:tmpl w:val="CA82779E"/>
    <w:lvl w:ilvl="0" w:tplc="C0F046C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34304AC2"/>
    <w:multiLevelType w:val="hybridMultilevel"/>
    <w:tmpl w:val="4DFE6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4A97EA5"/>
    <w:multiLevelType w:val="hybridMultilevel"/>
    <w:tmpl w:val="A36833EE"/>
    <w:lvl w:ilvl="0" w:tplc="F9DC18E2">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35C205D0"/>
    <w:multiLevelType w:val="hybridMultilevel"/>
    <w:tmpl w:val="750A7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8A66B73"/>
    <w:multiLevelType w:val="multilevel"/>
    <w:tmpl w:val="CCF0AB46"/>
    <w:lvl w:ilvl="0">
      <w:start w:val="1"/>
      <w:numFmt w:val="decimal"/>
      <w:lvlText w:val="%1."/>
      <w:lvlJc w:val="left"/>
      <w:pPr>
        <w:ind w:left="501" w:hanging="360"/>
      </w:pPr>
      <w:rPr>
        <w:b/>
        <w:bCs/>
      </w:rPr>
    </w:lvl>
    <w:lvl w:ilvl="1">
      <w:start w:val="1"/>
      <w:numFmt w:val="decimal"/>
      <w:isLgl/>
      <w:lvlText w:val="%1.%2"/>
      <w:lvlJc w:val="left"/>
      <w:pPr>
        <w:ind w:left="80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3A9E77AC"/>
    <w:multiLevelType w:val="hybridMultilevel"/>
    <w:tmpl w:val="2E3636A6"/>
    <w:lvl w:ilvl="0" w:tplc="F3D82C32">
      <w:start w:val="1"/>
      <w:numFmt w:val="bullet"/>
      <w:lvlText w:val=""/>
      <w:lvlJc w:val="left"/>
      <w:pPr>
        <w:ind w:left="720" w:hanging="360"/>
      </w:pPr>
      <w:rPr>
        <w:rFonts w:ascii="Symbol" w:hAnsi="Symbol" w:hint="default"/>
      </w:rPr>
    </w:lvl>
    <w:lvl w:ilvl="1" w:tplc="F59ACA1C">
      <w:start w:val="1"/>
      <w:numFmt w:val="bullet"/>
      <w:lvlText w:val="o"/>
      <w:lvlJc w:val="left"/>
      <w:pPr>
        <w:ind w:left="960" w:hanging="360"/>
      </w:pPr>
      <w:rPr>
        <w:rFonts w:ascii="Courier New" w:hAnsi="Courier New" w:cs="Courier New" w:hint="default"/>
      </w:rPr>
    </w:lvl>
    <w:lvl w:ilvl="2" w:tplc="40E052DA">
      <w:start w:val="1"/>
      <w:numFmt w:val="bullet"/>
      <w:lvlText w:val="o"/>
      <w:lvlJc w:val="left"/>
      <w:pPr>
        <w:ind w:left="2160" w:hanging="360"/>
      </w:pPr>
      <w:rPr>
        <w:rFonts w:ascii="Courier New" w:hAnsi="Courier New" w:cs="Courier New" w:hint="default"/>
      </w:rPr>
    </w:lvl>
    <w:lvl w:ilvl="3" w:tplc="FE523674" w:tentative="1">
      <w:start w:val="1"/>
      <w:numFmt w:val="bullet"/>
      <w:lvlText w:val=""/>
      <w:lvlJc w:val="left"/>
      <w:pPr>
        <w:ind w:left="2880" w:hanging="360"/>
      </w:pPr>
      <w:rPr>
        <w:rFonts w:ascii="Symbol" w:hAnsi="Symbol" w:hint="default"/>
      </w:rPr>
    </w:lvl>
    <w:lvl w:ilvl="4" w:tplc="90A47E76" w:tentative="1">
      <w:start w:val="1"/>
      <w:numFmt w:val="bullet"/>
      <w:lvlText w:val="o"/>
      <w:lvlJc w:val="left"/>
      <w:pPr>
        <w:ind w:left="3600" w:hanging="360"/>
      </w:pPr>
      <w:rPr>
        <w:rFonts w:ascii="Courier New" w:hAnsi="Courier New" w:cs="Courier New" w:hint="default"/>
      </w:rPr>
    </w:lvl>
    <w:lvl w:ilvl="5" w:tplc="EC785AFE" w:tentative="1">
      <w:start w:val="1"/>
      <w:numFmt w:val="bullet"/>
      <w:lvlText w:val=""/>
      <w:lvlJc w:val="left"/>
      <w:pPr>
        <w:ind w:left="4320" w:hanging="360"/>
      </w:pPr>
      <w:rPr>
        <w:rFonts w:ascii="Wingdings" w:hAnsi="Wingdings" w:hint="default"/>
      </w:rPr>
    </w:lvl>
    <w:lvl w:ilvl="6" w:tplc="515004DE" w:tentative="1">
      <w:start w:val="1"/>
      <w:numFmt w:val="bullet"/>
      <w:lvlText w:val=""/>
      <w:lvlJc w:val="left"/>
      <w:pPr>
        <w:ind w:left="5040" w:hanging="360"/>
      </w:pPr>
      <w:rPr>
        <w:rFonts w:ascii="Symbol" w:hAnsi="Symbol" w:hint="default"/>
      </w:rPr>
    </w:lvl>
    <w:lvl w:ilvl="7" w:tplc="F7B45A40" w:tentative="1">
      <w:start w:val="1"/>
      <w:numFmt w:val="bullet"/>
      <w:lvlText w:val="o"/>
      <w:lvlJc w:val="left"/>
      <w:pPr>
        <w:ind w:left="5760" w:hanging="360"/>
      </w:pPr>
      <w:rPr>
        <w:rFonts w:ascii="Courier New" w:hAnsi="Courier New" w:cs="Courier New" w:hint="default"/>
      </w:rPr>
    </w:lvl>
    <w:lvl w:ilvl="8" w:tplc="9AD21AE8" w:tentative="1">
      <w:start w:val="1"/>
      <w:numFmt w:val="bullet"/>
      <w:lvlText w:val=""/>
      <w:lvlJc w:val="left"/>
      <w:pPr>
        <w:ind w:left="6480" w:hanging="360"/>
      </w:pPr>
      <w:rPr>
        <w:rFonts w:ascii="Wingdings" w:hAnsi="Wingdings" w:hint="default"/>
      </w:rPr>
    </w:lvl>
  </w:abstractNum>
  <w:abstractNum w:abstractNumId="34" w15:restartNumberingAfterBreak="0">
    <w:nsid w:val="3AD94B09"/>
    <w:multiLevelType w:val="hybridMultilevel"/>
    <w:tmpl w:val="C5C24612"/>
    <w:lvl w:ilvl="0" w:tplc="8ED05F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B7F38AE"/>
    <w:multiLevelType w:val="hybridMultilevel"/>
    <w:tmpl w:val="035AF9D4"/>
    <w:lvl w:ilvl="0" w:tplc="6F989AF4">
      <w:start w:val="9"/>
      <w:numFmt w:val="bullet"/>
      <w:lvlText w:val=""/>
      <w:lvlJc w:val="left"/>
      <w:pPr>
        <w:ind w:left="720" w:hanging="360"/>
      </w:pPr>
      <w:rPr>
        <w:rFonts w:ascii="Symbol" w:eastAsia="Times New Roman" w:hAnsi="Symbol" w:cs="Times New Roman" w:hint="default"/>
        <w:b w:val="0"/>
        <w:i/>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BDE7A79"/>
    <w:multiLevelType w:val="hybridMultilevel"/>
    <w:tmpl w:val="BC52379A"/>
    <w:lvl w:ilvl="0" w:tplc="1A742FEC">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CEF697E"/>
    <w:multiLevelType w:val="hybridMultilevel"/>
    <w:tmpl w:val="967CA1E4"/>
    <w:lvl w:ilvl="0" w:tplc="9C7A759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113418F"/>
    <w:multiLevelType w:val="hybridMultilevel"/>
    <w:tmpl w:val="AAA89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3637689"/>
    <w:multiLevelType w:val="hybridMultilevel"/>
    <w:tmpl w:val="4F12C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C6749BA"/>
    <w:multiLevelType w:val="hybridMultilevel"/>
    <w:tmpl w:val="4D9005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CE7724B"/>
    <w:multiLevelType w:val="hybridMultilevel"/>
    <w:tmpl w:val="CB865DD0"/>
    <w:lvl w:ilvl="0" w:tplc="F9DC18E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0D54EF8"/>
    <w:multiLevelType w:val="hybridMultilevel"/>
    <w:tmpl w:val="DE503FDA"/>
    <w:lvl w:ilvl="0" w:tplc="91E0DBA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47E1B02"/>
    <w:multiLevelType w:val="hybridMultilevel"/>
    <w:tmpl w:val="9A788650"/>
    <w:lvl w:ilvl="0" w:tplc="551A59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66E7A46"/>
    <w:multiLevelType w:val="hybridMultilevel"/>
    <w:tmpl w:val="2FC60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6E548DB"/>
    <w:multiLevelType w:val="hybridMultilevel"/>
    <w:tmpl w:val="9FFADE76"/>
    <w:lvl w:ilvl="0" w:tplc="8ED05F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1327EDF"/>
    <w:multiLevelType w:val="hybridMultilevel"/>
    <w:tmpl w:val="170EC4E6"/>
    <w:lvl w:ilvl="0" w:tplc="8ED05F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22C7913"/>
    <w:multiLevelType w:val="hybridMultilevel"/>
    <w:tmpl w:val="56162162"/>
    <w:lvl w:ilvl="0" w:tplc="F9DC18E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4891F16"/>
    <w:multiLevelType w:val="hybridMultilevel"/>
    <w:tmpl w:val="EEFE20E0"/>
    <w:lvl w:ilvl="0" w:tplc="9C7A759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77A0960"/>
    <w:multiLevelType w:val="hybridMultilevel"/>
    <w:tmpl w:val="9314F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77C4766"/>
    <w:multiLevelType w:val="hybridMultilevel"/>
    <w:tmpl w:val="5D88C6F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15:restartNumberingAfterBreak="0">
    <w:nsid w:val="689902B0"/>
    <w:multiLevelType w:val="hybridMultilevel"/>
    <w:tmpl w:val="8556DAFC"/>
    <w:lvl w:ilvl="0" w:tplc="835AB95C">
      <w:numFmt w:val="bullet"/>
      <w:lvlText w:val=""/>
      <w:lvlJc w:val="left"/>
      <w:pPr>
        <w:ind w:left="444" w:hanging="279"/>
      </w:pPr>
      <w:rPr>
        <w:rFonts w:hint="default"/>
        <w:w w:val="99"/>
        <w:lang w:val="en-GB" w:eastAsia="en-US" w:bidi="ar-SA"/>
      </w:rPr>
    </w:lvl>
    <w:lvl w:ilvl="1" w:tplc="7DC43800">
      <w:numFmt w:val="bullet"/>
      <w:lvlText w:val="-"/>
      <w:lvlJc w:val="left"/>
      <w:pPr>
        <w:ind w:left="1155" w:hanging="286"/>
      </w:pPr>
      <w:rPr>
        <w:rFonts w:hint="default"/>
        <w:w w:val="87"/>
        <w:lang w:val="en-GB" w:eastAsia="en-US" w:bidi="ar-SA"/>
      </w:rPr>
    </w:lvl>
    <w:lvl w:ilvl="2" w:tplc="C6649CCA">
      <w:numFmt w:val="bullet"/>
      <w:lvlText w:val="•"/>
      <w:lvlJc w:val="left"/>
      <w:pPr>
        <w:ind w:left="740" w:hanging="286"/>
      </w:pPr>
      <w:rPr>
        <w:rFonts w:hint="default"/>
        <w:lang w:val="en-GB" w:eastAsia="en-US" w:bidi="ar-SA"/>
      </w:rPr>
    </w:lvl>
    <w:lvl w:ilvl="3" w:tplc="926CD41E">
      <w:numFmt w:val="bullet"/>
      <w:lvlText w:val="•"/>
      <w:lvlJc w:val="left"/>
      <w:pPr>
        <w:ind w:left="1160" w:hanging="286"/>
      </w:pPr>
      <w:rPr>
        <w:rFonts w:hint="default"/>
        <w:lang w:val="en-GB" w:eastAsia="en-US" w:bidi="ar-SA"/>
      </w:rPr>
    </w:lvl>
    <w:lvl w:ilvl="4" w:tplc="094E626C">
      <w:numFmt w:val="bullet"/>
      <w:lvlText w:val="•"/>
      <w:lvlJc w:val="left"/>
      <w:pPr>
        <w:ind w:left="2235" w:hanging="286"/>
      </w:pPr>
      <w:rPr>
        <w:rFonts w:hint="default"/>
        <w:lang w:val="en-GB" w:eastAsia="en-US" w:bidi="ar-SA"/>
      </w:rPr>
    </w:lvl>
    <w:lvl w:ilvl="5" w:tplc="387EAB18">
      <w:numFmt w:val="bullet"/>
      <w:lvlText w:val="•"/>
      <w:lvlJc w:val="left"/>
      <w:pPr>
        <w:ind w:left="3310" w:hanging="286"/>
      </w:pPr>
      <w:rPr>
        <w:rFonts w:hint="default"/>
        <w:lang w:val="en-GB" w:eastAsia="en-US" w:bidi="ar-SA"/>
      </w:rPr>
    </w:lvl>
    <w:lvl w:ilvl="6" w:tplc="62BAE47C">
      <w:numFmt w:val="bullet"/>
      <w:lvlText w:val="•"/>
      <w:lvlJc w:val="left"/>
      <w:pPr>
        <w:ind w:left="4385" w:hanging="286"/>
      </w:pPr>
      <w:rPr>
        <w:rFonts w:hint="default"/>
        <w:lang w:val="en-GB" w:eastAsia="en-US" w:bidi="ar-SA"/>
      </w:rPr>
    </w:lvl>
    <w:lvl w:ilvl="7" w:tplc="EC4E20EC">
      <w:numFmt w:val="bullet"/>
      <w:lvlText w:val="•"/>
      <w:lvlJc w:val="left"/>
      <w:pPr>
        <w:ind w:left="5460" w:hanging="286"/>
      </w:pPr>
      <w:rPr>
        <w:rFonts w:hint="default"/>
        <w:lang w:val="en-GB" w:eastAsia="en-US" w:bidi="ar-SA"/>
      </w:rPr>
    </w:lvl>
    <w:lvl w:ilvl="8" w:tplc="7DBC1EC0">
      <w:numFmt w:val="bullet"/>
      <w:lvlText w:val="•"/>
      <w:lvlJc w:val="left"/>
      <w:pPr>
        <w:ind w:left="6536" w:hanging="286"/>
      </w:pPr>
      <w:rPr>
        <w:rFonts w:hint="default"/>
        <w:lang w:val="en-GB" w:eastAsia="en-US" w:bidi="ar-SA"/>
      </w:rPr>
    </w:lvl>
  </w:abstractNum>
  <w:abstractNum w:abstractNumId="52" w15:restartNumberingAfterBreak="0">
    <w:nsid w:val="6B9B7567"/>
    <w:multiLevelType w:val="hybridMultilevel"/>
    <w:tmpl w:val="8CEEFE2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6BDA5F54"/>
    <w:multiLevelType w:val="hybridMultilevel"/>
    <w:tmpl w:val="039CB038"/>
    <w:lvl w:ilvl="0" w:tplc="F5204DA2">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BF67D40"/>
    <w:multiLevelType w:val="hybridMultilevel"/>
    <w:tmpl w:val="B546E88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5" w15:restartNumberingAfterBreak="0">
    <w:nsid w:val="70C62ECE"/>
    <w:multiLevelType w:val="hybridMultilevel"/>
    <w:tmpl w:val="9F18FA7A"/>
    <w:lvl w:ilvl="0" w:tplc="1A742FEC">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3A7145C"/>
    <w:multiLevelType w:val="hybridMultilevel"/>
    <w:tmpl w:val="977C1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55D4E33"/>
    <w:multiLevelType w:val="hybridMultilevel"/>
    <w:tmpl w:val="8878C628"/>
    <w:lvl w:ilvl="0" w:tplc="5184C70E">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84D6507"/>
    <w:multiLevelType w:val="hybridMultilevel"/>
    <w:tmpl w:val="3B1AD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DE76798"/>
    <w:multiLevelType w:val="hybridMultilevel"/>
    <w:tmpl w:val="108C3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2881836">
    <w:abstractNumId w:val="53"/>
  </w:num>
  <w:num w:numId="2" w16cid:durableId="937181857">
    <w:abstractNumId w:val="27"/>
  </w:num>
  <w:num w:numId="3" w16cid:durableId="721833281">
    <w:abstractNumId w:val="17"/>
  </w:num>
  <w:num w:numId="4" w16cid:durableId="1059129918">
    <w:abstractNumId w:val="23"/>
  </w:num>
  <w:num w:numId="5" w16cid:durableId="943849867">
    <w:abstractNumId w:val="10"/>
  </w:num>
  <w:num w:numId="6" w16cid:durableId="793720145">
    <w:abstractNumId w:val="32"/>
  </w:num>
  <w:num w:numId="7" w16cid:durableId="1861310684">
    <w:abstractNumId w:val="40"/>
  </w:num>
  <w:num w:numId="8" w16cid:durableId="521208671">
    <w:abstractNumId w:val="29"/>
  </w:num>
  <w:num w:numId="9" w16cid:durableId="618217268">
    <w:abstractNumId w:val="20"/>
  </w:num>
  <w:num w:numId="10" w16cid:durableId="1983267830">
    <w:abstractNumId w:val="30"/>
  </w:num>
  <w:num w:numId="11" w16cid:durableId="107550186">
    <w:abstractNumId w:val="50"/>
  </w:num>
  <w:num w:numId="12" w16cid:durableId="1678923549">
    <w:abstractNumId w:val="16"/>
  </w:num>
  <w:num w:numId="13" w16cid:durableId="671025652">
    <w:abstractNumId w:val="2"/>
  </w:num>
  <w:num w:numId="14" w16cid:durableId="1580671234">
    <w:abstractNumId w:val="47"/>
  </w:num>
  <w:num w:numId="15" w16cid:durableId="513810758">
    <w:abstractNumId w:val="8"/>
  </w:num>
  <w:num w:numId="16" w16cid:durableId="375009986">
    <w:abstractNumId w:val="41"/>
  </w:num>
  <w:num w:numId="17" w16cid:durableId="199821443">
    <w:abstractNumId w:val="43"/>
  </w:num>
  <w:num w:numId="18" w16cid:durableId="2138526211">
    <w:abstractNumId w:val="24"/>
  </w:num>
  <w:num w:numId="19" w16cid:durableId="1398168991">
    <w:abstractNumId w:val="14"/>
  </w:num>
  <w:num w:numId="20" w16cid:durableId="824780312">
    <w:abstractNumId w:val="18"/>
  </w:num>
  <w:num w:numId="21" w16cid:durableId="341587834">
    <w:abstractNumId w:val="57"/>
  </w:num>
  <w:num w:numId="22" w16cid:durableId="1990163189">
    <w:abstractNumId w:val="31"/>
  </w:num>
  <w:num w:numId="23" w16cid:durableId="1498305289">
    <w:abstractNumId w:val="39"/>
  </w:num>
  <w:num w:numId="24" w16cid:durableId="645862227">
    <w:abstractNumId w:val="4"/>
  </w:num>
  <w:num w:numId="25" w16cid:durableId="378012577">
    <w:abstractNumId w:val="26"/>
  </w:num>
  <w:num w:numId="26" w16cid:durableId="430782980">
    <w:abstractNumId w:val="28"/>
  </w:num>
  <w:num w:numId="27" w16cid:durableId="2130732677">
    <w:abstractNumId w:val="49"/>
  </w:num>
  <w:num w:numId="28" w16cid:durableId="623124599">
    <w:abstractNumId w:val="12"/>
  </w:num>
  <w:num w:numId="29" w16cid:durableId="1660425180">
    <w:abstractNumId w:val="5"/>
  </w:num>
  <w:num w:numId="30" w16cid:durableId="1354383436">
    <w:abstractNumId w:val="25"/>
  </w:num>
  <w:num w:numId="31" w16cid:durableId="707337446">
    <w:abstractNumId w:val="0"/>
  </w:num>
  <w:num w:numId="32" w16cid:durableId="1814055612">
    <w:abstractNumId w:val="51"/>
  </w:num>
  <w:num w:numId="33" w16cid:durableId="947657785">
    <w:abstractNumId w:val="34"/>
  </w:num>
  <w:num w:numId="34" w16cid:durableId="1867981704">
    <w:abstractNumId w:val="46"/>
  </w:num>
  <w:num w:numId="35" w16cid:durableId="1116215793">
    <w:abstractNumId w:val="45"/>
  </w:num>
  <w:num w:numId="36" w16cid:durableId="500506700">
    <w:abstractNumId w:val="1"/>
  </w:num>
  <w:num w:numId="37" w16cid:durableId="820930223">
    <w:abstractNumId w:val="9"/>
  </w:num>
  <w:num w:numId="38" w16cid:durableId="1797407804">
    <w:abstractNumId w:val="58"/>
  </w:num>
  <w:num w:numId="39" w16cid:durableId="519779924">
    <w:abstractNumId w:val="21"/>
  </w:num>
  <w:num w:numId="40" w16cid:durableId="1777217365">
    <w:abstractNumId w:val="36"/>
  </w:num>
  <w:num w:numId="41" w16cid:durableId="1187716730">
    <w:abstractNumId w:val="55"/>
  </w:num>
  <w:num w:numId="42" w16cid:durableId="1504471917">
    <w:abstractNumId w:val="48"/>
  </w:num>
  <w:num w:numId="43" w16cid:durableId="1346443393">
    <w:abstractNumId w:val="37"/>
  </w:num>
  <w:num w:numId="44" w16cid:durableId="346712322">
    <w:abstractNumId w:val="19"/>
  </w:num>
  <w:num w:numId="45" w16cid:durableId="878132443">
    <w:abstractNumId w:val="33"/>
  </w:num>
  <w:num w:numId="46" w16cid:durableId="1609970335">
    <w:abstractNumId w:val="52"/>
  </w:num>
  <w:num w:numId="47" w16cid:durableId="991518902">
    <w:abstractNumId w:val="7"/>
  </w:num>
  <w:num w:numId="48" w16cid:durableId="1600411250">
    <w:abstractNumId w:val="59"/>
  </w:num>
  <w:num w:numId="49" w16cid:durableId="157158022">
    <w:abstractNumId w:val="22"/>
  </w:num>
  <w:num w:numId="50" w16cid:durableId="1541242463">
    <w:abstractNumId w:val="15"/>
  </w:num>
  <w:num w:numId="51" w16cid:durableId="955598498">
    <w:abstractNumId w:val="11"/>
  </w:num>
  <w:num w:numId="52" w16cid:durableId="1278946972">
    <w:abstractNumId w:val="6"/>
  </w:num>
  <w:num w:numId="53" w16cid:durableId="1069813824">
    <w:abstractNumId w:val="13"/>
  </w:num>
  <w:num w:numId="54" w16cid:durableId="1958367107">
    <w:abstractNumId w:val="42"/>
  </w:num>
  <w:num w:numId="55" w16cid:durableId="62341015">
    <w:abstractNumId w:val="35"/>
  </w:num>
  <w:num w:numId="56" w16cid:durableId="393816685">
    <w:abstractNumId w:val="56"/>
  </w:num>
  <w:num w:numId="57" w16cid:durableId="1250507961">
    <w:abstractNumId w:val="54"/>
  </w:num>
  <w:num w:numId="58" w16cid:durableId="648872788">
    <w:abstractNumId w:val="3"/>
  </w:num>
  <w:num w:numId="59" w16cid:durableId="1106193602">
    <w:abstractNumId w:val="44"/>
  </w:num>
  <w:num w:numId="60" w16cid:durableId="43217858">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documentProtection w:edit="trackedChanges" w:enforcement="0"/>
  <w:defaultTabStop w:val="284"/>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6C"/>
    <w:rsid w:val="00000987"/>
    <w:rsid w:val="000016A9"/>
    <w:rsid w:val="00001922"/>
    <w:rsid w:val="0000269E"/>
    <w:rsid w:val="00002F0D"/>
    <w:rsid w:val="000030EE"/>
    <w:rsid w:val="000038B6"/>
    <w:rsid w:val="00005846"/>
    <w:rsid w:val="00006137"/>
    <w:rsid w:val="00006247"/>
    <w:rsid w:val="00006382"/>
    <w:rsid w:val="0000656B"/>
    <w:rsid w:val="00010B78"/>
    <w:rsid w:val="000117CF"/>
    <w:rsid w:val="00011FAC"/>
    <w:rsid w:val="00013F3C"/>
    <w:rsid w:val="00013FE8"/>
    <w:rsid w:val="00014DA7"/>
    <w:rsid w:val="000152C5"/>
    <w:rsid w:val="0001657C"/>
    <w:rsid w:val="000166DE"/>
    <w:rsid w:val="00016CDC"/>
    <w:rsid w:val="0001744A"/>
    <w:rsid w:val="000177EF"/>
    <w:rsid w:val="00021159"/>
    <w:rsid w:val="000213C3"/>
    <w:rsid w:val="00021BAE"/>
    <w:rsid w:val="0002226B"/>
    <w:rsid w:val="00023269"/>
    <w:rsid w:val="0002350C"/>
    <w:rsid w:val="00023D30"/>
    <w:rsid w:val="000240C4"/>
    <w:rsid w:val="00024767"/>
    <w:rsid w:val="00025880"/>
    <w:rsid w:val="00026F42"/>
    <w:rsid w:val="00030D98"/>
    <w:rsid w:val="000317FA"/>
    <w:rsid w:val="00031E57"/>
    <w:rsid w:val="00032AF0"/>
    <w:rsid w:val="00034724"/>
    <w:rsid w:val="00034A70"/>
    <w:rsid w:val="00034DC4"/>
    <w:rsid w:val="0003526D"/>
    <w:rsid w:val="000358E6"/>
    <w:rsid w:val="000362B1"/>
    <w:rsid w:val="00036372"/>
    <w:rsid w:val="000376A3"/>
    <w:rsid w:val="00037D8B"/>
    <w:rsid w:val="00042CCA"/>
    <w:rsid w:val="00044F92"/>
    <w:rsid w:val="00045609"/>
    <w:rsid w:val="00046EFA"/>
    <w:rsid w:val="00047C32"/>
    <w:rsid w:val="000501CF"/>
    <w:rsid w:val="00050ED1"/>
    <w:rsid w:val="00051592"/>
    <w:rsid w:val="000516F7"/>
    <w:rsid w:val="0005319F"/>
    <w:rsid w:val="000540E4"/>
    <w:rsid w:val="0005486E"/>
    <w:rsid w:val="00054E0E"/>
    <w:rsid w:val="000552CA"/>
    <w:rsid w:val="00055A55"/>
    <w:rsid w:val="0005746E"/>
    <w:rsid w:val="00060EBF"/>
    <w:rsid w:val="000627CD"/>
    <w:rsid w:val="00063156"/>
    <w:rsid w:val="00063743"/>
    <w:rsid w:val="00063813"/>
    <w:rsid w:val="0006456C"/>
    <w:rsid w:val="00064E7F"/>
    <w:rsid w:val="00065AC7"/>
    <w:rsid w:val="00065EBA"/>
    <w:rsid w:val="00066FA6"/>
    <w:rsid w:val="000713B2"/>
    <w:rsid w:val="0007393F"/>
    <w:rsid w:val="00074092"/>
    <w:rsid w:val="00074227"/>
    <w:rsid w:val="000758F3"/>
    <w:rsid w:val="00075E01"/>
    <w:rsid w:val="00076940"/>
    <w:rsid w:val="00076B10"/>
    <w:rsid w:val="000777A3"/>
    <w:rsid w:val="000801FE"/>
    <w:rsid w:val="00080250"/>
    <w:rsid w:val="000807CE"/>
    <w:rsid w:val="0008184B"/>
    <w:rsid w:val="00081927"/>
    <w:rsid w:val="00081A47"/>
    <w:rsid w:val="00081DE3"/>
    <w:rsid w:val="00082100"/>
    <w:rsid w:val="00082ABB"/>
    <w:rsid w:val="00082C98"/>
    <w:rsid w:val="00082CFF"/>
    <w:rsid w:val="00082F05"/>
    <w:rsid w:val="000835C3"/>
    <w:rsid w:val="00083B26"/>
    <w:rsid w:val="00087DF8"/>
    <w:rsid w:val="00090F58"/>
    <w:rsid w:val="00090F99"/>
    <w:rsid w:val="00091175"/>
    <w:rsid w:val="00091541"/>
    <w:rsid w:val="00091BEF"/>
    <w:rsid w:val="00091CA0"/>
    <w:rsid w:val="00091D7C"/>
    <w:rsid w:val="000920B5"/>
    <w:rsid w:val="000928E7"/>
    <w:rsid w:val="0009301E"/>
    <w:rsid w:val="0009400E"/>
    <w:rsid w:val="000944E7"/>
    <w:rsid w:val="00094E6A"/>
    <w:rsid w:val="000A009D"/>
    <w:rsid w:val="000A0F0D"/>
    <w:rsid w:val="000A1669"/>
    <w:rsid w:val="000A2CA3"/>
    <w:rsid w:val="000A3BCD"/>
    <w:rsid w:val="000A406E"/>
    <w:rsid w:val="000A40AF"/>
    <w:rsid w:val="000A4840"/>
    <w:rsid w:val="000A4F26"/>
    <w:rsid w:val="000A5B25"/>
    <w:rsid w:val="000A6008"/>
    <w:rsid w:val="000A632A"/>
    <w:rsid w:val="000A6BD5"/>
    <w:rsid w:val="000A6FDB"/>
    <w:rsid w:val="000B0A39"/>
    <w:rsid w:val="000B1B41"/>
    <w:rsid w:val="000B2098"/>
    <w:rsid w:val="000B2CC9"/>
    <w:rsid w:val="000B3836"/>
    <w:rsid w:val="000B3AFF"/>
    <w:rsid w:val="000B3BDF"/>
    <w:rsid w:val="000B3DA8"/>
    <w:rsid w:val="000B481E"/>
    <w:rsid w:val="000B4A2D"/>
    <w:rsid w:val="000B4F11"/>
    <w:rsid w:val="000B5C8A"/>
    <w:rsid w:val="000B6A25"/>
    <w:rsid w:val="000B6DAB"/>
    <w:rsid w:val="000B7347"/>
    <w:rsid w:val="000B74CF"/>
    <w:rsid w:val="000B7840"/>
    <w:rsid w:val="000B7A4C"/>
    <w:rsid w:val="000C1B64"/>
    <w:rsid w:val="000C43F9"/>
    <w:rsid w:val="000C5572"/>
    <w:rsid w:val="000D1909"/>
    <w:rsid w:val="000D246D"/>
    <w:rsid w:val="000D3796"/>
    <w:rsid w:val="000D37B4"/>
    <w:rsid w:val="000D3C21"/>
    <w:rsid w:val="000D565C"/>
    <w:rsid w:val="000D5A0C"/>
    <w:rsid w:val="000D63DB"/>
    <w:rsid w:val="000D6F8C"/>
    <w:rsid w:val="000D7060"/>
    <w:rsid w:val="000D7EB2"/>
    <w:rsid w:val="000E046A"/>
    <w:rsid w:val="000E04D6"/>
    <w:rsid w:val="000E18F5"/>
    <w:rsid w:val="000E2230"/>
    <w:rsid w:val="000E3182"/>
    <w:rsid w:val="000E31D7"/>
    <w:rsid w:val="000E3770"/>
    <w:rsid w:val="000E3AA4"/>
    <w:rsid w:val="000E44FF"/>
    <w:rsid w:val="000E4F2C"/>
    <w:rsid w:val="000E6FF2"/>
    <w:rsid w:val="000E72E6"/>
    <w:rsid w:val="000E77CE"/>
    <w:rsid w:val="000E7A85"/>
    <w:rsid w:val="000F07E7"/>
    <w:rsid w:val="000F0BDE"/>
    <w:rsid w:val="000F2221"/>
    <w:rsid w:val="000F25E4"/>
    <w:rsid w:val="000F2A9C"/>
    <w:rsid w:val="000F4000"/>
    <w:rsid w:val="000F4463"/>
    <w:rsid w:val="000F4CD0"/>
    <w:rsid w:val="000F6123"/>
    <w:rsid w:val="000F68A5"/>
    <w:rsid w:val="0010196E"/>
    <w:rsid w:val="001032F2"/>
    <w:rsid w:val="001050A4"/>
    <w:rsid w:val="001054D2"/>
    <w:rsid w:val="001058BC"/>
    <w:rsid w:val="0010705D"/>
    <w:rsid w:val="0011018D"/>
    <w:rsid w:val="00111462"/>
    <w:rsid w:val="00114F39"/>
    <w:rsid w:val="001159A2"/>
    <w:rsid w:val="00115A78"/>
    <w:rsid w:val="00115F1E"/>
    <w:rsid w:val="00116029"/>
    <w:rsid w:val="001162C0"/>
    <w:rsid w:val="001163C4"/>
    <w:rsid w:val="00116640"/>
    <w:rsid w:val="00116B18"/>
    <w:rsid w:val="00117AD2"/>
    <w:rsid w:val="00117C15"/>
    <w:rsid w:val="00120856"/>
    <w:rsid w:val="00121946"/>
    <w:rsid w:val="00122D76"/>
    <w:rsid w:val="00123D21"/>
    <w:rsid w:val="0012426F"/>
    <w:rsid w:val="00124DE4"/>
    <w:rsid w:val="00126A41"/>
    <w:rsid w:val="00126DF6"/>
    <w:rsid w:val="001275DE"/>
    <w:rsid w:val="00131A83"/>
    <w:rsid w:val="00132336"/>
    <w:rsid w:val="00133038"/>
    <w:rsid w:val="00133C9A"/>
    <w:rsid w:val="0013401A"/>
    <w:rsid w:val="001352A9"/>
    <w:rsid w:val="0014069B"/>
    <w:rsid w:val="00140DA2"/>
    <w:rsid w:val="00141C27"/>
    <w:rsid w:val="00141EDE"/>
    <w:rsid w:val="001432DD"/>
    <w:rsid w:val="00143484"/>
    <w:rsid w:val="001434B2"/>
    <w:rsid w:val="0014442B"/>
    <w:rsid w:val="001454DC"/>
    <w:rsid w:val="00150F08"/>
    <w:rsid w:val="00151555"/>
    <w:rsid w:val="00151FF9"/>
    <w:rsid w:val="001521AC"/>
    <w:rsid w:val="00153AED"/>
    <w:rsid w:val="00154865"/>
    <w:rsid w:val="00154893"/>
    <w:rsid w:val="001552A7"/>
    <w:rsid w:val="001569B3"/>
    <w:rsid w:val="001620A0"/>
    <w:rsid w:val="001626A5"/>
    <w:rsid w:val="00162BD0"/>
    <w:rsid w:val="00162BF1"/>
    <w:rsid w:val="00162F74"/>
    <w:rsid w:val="00163361"/>
    <w:rsid w:val="0016403C"/>
    <w:rsid w:val="00165595"/>
    <w:rsid w:val="00166757"/>
    <w:rsid w:val="001669F9"/>
    <w:rsid w:val="00166E62"/>
    <w:rsid w:val="00167253"/>
    <w:rsid w:val="001672B3"/>
    <w:rsid w:val="00167756"/>
    <w:rsid w:val="00167932"/>
    <w:rsid w:val="00167A43"/>
    <w:rsid w:val="001700AE"/>
    <w:rsid w:val="001700D8"/>
    <w:rsid w:val="00170289"/>
    <w:rsid w:val="00171488"/>
    <w:rsid w:val="001740D1"/>
    <w:rsid w:val="00174718"/>
    <w:rsid w:val="00175808"/>
    <w:rsid w:val="00176D44"/>
    <w:rsid w:val="00176DF2"/>
    <w:rsid w:val="00177769"/>
    <w:rsid w:val="001808C6"/>
    <w:rsid w:val="001819BD"/>
    <w:rsid w:val="00181BB1"/>
    <w:rsid w:val="0018284A"/>
    <w:rsid w:val="00183AB5"/>
    <w:rsid w:val="00183DDE"/>
    <w:rsid w:val="001843A7"/>
    <w:rsid w:val="00184554"/>
    <w:rsid w:val="0018492A"/>
    <w:rsid w:val="00185743"/>
    <w:rsid w:val="00187452"/>
    <w:rsid w:val="001903F0"/>
    <w:rsid w:val="00191F63"/>
    <w:rsid w:val="00193890"/>
    <w:rsid w:val="00194619"/>
    <w:rsid w:val="001949FB"/>
    <w:rsid w:val="001961BC"/>
    <w:rsid w:val="00196380"/>
    <w:rsid w:val="001972DF"/>
    <w:rsid w:val="00197366"/>
    <w:rsid w:val="001978D3"/>
    <w:rsid w:val="00197A64"/>
    <w:rsid w:val="00197AA8"/>
    <w:rsid w:val="001A03C5"/>
    <w:rsid w:val="001A0761"/>
    <w:rsid w:val="001A0D87"/>
    <w:rsid w:val="001A2607"/>
    <w:rsid w:val="001A3BE4"/>
    <w:rsid w:val="001A3CE2"/>
    <w:rsid w:val="001A4059"/>
    <w:rsid w:val="001A43AA"/>
    <w:rsid w:val="001A47C7"/>
    <w:rsid w:val="001A52D9"/>
    <w:rsid w:val="001A5519"/>
    <w:rsid w:val="001A556F"/>
    <w:rsid w:val="001A66B0"/>
    <w:rsid w:val="001A6914"/>
    <w:rsid w:val="001A7008"/>
    <w:rsid w:val="001A720E"/>
    <w:rsid w:val="001B059A"/>
    <w:rsid w:val="001B124B"/>
    <w:rsid w:val="001B2036"/>
    <w:rsid w:val="001B2729"/>
    <w:rsid w:val="001B31F2"/>
    <w:rsid w:val="001B4D73"/>
    <w:rsid w:val="001B54B9"/>
    <w:rsid w:val="001B57AD"/>
    <w:rsid w:val="001B5B54"/>
    <w:rsid w:val="001B6BD6"/>
    <w:rsid w:val="001B6D59"/>
    <w:rsid w:val="001B772E"/>
    <w:rsid w:val="001C1315"/>
    <w:rsid w:val="001C2B7A"/>
    <w:rsid w:val="001C38E6"/>
    <w:rsid w:val="001C3A40"/>
    <w:rsid w:val="001C3C15"/>
    <w:rsid w:val="001C5286"/>
    <w:rsid w:val="001C5770"/>
    <w:rsid w:val="001C5C2E"/>
    <w:rsid w:val="001C6904"/>
    <w:rsid w:val="001C7740"/>
    <w:rsid w:val="001C7D06"/>
    <w:rsid w:val="001D067E"/>
    <w:rsid w:val="001D0C1E"/>
    <w:rsid w:val="001D1481"/>
    <w:rsid w:val="001D31AC"/>
    <w:rsid w:val="001D396F"/>
    <w:rsid w:val="001D3D84"/>
    <w:rsid w:val="001D42AA"/>
    <w:rsid w:val="001D5C90"/>
    <w:rsid w:val="001D63E5"/>
    <w:rsid w:val="001D6EA1"/>
    <w:rsid w:val="001D6F9D"/>
    <w:rsid w:val="001D70BE"/>
    <w:rsid w:val="001D74FC"/>
    <w:rsid w:val="001D7835"/>
    <w:rsid w:val="001D7E9B"/>
    <w:rsid w:val="001E0FD7"/>
    <w:rsid w:val="001E14A9"/>
    <w:rsid w:val="001E1D1F"/>
    <w:rsid w:val="001E2B68"/>
    <w:rsid w:val="001E338F"/>
    <w:rsid w:val="001E41FF"/>
    <w:rsid w:val="001E4378"/>
    <w:rsid w:val="001E458B"/>
    <w:rsid w:val="001E53CA"/>
    <w:rsid w:val="001E56C5"/>
    <w:rsid w:val="001E6E80"/>
    <w:rsid w:val="001E79CA"/>
    <w:rsid w:val="001E79DF"/>
    <w:rsid w:val="001F10DF"/>
    <w:rsid w:val="001F257F"/>
    <w:rsid w:val="001F4FB2"/>
    <w:rsid w:val="001F521D"/>
    <w:rsid w:val="001F52DF"/>
    <w:rsid w:val="00200508"/>
    <w:rsid w:val="00202515"/>
    <w:rsid w:val="002029B8"/>
    <w:rsid w:val="00202EAA"/>
    <w:rsid w:val="00203683"/>
    <w:rsid w:val="00203F56"/>
    <w:rsid w:val="002047F2"/>
    <w:rsid w:val="00206CEB"/>
    <w:rsid w:val="00206DCE"/>
    <w:rsid w:val="00207BFD"/>
    <w:rsid w:val="00207D62"/>
    <w:rsid w:val="00210BFD"/>
    <w:rsid w:val="002117AC"/>
    <w:rsid w:val="002122AA"/>
    <w:rsid w:val="0021455D"/>
    <w:rsid w:val="0021497E"/>
    <w:rsid w:val="00215732"/>
    <w:rsid w:val="002158CA"/>
    <w:rsid w:val="00215D40"/>
    <w:rsid w:val="00215EB0"/>
    <w:rsid w:val="00217ADD"/>
    <w:rsid w:val="002203FC"/>
    <w:rsid w:val="00221D27"/>
    <w:rsid w:val="00222800"/>
    <w:rsid w:val="00222EC7"/>
    <w:rsid w:val="00224010"/>
    <w:rsid w:val="002241BE"/>
    <w:rsid w:val="0022447C"/>
    <w:rsid w:val="00224497"/>
    <w:rsid w:val="0022590A"/>
    <w:rsid w:val="00225F8A"/>
    <w:rsid w:val="002265B9"/>
    <w:rsid w:val="002267FE"/>
    <w:rsid w:val="00226C32"/>
    <w:rsid w:val="00227F33"/>
    <w:rsid w:val="00230386"/>
    <w:rsid w:val="002325B1"/>
    <w:rsid w:val="00232B9C"/>
    <w:rsid w:val="002340E1"/>
    <w:rsid w:val="00234E2C"/>
    <w:rsid w:val="00234FE0"/>
    <w:rsid w:val="0023515A"/>
    <w:rsid w:val="00235C8F"/>
    <w:rsid w:val="00237E9B"/>
    <w:rsid w:val="002430D3"/>
    <w:rsid w:val="0024456A"/>
    <w:rsid w:val="00244717"/>
    <w:rsid w:val="00244ED3"/>
    <w:rsid w:val="002452EC"/>
    <w:rsid w:val="0024782D"/>
    <w:rsid w:val="00247A3F"/>
    <w:rsid w:val="002500EF"/>
    <w:rsid w:val="00250393"/>
    <w:rsid w:val="002513B7"/>
    <w:rsid w:val="002516FA"/>
    <w:rsid w:val="00252C03"/>
    <w:rsid w:val="00252FD5"/>
    <w:rsid w:val="00253054"/>
    <w:rsid w:val="00253D2C"/>
    <w:rsid w:val="002560EC"/>
    <w:rsid w:val="00256B2C"/>
    <w:rsid w:val="00260280"/>
    <w:rsid w:val="002610CF"/>
    <w:rsid w:val="00263D56"/>
    <w:rsid w:val="00264086"/>
    <w:rsid w:val="00264BC6"/>
    <w:rsid w:val="00264D7C"/>
    <w:rsid w:val="00265312"/>
    <w:rsid w:val="0026628A"/>
    <w:rsid w:val="00266DDB"/>
    <w:rsid w:val="00270E51"/>
    <w:rsid w:val="0027102A"/>
    <w:rsid w:val="00271921"/>
    <w:rsid w:val="002720D0"/>
    <w:rsid w:val="00272600"/>
    <w:rsid w:val="00272DDE"/>
    <w:rsid w:val="00274767"/>
    <w:rsid w:val="00274F32"/>
    <w:rsid w:val="0027638A"/>
    <w:rsid w:val="00276641"/>
    <w:rsid w:val="00276899"/>
    <w:rsid w:val="00277D5A"/>
    <w:rsid w:val="00280793"/>
    <w:rsid w:val="00281020"/>
    <w:rsid w:val="0028108D"/>
    <w:rsid w:val="00281351"/>
    <w:rsid w:val="002815F8"/>
    <w:rsid w:val="002816A6"/>
    <w:rsid w:val="002818D5"/>
    <w:rsid w:val="00282021"/>
    <w:rsid w:val="00282735"/>
    <w:rsid w:val="00282B9D"/>
    <w:rsid w:val="00283D70"/>
    <w:rsid w:val="002844B7"/>
    <w:rsid w:val="00284C77"/>
    <w:rsid w:val="002850A7"/>
    <w:rsid w:val="002854E4"/>
    <w:rsid w:val="00285575"/>
    <w:rsid w:val="0028743B"/>
    <w:rsid w:val="002876A0"/>
    <w:rsid w:val="00287DCE"/>
    <w:rsid w:val="002903CB"/>
    <w:rsid w:val="00291892"/>
    <w:rsid w:val="0029230C"/>
    <w:rsid w:val="00293E0D"/>
    <w:rsid w:val="00296DE8"/>
    <w:rsid w:val="0029701B"/>
    <w:rsid w:val="00297453"/>
    <w:rsid w:val="002975A3"/>
    <w:rsid w:val="002A0CFA"/>
    <w:rsid w:val="002A1E44"/>
    <w:rsid w:val="002A2D36"/>
    <w:rsid w:val="002A30D5"/>
    <w:rsid w:val="002A3888"/>
    <w:rsid w:val="002A4CED"/>
    <w:rsid w:val="002A515B"/>
    <w:rsid w:val="002A5A5F"/>
    <w:rsid w:val="002A5AE0"/>
    <w:rsid w:val="002A5D50"/>
    <w:rsid w:val="002A64C4"/>
    <w:rsid w:val="002A7AA3"/>
    <w:rsid w:val="002A7F29"/>
    <w:rsid w:val="002B1954"/>
    <w:rsid w:val="002B2673"/>
    <w:rsid w:val="002B2AB5"/>
    <w:rsid w:val="002B31EA"/>
    <w:rsid w:val="002B32D9"/>
    <w:rsid w:val="002B44E9"/>
    <w:rsid w:val="002B4D14"/>
    <w:rsid w:val="002B6870"/>
    <w:rsid w:val="002B6B57"/>
    <w:rsid w:val="002B75D8"/>
    <w:rsid w:val="002C04C6"/>
    <w:rsid w:val="002C27E6"/>
    <w:rsid w:val="002C29F5"/>
    <w:rsid w:val="002C2A8D"/>
    <w:rsid w:val="002C2CE4"/>
    <w:rsid w:val="002C2EAE"/>
    <w:rsid w:val="002C2F25"/>
    <w:rsid w:val="002C326D"/>
    <w:rsid w:val="002C32A1"/>
    <w:rsid w:val="002C3CC8"/>
    <w:rsid w:val="002C5484"/>
    <w:rsid w:val="002C5A96"/>
    <w:rsid w:val="002C6435"/>
    <w:rsid w:val="002C6600"/>
    <w:rsid w:val="002C6612"/>
    <w:rsid w:val="002C68EF"/>
    <w:rsid w:val="002C6F22"/>
    <w:rsid w:val="002C785F"/>
    <w:rsid w:val="002C79F0"/>
    <w:rsid w:val="002C7DAD"/>
    <w:rsid w:val="002C7F9E"/>
    <w:rsid w:val="002D013A"/>
    <w:rsid w:val="002D16E7"/>
    <w:rsid w:val="002D265A"/>
    <w:rsid w:val="002D2AEC"/>
    <w:rsid w:val="002D4099"/>
    <w:rsid w:val="002D47C8"/>
    <w:rsid w:val="002D63D1"/>
    <w:rsid w:val="002D6448"/>
    <w:rsid w:val="002D67D7"/>
    <w:rsid w:val="002D67DC"/>
    <w:rsid w:val="002D764E"/>
    <w:rsid w:val="002E1B45"/>
    <w:rsid w:val="002E454C"/>
    <w:rsid w:val="002E465C"/>
    <w:rsid w:val="002E5C8F"/>
    <w:rsid w:val="002E6F45"/>
    <w:rsid w:val="002E72E5"/>
    <w:rsid w:val="002E74C0"/>
    <w:rsid w:val="002F0A64"/>
    <w:rsid w:val="002F11AF"/>
    <w:rsid w:val="002F14E9"/>
    <w:rsid w:val="002F1F7A"/>
    <w:rsid w:val="002F3298"/>
    <w:rsid w:val="002F3384"/>
    <w:rsid w:val="002F42C1"/>
    <w:rsid w:val="002F4A4F"/>
    <w:rsid w:val="002F6364"/>
    <w:rsid w:val="002F7311"/>
    <w:rsid w:val="003007C8"/>
    <w:rsid w:val="0030264E"/>
    <w:rsid w:val="0030265E"/>
    <w:rsid w:val="003036FE"/>
    <w:rsid w:val="00303755"/>
    <w:rsid w:val="003038D3"/>
    <w:rsid w:val="003038D7"/>
    <w:rsid w:val="00306767"/>
    <w:rsid w:val="003069F2"/>
    <w:rsid w:val="003078E8"/>
    <w:rsid w:val="00307A02"/>
    <w:rsid w:val="00310B18"/>
    <w:rsid w:val="00310C1A"/>
    <w:rsid w:val="00311F1D"/>
    <w:rsid w:val="00315B4D"/>
    <w:rsid w:val="003168CF"/>
    <w:rsid w:val="00316F64"/>
    <w:rsid w:val="00317557"/>
    <w:rsid w:val="0032082E"/>
    <w:rsid w:val="00320946"/>
    <w:rsid w:val="0032436F"/>
    <w:rsid w:val="00324AB1"/>
    <w:rsid w:val="00324B91"/>
    <w:rsid w:val="00325298"/>
    <w:rsid w:val="00326EC0"/>
    <w:rsid w:val="0033031D"/>
    <w:rsid w:val="00330CF3"/>
    <w:rsid w:val="003315E4"/>
    <w:rsid w:val="00332030"/>
    <w:rsid w:val="00332569"/>
    <w:rsid w:val="003344A9"/>
    <w:rsid w:val="00334989"/>
    <w:rsid w:val="00335329"/>
    <w:rsid w:val="00335606"/>
    <w:rsid w:val="00335921"/>
    <w:rsid w:val="00335AC1"/>
    <w:rsid w:val="00335CD8"/>
    <w:rsid w:val="003363AD"/>
    <w:rsid w:val="00336DD1"/>
    <w:rsid w:val="0033738F"/>
    <w:rsid w:val="00340375"/>
    <w:rsid w:val="00340FBB"/>
    <w:rsid w:val="00341824"/>
    <w:rsid w:val="00341E28"/>
    <w:rsid w:val="00342A55"/>
    <w:rsid w:val="003433A3"/>
    <w:rsid w:val="00344884"/>
    <w:rsid w:val="00344A0A"/>
    <w:rsid w:val="00344BAD"/>
    <w:rsid w:val="00345301"/>
    <w:rsid w:val="003453EA"/>
    <w:rsid w:val="00345885"/>
    <w:rsid w:val="003501AD"/>
    <w:rsid w:val="0035060F"/>
    <w:rsid w:val="00350905"/>
    <w:rsid w:val="003515F6"/>
    <w:rsid w:val="00351EF0"/>
    <w:rsid w:val="00352048"/>
    <w:rsid w:val="003538AA"/>
    <w:rsid w:val="00353CED"/>
    <w:rsid w:val="00354AB6"/>
    <w:rsid w:val="00354F98"/>
    <w:rsid w:val="003552D9"/>
    <w:rsid w:val="00355342"/>
    <w:rsid w:val="003566F0"/>
    <w:rsid w:val="00357287"/>
    <w:rsid w:val="00357591"/>
    <w:rsid w:val="00357B3B"/>
    <w:rsid w:val="00357F24"/>
    <w:rsid w:val="003604F9"/>
    <w:rsid w:val="00360807"/>
    <w:rsid w:val="00360BCE"/>
    <w:rsid w:val="00360E16"/>
    <w:rsid w:val="00364343"/>
    <w:rsid w:val="00364A04"/>
    <w:rsid w:val="00365DB4"/>
    <w:rsid w:val="00366661"/>
    <w:rsid w:val="0036686F"/>
    <w:rsid w:val="00366976"/>
    <w:rsid w:val="00366DAF"/>
    <w:rsid w:val="003701C4"/>
    <w:rsid w:val="00370941"/>
    <w:rsid w:val="00372F2C"/>
    <w:rsid w:val="00373060"/>
    <w:rsid w:val="0037332F"/>
    <w:rsid w:val="00373F34"/>
    <w:rsid w:val="0037443B"/>
    <w:rsid w:val="00376621"/>
    <w:rsid w:val="00377582"/>
    <w:rsid w:val="003800E9"/>
    <w:rsid w:val="003804E3"/>
    <w:rsid w:val="00380D3B"/>
    <w:rsid w:val="0038125A"/>
    <w:rsid w:val="00382028"/>
    <w:rsid w:val="003825FF"/>
    <w:rsid w:val="00382670"/>
    <w:rsid w:val="003828DC"/>
    <w:rsid w:val="00382A5F"/>
    <w:rsid w:val="00382AE5"/>
    <w:rsid w:val="00383456"/>
    <w:rsid w:val="003839BD"/>
    <w:rsid w:val="00384641"/>
    <w:rsid w:val="003857EF"/>
    <w:rsid w:val="00385D25"/>
    <w:rsid w:val="00386E51"/>
    <w:rsid w:val="00386EC0"/>
    <w:rsid w:val="0038700D"/>
    <w:rsid w:val="00387577"/>
    <w:rsid w:val="00390BFA"/>
    <w:rsid w:val="0039140E"/>
    <w:rsid w:val="00391F21"/>
    <w:rsid w:val="00393530"/>
    <w:rsid w:val="00393968"/>
    <w:rsid w:val="003942C9"/>
    <w:rsid w:val="003946F6"/>
    <w:rsid w:val="0039504C"/>
    <w:rsid w:val="003952CE"/>
    <w:rsid w:val="00395D67"/>
    <w:rsid w:val="00396B6A"/>
    <w:rsid w:val="00396B79"/>
    <w:rsid w:val="003A023E"/>
    <w:rsid w:val="003A0332"/>
    <w:rsid w:val="003A05E2"/>
    <w:rsid w:val="003A06DC"/>
    <w:rsid w:val="003A0ECF"/>
    <w:rsid w:val="003A18BD"/>
    <w:rsid w:val="003A213B"/>
    <w:rsid w:val="003A2FCD"/>
    <w:rsid w:val="003A368F"/>
    <w:rsid w:val="003A3E1A"/>
    <w:rsid w:val="003A50D3"/>
    <w:rsid w:val="003A6EA1"/>
    <w:rsid w:val="003A7026"/>
    <w:rsid w:val="003B021C"/>
    <w:rsid w:val="003B045A"/>
    <w:rsid w:val="003B10DD"/>
    <w:rsid w:val="003B1581"/>
    <w:rsid w:val="003B16FA"/>
    <w:rsid w:val="003B1F12"/>
    <w:rsid w:val="003B20DC"/>
    <w:rsid w:val="003B2C9A"/>
    <w:rsid w:val="003B2F37"/>
    <w:rsid w:val="003B3CB8"/>
    <w:rsid w:val="003B41DA"/>
    <w:rsid w:val="003B439E"/>
    <w:rsid w:val="003B54A9"/>
    <w:rsid w:val="003B5921"/>
    <w:rsid w:val="003B59FE"/>
    <w:rsid w:val="003B5CCF"/>
    <w:rsid w:val="003C0AA8"/>
    <w:rsid w:val="003C1966"/>
    <w:rsid w:val="003C326C"/>
    <w:rsid w:val="003C40E6"/>
    <w:rsid w:val="003C40F2"/>
    <w:rsid w:val="003C5584"/>
    <w:rsid w:val="003C6191"/>
    <w:rsid w:val="003C6615"/>
    <w:rsid w:val="003C67BE"/>
    <w:rsid w:val="003C7E48"/>
    <w:rsid w:val="003C7F58"/>
    <w:rsid w:val="003D21E1"/>
    <w:rsid w:val="003D2E23"/>
    <w:rsid w:val="003D32C9"/>
    <w:rsid w:val="003D4C66"/>
    <w:rsid w:val="003D5045"/>
    <w:rsid w:val="003D5106"/>
    <w:rsid w:val="003D6D61"/>
    <w:rsid w:val="003D72AC"/>
    <w:rsid w:val="003D761F"/>
    <w:rsid w:val="003E0110"/>
    <w:rsid w:val="003E0DAA"/>
    <w:rsid w:val="003E1407"/>
    <w:rsid w:val="003E1431"/>
    <w:rsid w:val="003E3135"/>
    <w:rsid w:val="003E3748"/>
    <w:rsid w:val="003E483D"/>
    <w:rsid w:val="003E48E6"/>
    <w:rsid w:val="003E4DCF"/>
    <w:rsid w:val="003E4F0C"/>
    <w:rsid w:val="003E5EDC"/>
    <w:rsid w:val="003E61AA"/>
    <w:rsid w:val="003F08A6"/>
    <w:rsid w:val="003F1546"/>
    <w:rsid w:val="003F166F"/>
    <w:rsid w:val="003F16A4"/>
    <w:rsid w:val="003F18CC"/>
    <w:rsid w:val="003F37E0"/>
    <w:rsid w:val="003F3CCC"/>
    <w:rsid w:val="003F3F66"/>
    <w:rsid w:val="003F53D7"/>
    <w:rsid w:val="003F5AB7"/>
    <w:rsid w:val="003F6B36"/>
    <w:rsid w:val="003F71C6"/>
    <w:rsid w:val="00400C63"/>
    <w:rsid w:val="004016F5"/>
    <w:rsid w:val="00402EC3"/>
    <w:rsid w:val="0040322A"/>
    <w:rsid w:val="00404977"/>
    <w:rsid w:val="0040567A"/>
    <w:rsid w:val="00406B1C"/>
    <w:rsid w:val="00407141"/>
    <w:rsid w:val="0040769E"/>
    <w:rsid w:val="004109AF"/>
    <w:rsid w:val="00411872"/>
    <w:rsid w:val="00415B74"/>
    <w:rsid w:val="00415DF8"/>
    <w:rsid w:val="00415E4A"/>
    <w:rsid w:val="00416275"/>
    <w:rsid w:val="004163FA"/>
    <w:rsid w:val="00417616"/>
    <w:rsid w:val="00417A1B"/>
    <w:rsid w:val="00417B3C"/>
    <w:rsid w:val="00420B76"/>
    <w:rsid w:val="004218D3"/>
    <w:rsid w:val="004219CD"/>
    <w:rsid w:val="00422415"/>
    <w:rsid w:val="00422BA8"/>
    <w:rsid w:val="00422BB8"/>
    <w:rsid w:val="00422D74"/>
    <w:rsid w:val="00423920"/>
    <w:rsid w:val="004246BA"/>
    <w:rsid w:val="00425559"/>
    <w:rsid w:val="00426762"/>
    <w:rsid w:val="0042737B"/>
    <w:rsid w:val="00427D9E"/>
    <w:rsid w:val="00431400"/>
    <w:rsid w:val="00431871"/>
    <w:rsid w:val="00433620"/>
    <w:rsid w:val="00433996"/>
    <w:rsid w:val="00433C73"/>
    <w:rsid w:val="004346F6"/>
    <w:rsid w:val="00434D78"/>
    <w:rsid w:val="0043605E"/>
    <w:rsid w:val="0043615A"/>
    <w:rsid w:val="004362E6"/>
    <w:rsid w:val="004366E8"/>
    <w:rsid w:val="004400B1"/>
    <w:rsid w:val="004402F5"/>
    <w:rsid w:val="004406D5"/>
    <w:rsid w:val="004408E7"/>
    <w:rsid w:val="004411AB"/>
    <w:rsid w:val="004418B9"/>
    <w:rsid w:val="0044299B"/>
    <w:rsid w:val="0044346B"/>
    <w:rsid w:val="00444019"/>
    <w:rsid w:val="004446B5"/>
    <w:rsid w:val="00444E1A"/>
    <w:rsid w:val="00444E55"/>
    <w:rsid w:val="0044525B"/>
    <w:rsid w:val="00446453"/>
    <w:rsid w:val="00446A8A"/>
    <w:rsid w:val="00446B09"/>
    <w:rsid w:val="00450D1A"/>
    <w:rsid w:val="00450E3A"/>
    <w:rsid w:val="004516B0"/>
    <w:rsid w:val="0045174E"/>
    <w:rsid w:val="00452859"/>
    <w:rsid w:val="0045316D"/>
    <w:rsid w:val="00453852"/>
    <w:rsid w:val="00454CF1"/>
    <w:rsid w:val="00454EE7"/>
    <w:rsid w:val="0045527D"/>
    <w:rsid w:val="004566BD"/>
    <w:rsid w:val="004567D7"/>
    <w:rsid w:val="004569BF"/>
    <w:rsid w:val="00457D5D"/>
    <w:rsid w:val="00457DF9"/>
    <w:rsid w:val="004601AD"/>
    <w:rsid w:val="00460497"/>
    <w:rsid w:val="00461EC5"/>
    <w:rsid w:val="00464D86"/>
    <w:rsid w:val="00465D48"/>
    <w:rsid w:val="00467858"/>
    <w:rsid w:val="00467E14"/>
    <w:rsid w:val="004702C4"/>
    <w:rsid w:val="00470756"/>
    <w:rsid w:val="00471188"/>
    <w:rsid w:val="00471A9F"/>
    <w:rsid w:val="00471DE0"/>
    <w:rsid w:val="00471FE7"/>
    <w:rsid w:val="0047399D"/>
    <w:rsid w:val="00475623"/>
    <w:rsid w:val="00475A7C"/>
    <w:rsid w:val="0047639E"/>
    <w:rsid w:val="004765C7"/>
    <w:rsid w:val="00477290"/>
    <w:rsid w:val="00477692"/>
    <w:rsid w:val="00477FD1"/>
    <w:rsid w:val="00480284"/>
    <w:rsid w:val="00482307"/>
    <w:rsid w:val="00485029"/>
    <w:rsid w:val="00486932"/>
    <w:rsid w:val="004874BD"/>
    <w:rsid w:val="00490108"/>
    <w:rsid w:val="00490979"/>
    <w:rsid w:val="00490EAA"/>
    <w:rsid w:val="00491766"/>
    <w:rsid w:val="00491BB5"/>
    <w:rsid w:val="00495BE6"/>
    <w:rsid w:val="0049630A"/>
    <w:rsid w:val="004975B7"/>
    <w:rsid w:val="004A06AD"/>
    <w:rsid w:val="004A1D06"/>
    <w:rsid w:val="004A391C"/>
    <w:rsid w:val="004A3C3C"/>
    <w:rsid w:val="004A480C"/>
    <w:rsid w:val="004A4EB1"/>
    <w:rsid w:val="004A51F5"/>
    <w:rsid w:val="004A52D2"/>
    <w:rsid w:val="004A53C4"/>
    <w:rsid w:val="004A5DC3"/>
    <w:rsid w:val="004A66B5"/>
    <w:rsid w:val="004A7396"/>
    <w:rsid w:val="004A7781"/>
    <w:rsid w:val="004B009D"/>
    <w:rsid w:val="004B00E3"/>
    <w:rsid w:val="004B0C08"/>
    <w:rsid w:val="004B103C"/>
    <w:rsid w:val="004B1199"/>
    <w:rsid w:val="004B20C4"/>
    <w:rsid w:val="004B2CC1"/>
    <w:rsid w:val="004B423C"/>
    <w:rsid w:val="004B4A4C"/>
    <w:rsid w:val="004B612C"/>
    <w:rsid w:val="004B6CF4"/>
    <w:rsid w:val="004B734B"/>
    <w:rsid w:val="004C08A1"/>
    <w:rsid w:val="004C0FA4"/>
    <w:rsid w:val="004C10AB"/>
    <w:rsid w:val="004C1384"/>
    <w:rsid w:val="004C13D9"/>
    <w:rsid w:val="004C1D16"/>
    <w:rsid w:val="004C219D"/>
    <w:rsid w:val="004C2409"/>
    <w:rsid w:val="004C735A"/>
    <w:rsid w:val="004D01F9"/>
    <w:rsid w:val="004D0A12"/>
    <w:rsid w:val="004D2653"/>
    <w:rsid w:val="004D2EAE"/>
    <w:rsid w:val="004D3080"/>
    <w:rsid w:val="004D342D"/>
    <w:rsid w:val="004D6981"/>
    <w:rsid w:val="004D6B9E"/>
    <w:rsid w:val="004D7018"/>
    <w:rsid w:val="004D76FE"/>
    <w:rsid w:val="004D79B7"/>
    <w:rsid w:val="004E087B"/>
    <w:rsid w:val="004E1A57"/>
    <w:rsid w:val="004E1AF6"/>
    <w:rsid w:val="004E2405"/>
    <w:rsid w:val="004E25C3"/>
    <w:rsid w:val="004E2B22"/>
    <w:rsid w:val="004E317C"/>
    <w:rsid w:val="004E3754"/>
    <w:rsid w:val="004E3A3A"/>
    <w:rsid w:val="004E3CCD"/>
    <w:rsid w:val="004E4637"/>
    <w:rsid w:val="004E476C"/>
    <w:rsid w:val="004E5055"/>
    <w:rsid w:val="004E5E96"/>
    <w:rsid w:val="004F0A27"/>
    <w:rsid w:val="004F200E"/>
    <w:rsid w:val="004F255B"/>
    <w:rsid w:val="004F331D"/>
    <w:rsid w:val="004F3A2F"/>
    <w:rsid w:val="004F5BE0"/>
    <w:rsid w:val="005006D0"/>
    <w:rsid w:val="005006E0"/>
    <w:rsid w:val="00500B7D"/>
    <w:rsid w:val="00501157"/>
    <w:rsid w:val="005014F9"/>
    <w:rsid w:val="00502332"/>
    <w:rsid w:val="005028D7"/>
    <w:rsid w:val="00502EDC"/>
    <w:rsid w:val="00504150"/>
    <w:rsid w:val="00504161"/>
    <w:rsid w:val="00504799"/>
    <w:rsid w:val="005049B7"/>
    <w:rsid w:val="00504CF4"/>
    <w:rsid w:val="005055C1"/>
    <w:rsid w:val="00505F3C"/>
    <w:rsid w:val="0050749A"/>
    <w:rsid w:val="005075E3"/>
    <w:rsid w:val="005079CA"/>
    <w:rsid w:val="00510050"/>
    <w:rsid w:val="00511505"/>
    <w:rsid w:val="0051176A"/>
    <w:rsid w:val="00512C25"/>
    <w:rsid w:val="005131F7"/>
    <w:rsid w:val="005135F2"/>
    <w:rsid w:val="005136A9"/>
    <w:rsid w:val="00514CAB"/>
    <w:rsid w:val="0051646D"/>
    <w:rsid w:val="005168F0"/>
    <w:rsid w:val="0051743A"/>
    <w:rsid w:val="00517E39"/>
    <w:rsid w:val="00521323"/>
    <w:rsid w:val="005216CF"/>
    <w:rsid w:val="00521E47"/>
    <w:rsid w:val="00522258"/>
    <w:rsid w:val="00522841"/>
    <w:rsid w:val="00523682"/>
    <w:rsid w:val="0052571C"/>
    <w:rsid w:val="00525E04"/>
    <w:rsid w:val="00526276"/>
    <w:rsid w:val="005265C4"/>
    <w:rsid w:val="00527091"/>
    <w:rsid w:val="00530051"/>
    <w:rsid w:val="0053021A"/>
    <w:rsid w:val="005303A3"/>
    <w:rsid w:val="005305B9"/>
    <w:rsid w:val="00531096"/>
    <w:rsid w:val="00532F85"/>
    <w:rsid w:val="00534CE9"/>
    <w:rsid w:val="005363B9"/>
    <w:rsid w:val="00536B83"/>
    <w:rsid w:val="00536E0A"/>
    <w:rsid w:val="00537513"/>
    <w:rsid w:val="00537813"/>
    <w:rsid w:val="0053795D"/>
    <w:rsid w:val="00540CA6"/>
    <w:rsid w:val="00542F89"/>
    <w:rsid w:val="00543466"/>
    <w:rsid w:val="00543B26"/>
    <w:rsid w:val="00544D17"/>
    <w:rsid w:val="00544FF1"/>
    <w:rsid w:val="00546164"/>
    <w:rsid w:val="00546A58"/>
    <w:rsid w:val="00546BC8"/>
    <w:rsid w:val="00546FA4"/>
    <w:rsid w:val="0054738F"/>
    <w:rsid w:val="00547579"/>
    <w:rsid w:val="00547AAA"/>
    <w:rsid w:val="005501FE"/>
    <w:rsid w:val="00551B22"/>
    <w:rsid w:val="0055211A"/>
    <w:rsid w:val="00552D59"/>
    <w:rsid w:val="00552F66"/>
    <w:rsid w:val="00553524"/>
    <w:rsid w:val="00554112"/>
    <w:rsid w:val="00554A52"/>
    <w:rsid w:val="0055558E"/>
    <w:rsid w:val="00556FEF"/>
    <w:rsid w:val="005573D2"/>
    <w:rsid w:val="00557A49"/>
    <w:rsid w:val="005609DC"/>
    <w:rsid w:val="005609FA"/>
    <w:rsid w:val="00560B86"/>
    <w:rsid w:val="00560D6C"/>
    <w:rsid w:val="0056283E"/>
    <w:rsid w:val="00563431"/>
    <w:rsid w:val="00563937"/>
    <w:rsid w:val="005651DC"/>
    <w:rsid w:val="005661E9"/>
    <w:rsid w:val="00566F65"/>
    <w:rsid w:val="00567F7D"/>
    <w:rsid w:val="005703EC"/>
    <w:rsid w:val="0057095A"/>
    <w:rsid w:val="0057104B"/>
    <w:rsid w:val="00571958"/>
    <w:rsid w:val="00572215"/>
    <w:rsid w:val="00573B86"/>
    <w:rsid w:val="00574B63"/>
    <w:rsid w:val="00574E0C"/>
    <w:rsid w:val="005751E1"/>
    <w:rsid w:val="00577DD1"/>
    <w:rsid w:val="005805AD"/>
    <w:rsid w:val="00580741"/>
    <w:rsid w:val="005808C4"/>
    <w:rsid w:val="005812D1"/>
    <w:rsid w:val="00581947"/>
    <w:rsid w:val="005822F8"/>
    <w:rsid w:val="00582A37"/>
    <w:rsid w:val="00583B1A"/>
    <w:rsid w:val="00584256"/>
    <w:rsid w:val="00584332"/>
    <w:rsid w:val="0058451B"/>
    <w:rsid w:val="005847DA"/>
    <w:rsid w:val="0058556A"/>
    <w:rsid w:val="00586034"/>
    <w:rsid w:val="00587853"/>
    <w:rsid w:val="00587BDE"/>
    <w:rsid w:val="00587FF5"/>
    <w:rsid w:val="00591C60"/>
    <w:rsid w:val="00593218"/>
    <w:rsid w:val="005946F4"/>
    <w:rsid w:val="00595230"/>
    <w:rsid w:val="005953AC"/>
    <w:rsid w:val="00595E61"/>
    <w:rsid w:val="005967FA"/>
    <w:rsid w:val="00596CD6"/>
    <w:rsid w:val="005978F3"/>
    <w:rsid w:val="00597AE2"/>
    <w:rsid w:val="00597F89"/>
    <w:rsid w:val="005A0117"/>
    <w:rsid w:val="005A0133"/>
    <w:rsid w:val="005A1A62"/>
    <w:rsid w:val="005A1D5B"/>
    <w:rsid w:val="005A29C1"/>
    <w:rsid w:val="005A32D4"/>
    <w:rsid w:val="005A43E3"/>
    <w:rsid w:val="005A467E"/>
    <w:rsid w:val="005A4A6D"/>
    <w:rsid w:val="005A7976"/>
    <w:rsid w:val="005A7F73"/>
    <w:rsid w:val="005B01FB"/>
    <w:rsid w:val="005B1314"/>
    <w:rsid w:val="005B1FA1"/>
    <w:rsid w:val="005B2120"/>
    <w:rsid w:val="005B2395"/>
    <w:rsid w:val="005B3614"/>
    <w:rsid w:val="005B36D2"/>
    <w:rsid w:val="005B52C0"/>
    <w:rsid w:val="005B5C00"/>
    <w:rsid w:val="005B601F"/>
    <w:rsid w:val="005B6F38"/>
    <w:rsid w:val="005B7774"/>
    <w:rsid w:val="005B7D19"/>
    <w:rsid w:val="005C0658"/>
    <w:rsid w:val="005C0C27"/>
    <w:rsid w:val="005C1930"/>
    <w:rsid w:val="005C1DE7"/>
    <w:rsid w:val="005C2F9B"/>
    <w:rsid w:val="005C3010"/>
    <w:rsid w:val="005C3D98"/>
    <w:rsid w:val="005C4F10"/>
    <w:rsid w:val="005C5089"/>
    <w:rsid w:val="005C5C94"/>
    <w:rsid w:val="005C756C"/>
    <w:rsid w:val="005C7BB8"/>
    <w:rsid w:val="005C7DEC"/>
    <w:rsid w:val="005D02CC"/>
    <w:rsid w:val="005D1DF8"/>
    <w:rsid w:val="005D29E4"/>
    <w:rsid w:val="005D36DC"/>
    <w:rsid w:val="005D3B7F"/>
    <w:rsid w:val="005D4703"/>
    <w:rsid w:val="005D507A"/>
    <w:rsid w:val="005D5733"/>
    <w:rsid w:val="005D5D98"/>
    <w:rsid w:val="005D5DFD"/>
    <w:rsid w:val="005D685B"/>
    <w:rsid w:val="005D6D2C"/>
    <w:rsid w:val="005E1058"/>
    <w:rsid w:val="005E1E68"/>
    <w:rsid w:val="005E43BF"/>
    <w:rsid w:val="005E538C"/>
    <w:rsid w:val="005E54C8"/>
    <w:rsid w:val="005E5520"/>
    <w:rsid w:val="005E613E"/>
    <w:rsid w:val="005E6503"/>
    <w:rsid w:val="005E6E16"/>
    <w:rsid w:val="005E7F02"/>
    <w:rsid w:val="005F051D"/>
    <w:rsid w:val="005F06BD"/>
    <w:rsid w:val="005F134B"/>
    <w:rsid w:val="005F1DDF"/>
    <w:rsid w:val="005F1ED2"/>
    <w:rsid w:val="005F21EE"/>
    <w:rsid w:val="005F2BC9"/>
    <w:rsid w:val="005F2C1B"/>
    <w:rsid w:val="005F372A"/>
    <w:rsid w:val="005F4192"/>
    <w:rsid w:val="005F5086"/>
    <w:rsid w:val="005F5A47"/>
    <w:rsid w:val="005F65A2"/>
    <w:rsid w:val="005F6DE6"/>
    <w:rsid w:val="005F72F6"/>
    <w:rsid w:val="005F74AC"/>
    <w:rsid w:val="005F7957"/>
    <w:rsid w:val="006003B8"/>
    <w:rsid w:val="00600BF4"/>
    <w:rsid w:val="00601DA8"/>
    <w:rsid w:val="0060221C"/>
    <w:rsid w:val="00602BB5"/>
    <w:rsid w:val="00602C65"/>
    <w:rsid w:val="00603F28"/>
    <w:rsid w:val="006040F7"/>
    <w:rsid w:val="006060EC"/>
    <w:rsid w:val="00606429"/>
    <w:rsid w:val="00607959"/>
    <w:rsid w:val="00610B11"/>
    <w:rsid w:val="0061181E"/>
    <w:rsid w:val="00612C04"/>
    <w:rsid w:val="00613C56"/>
    <w:rsid w:val="00614647"/>
    <w:rsid w:val="00614AE7"/>
    <w:rsid w:val="00614BC4"/>
    <w:rsid w:val="00614C7C"/>
    <w:rsid w:val="00614EBB"/>
    <w:rsid w:val="00615998"/>
    <w:rsid w:val="00615C3D"/>
    <w:rsid w:val="00616287"/>
    <w:rsid w:val="006169B6"/>
    <w:rsid w:val="00620912"/>
    <w:rsid w:val="006214CD"/>
    <w:rsid w:val="00622E22"/>
    <w:rsid w:val="0062348E"/>
    <w:rsid w:val="00623EBD"/>
    <w:rsid w:val="00623FEB"/>
    <w:rsid w:val="006248C5"/>
    <w:rsid w:val="0062556A"/>
    <w:rsid w:val="00625682"/>
    <w:rsid w:val="00625ACF"/>
    <w:rsid w:val="006260CF"/>
    <w:rsid w:val="00626EE2"/>
    <w:rsid w:val="0062744D"/>
    <w:rsid w:val="006308D6"/>
    <w:rsid w:val="0063091C"/>
    <w:rsid w:val="006315E4"/>
    <w:rsid w:val="006328AD"/>
    <w:rsid w:val="006347E9"/>
    <w:rsid w:val="006363F9"/>
    <w:rsid w:val="00637A5F"/>
    <w:rsid w:val="006406E5"/>
    <w:rsid w:val="00642D42"/>
    <w:rsid w:val="00642DB9"/>
    <w:rsid w:val="00646011"/>
    <w:rsid w:val="0064728C"/>
    <w:rsid w:val="00647E08"/>
    <w:rsid w:val="00650B60"/>
    <w:rsid w:val="00653240"/>
    <w:rsid w:val="00653343"/>
    <w:rsid w:val="00654C2B"/>
    <w:rsid w:val="00654FCF"/>
    <w:rsid w:val="0065564C"/>
    <w:rsid w:val="00655BE2"/>
    <w:rsid w:val="00657B13"/>
    <w:rsid w:val="0066003C"/>
    <w:rsid w:val="00660547"/>
    <w:rsid w:val="00661803"/>
    <w:rsid w:val="00661B75"/>
    <w:rsid w:val="00661D54"/>
    <w:rsid w:val="006620A4"/>
    <w:rsid w:val="006645DB"/>
    <w:rsid w:val="006657C1"/>
    <w:rsid w:val="00665F5D"/>
    <w:rsid w:val="006664D0"/>
    <w:rsid w:val="00666C39"/>
    <w:rsid w:val="00667312"/>
    <w:rsid w:val="006674F8"/>
    <w:rsid w:val="00667B11"/>
    <w:rsid w:val="00670C62"/>
    <w:rsid w:val="00670CEB"/>
    <w:rsid w:val="00671A32"/>
    <w:rsid w:val="00672850"/>
    <w:rsid w:val="00673227"/>
    <w:rsid w:val="0067443F"/>
    <w:rsid w:val="0067491F"/>
    <w:rsid w:val="00676598"/>
    <w:rsid w:val="0067785B"/>
    <w:rsid w:val="00677DBF"/>
    <w:rsid w:val="006809FE"/>
    <w:rsid w:val="00680E50"/>
    <w:rsid w:val="0068296C"/>
    <w:rsid w:val="0068339D"/>
    <w:rsid w:val="006834E5"/>
    <w:rsid w:val="0068362A"/>
    <w:rsid w:val="00684AC3"/>
    <w:rsid w:val="006853A8"/>
    <w:rsid w:val="006853FA"/>
    <w:rsid w:val="00685CEC"/>
    <w:rsid w:val="00685FF9"/>
    <w:rsid w:val="0068684F"/>
    <w:rsid w:val="00686C8B"/>
    <w:rsid w:val="00687573"/>
    <w:rsid w:val="006901E2"/>
    <w:rsid w:val="00693096"/>
    <w:rsid w:val="00693CFB"/>
    <w:rsid w:val="0069412B"/>
    <w:rsid w:val="00694806"/>
    <w:rsid w:val="00694D4C"/>
    <w:rsid w:val="006955B6"/>
    <w:rsid w:val="00695DE4"/>
    <w:rsid w:val="00696893"/>
    <w:rsid w:val="0069703E"/>
    <w:rsid w:val="006A0331"/>
    <w:rsid w:val="006A20F8"/>
    <w:rsid w:val="006A2975"/>
    <w:rsid w:val="006A3072"/>
    <w:rsid w:val="006A39B4"/>
    <w:rsid w:val="006A4CE8"/>
    <w:rsid w:val="006A5B3A"/>
    <w:rsid w:val="006A61F1"/>
    <w:rsid w:val="006A6C0C"/>
    <w:rsid w:val="006A774C"/>
    <w:rsid w:val="006A7A07"/>
    <w:rsid w:val="006B084E"/>
    <w:rsid w:val="006B15CB"/>
    <w:rsid w:val="006B1885"/>
    <w:rsid w:val="006B1BDB"/>
    <w:rsid w:val="006B1C1E"/>
    <w:rsid w:val="006B2066"/>
    <w:rsid w:val="006B3409"/>
    <w:rsid w:val="006B4F23"/>
    <w:rsid w:val="006B58B9"/>
    <w:rsid w:val="006B6023"/>
    <w:rsid w:val="006B6423"/>
    <w:rsid w:val="006B6AAB"/>
    <w:rsid w:val="006B7E47"/>
    <w:rsid w:val="006B7F09"/>
    <w:rsid w:val="006C02B9"/>
    <w:rsid w:val="006C0A71"/>
    <w:rsid w:val="006C1B5C"/>
    <w:rsid w:val="006C3EC5"/>
    <w:rsid w:val="006C45E4"/>
    <w:rsid w:val="006C5FA5"/>
    <w:rsid w:val="006C6CB8"/>
    <w:rsid w:val="006C75B3"/>
    <w:rsid w:val="006C7DC3"/>
    <w:rsid w:val="006D03D4"/>
    <w:rsid w:val="006D0913"/>
    <w:rsid w:val="006D0B31"/>
    <w:rsid w:val="006D0F23"/>
    <w:rsid w:val="006D10BF"/>
    <w:rsid w:val="006D111C"/>
    <w:rsid w:val="006D1AE3"/>
    <w:rsid w:val="006D36E6"/>
    <w:rsid w:val="006D4321"/>
    <w:rsid w:val="006D5603"/>
    <w:rsid w:val="006D575C"/>
    <w:rsid w:val="006D59CA"/>
    <w:rsid w:val="006D6D4A"/>
    <w:rsid w:val="006D7EBE"/>
    <w:rsid w:val="006E1366"/>
    <w:rsid w:val="006E1719"/>
    <w:rsid w:val="006E1A92"/>
    <w:rsid w:val="006E27B0"/>
    <w:rsid w:val="006E5C0A"/>
    <w:rsid w:val="006E6FA6"/>
    <w:rsid w:val="006E7C17"/>
    <w:rsid w:val="006F0752"/>
    <w:rsid w:val="006F1390"/>
    <w:rsid w:val="006F1C34"/>
    <w:rsid w:val="006F1D10"/>
    <w:rsid w:val="006F32F7"/>
    <w:rsid w:val="006F4A32"/>
    <w:rsid w:val="006F4E03"/>
    <w:rsid w:val="006F5055"/>
    <w:rsid w:val="006F57FF"/>
    <w:rsid w:val="006F7B2F"/>
    <w:rsid w:val="0070027A"/>
    <w:rsid w:val="007003FE"/>
    <w:rsid w:val="007004AD"/>
    <w:rsid w:val="00700F5E"/>
    <w:rsid w:val="007015DE"/>
    <w:rsid w:val="0070178F"/>
    <w:rsid w:val="00701F63"/>
    <w:rsid w:val="00702010"/>
    <w:rsid w:val="007020C7"/>
    <w:rsid w:val="007024E2"/>
    <w:rsid w:val="00702CA4"/>
    <w:rsid w:val="00703C1C"/>
    <w:rsid w:val="007041A2"/>
    <w:rsid w:val="00706621"/>
    <w:rsid w:val="00707120"/>
    <w:rsid w:val="0070754C"/>
    <w:rsid w:val="007112A8"/>
    <w:rsid w:val="00712738"/>
    <w:rsid w:val="00712B3E"/>
    <w:rsid w:val="00713490"/>
    <w:rsid w:val="00713D63"/>
    <w:rsid w:val="00714A64"/>
    <w:rsid w:val="00714AB8"/>
    <w:rsid w:val="00715198"/>
    <w:rsid w:val="0071527A"/>
    <w:rsid w:val="007156CA"/>
    <w:rsid w:val="00715B6C"/>
    <w:rsid w:val="00716E34"/>
    <w:rsid w:val="00717185"/>
    <w:rsid w:val="00717E63"/>
    <w:rsid w:val="00720389"/>
    <w:rsid w:val="007203FE"/>
    <w:rsid w:val="007204E4"/>
    <w:rsid w:val="00721DD4"/>
    <w:rsid w:val="00721EC9"/>
    <w:rsid w:val="0072386A"/>
    <w:rsid w:val="007243F0"/>
    <w:rsid w:val="00724721"/>
    <w:rsid w:val="00724B8A"/>
    <w:rsid w:val="007256D2"/>
    <w:rsid w:val="00725EA7"/>
    <w:rsid w:val="00726F91"/>
    <w:rsid w:val="00727B9A"/>
    <w:rsid w:val="007314E8"/>
    <w:rsid w:val="007319CF"/>
    <w:rsid w:val="007320FC"/>
    <w:rsid w:val="00732A24"/>
    <w:rsid w:val="00733B7F"/>
    <w:rsid w:val="00735B88"/>
    <w:rsid w:val="007366DA"/>
    <w:rsid w:val="00736FB2"/>
    <w:rsid w:val="00737BB2"/>
    <w:rsid w:val="0074355D"/>
    <w:rsid w:val="00743990"/>
    <w:rsid w:val="00743C4C"/>
    <w:rsid w:val="007446B6"/>
    <w:rsid w:val="00745304"/>
    <w:rsid w:val="00746811"/>
    <w:rsid w:val="00746996"/>
    <w:rsid w:val="00746E36"/>
    <w:rsid w:val="007474E9"/>
    <w:rsid w:val="00747890"/>
    <w:rsid w:val="00750564"/>
    <w:rsid w:val="00750578"/>
    <w:rsid w:val="00751600"/>
    <w:rsid w:val="00752736"/>
    <w:rsid w:val="0075311A"/>
    <w:rsid w:val="00753221"/>
    <w:rsid w:val="00754549"/>
    <w:rsid w:val="00754ABD"/>
    <w:rsid w:val="007553DB"/>
    <w:rsid w:val="007554BB"/>
    <w:rsid w:val="007558C6"/>
    <w:rsid w:val="0075649B"/>
    <w:rsid w:val="0075659B"/>
    <w:rsid w:val="007578C9"/>
    <w:rsid w:val="00757C74"/>
    <w:rsid w:val="00757EF5"/>
    <w:rsid w:val="007602C5"/>
    <w:rsid w:val="00760B3C"/>
    <w:rsid w:val="00760C10"/>
    <w:rsid w:val="00761565"/>
    <w:rsid w:val="00762241"/>
    <w:rsid w:val="00762ABA"/>
    <w:rsid w:val="0076441B"/>
    <w:rsid w:val="00764595"/>
    <w:rsid w:val="0076464C"/>
    <w:rsid w:val="00764D7A"/>
    <w:rsid w:val="00764DD7"/>
    <w:rsid w:val="00765D6D"/>
    <w:rsid w:val="00765DC6"/>
    <w:rsid w:val="00765FAA"/>
    <w:rsid w:val="00766517"/>
    <w:rsid w:val="007725E3"/>
    <w:rsid w:val="00776BEE"/>
    <w:rsid w:val="00776EAC"/>
    <w:rsid w:val="00777BD1"/>
    <w:rsid w:val="00781126"/>
    <w:rsid w:val="00783352"/>
    <w:rsid w:val="00783E5B"/>
    <w:rsid w:val="007845C5"/>
    <w:rsid w:val="007855A5"/>
    <w:rsid w:val="00785BAC"/>
    <w:rsid w:val="0078722D"/>
    <w:rsid w:val="007875A7"/>
    <w:rsid w:val="007875DE"/>
    <w:rsid w:val="0078780A"/>
    <w:rsid w:val="00787A50"/>
    <w:rsid w:val="00790334"/>
    <w:rsid w:val="00790C9D"/>
    <w:rsid w:val="0079162D"/>
    <w:rsid w:val="00791E81"/>
    <w:rsid w:val="00792509"/>
    <w:rsid w:val="007925F0"/>
    <w:rsid w:val="00794496"/>
    <w:rsid w:val="007946CD"/>
    <w:rsid w:val="007957E4"/>
    <w:rsid w:val="00796129"/>
    <w:rsid w:val="007963B9"/>
    <w:rsid w:val="00796841"/>
    <w:rsid w:val="007A15E5"/>
    <w:rsid w:val="007A1AB3"/>
    <w:rsid w:val="007A331E"/>
    <w:rsid w:val="007A35E0"/>
    <w:rsid w:val="007A5027"/>
    <w:rsid w:val="007A5AB8"/>
    <w:rsid w:val="007A5C5B"/>
    <w:rsid w:val="007A5CD4"/>
    <w:rsid w:val="007A5E55"/>
    <w:rsid w:val="007A6949"/>
    <w:rsid w:val="007A6FB7"/>
    <w:rsid w:val="007A77AA"/>
    <w:rsid w:val="007A7A1A"/>
    <w:rsid w:val="007A7DA7"/>
    <w:rsid w:val="007B063E"/>
    <w:rsid w:val="007B0A9C"/>
    <w:rsid w:val="007B0D20"/>
    <w:rsid w:val="007B156E"/>
    <w:rsid w:val="007B2C57"/>
    <w:rsid w:val="007B3810"/>
    <w:rsid w:val="007B59D8"/>
    <w:rsid w:val="007B63B4"/>
    <w:rsid w:val="007B6D09"/>
    <w:rsid w:val="007B71D3"/>
    <w:rsid w:val="007B796E"/>
    <w:rsid w:val="007C02C3"/>
    <w:rsid w:val="007C0A96"/>
    <w:rsid w:val="007C0BB5"/>
    <w:rsid w:val="007C0D96"/>
    <w:rsid w:val="007C0F4B"/>
    <w:rsid w:val="007C189F"/>
    <w:rsid w:val="007C33E9"/>
    <w:rsid w:val="007C42C8"/>
    <w:rsid w:val="007C44F7"/>
    <w:rsid w:val="007C5629"/>
    <w:rsid w:val="007C6517"/>
    <w:rsid w:val="007C669A"/>
    <w:rsid w:val="007C6718"/>
    <w:rsid w:val="007C6746"/>
    <w:rsid w:val="007C679E"/>
    <w:rsid w:val="007D0555"/>
    <w:rsid w:val="007D084E"/>
    <w:rsid w:val="007D0A9B"/>
    <w:rsid w:val="007D0D25"/>
    <w:rsid w:val="007D0F0B"/>
    <w:rsid w:val="007D0FFD"/>
    <w:rsid w:val="007D2419"/>
    <w:rsid w:val="007D2F5E"/>
    <w:rsid w:val="007D3382"/>
    <w:rsid w:val="007D33A8"/>
    <w:rsid w:val="007D34E7"/>
    <w:rsid w:val="007D412F"/>
    <w:rsid w:val="007D49C6"/>
    <w:rsid w:val="007D4A75"/>
    <w:rsid w:val="007D4D41"/>
    <w:rsid w:val="007D4F65"/>
    <w:rsid w:val="007D588D"/>
    <w:rsid w:val="007D6283"/>
    <w:rsid w:val="007D642A"/>
    <w:rsid w:val="007D69D0"/>
    <w:rsid w:val="007E113C"/>
    <w:rsid w:val="007E1154"/>
    <w:rsid w:val="007E1642"/>
    <w:rsid w:val="007E3EE0"/>
    <w:rsid w:val="007E62A0"/>
    <w:rsid w:val="007E6D09"/>
    <w:rsid w:val="007F0365"/>
    <w:rsid w:val="007F08C0"/>
    <w:rsid w:val="007F0F43"/>
    <w:rsid w:val="007F24E1"/>
    <w:rsid w:val="007F354D"/>
    <w:rsid w:val="007F7504"/>
    <w:rsid w:val="00800526"/>
    <w:rsid w:val="008006C1"/>
    <w:rsid w:val="00800922"/>
    <w:rsid w:val="008019AF"/>
    <w:rsid w:val="008035D6"/>
    <w:rsid w:val="008039A9"/>
    <w:rsid w:val="00803D2B"/>
    <w:rsid w:val="008041C3"/>
    <w:rsid w:val="008059A7"/>
    <w:rsid w:val="00805D6B"/>
    <w:rsid w:val="00806F96"/>
    <w:rsid w:val="00810DAE"/>
    <w:rsid w:val="008111A0"/>
    <w:rsid w:val="00811CD1"/>
    <w:rsid w:val="0081287D"/>
    <w:rsid w:val="00812B9D"/>
    <w:rsid w:val="008135A8"/>
    <w:rsid w:val="00813E12"/>
    <w:rsid w:val="0081438B"/>
    <w:rsid w:val="00814DB8"/>
    <w:rsid w:val="00814F2B"/>
    <w:rsid w:val="00815703"/>
    <w:rsid w:val="00816020"/>
    <w:rsid w:val="008162A7"/>
    <w:rsid w:val="00817876"/>
    <w:rsid w:val="00821638"/>
    <w:rsid w:val="0082170A"/>
    <w:rsid w:val="00822BE0"/>
    <w:rsid w:val="00823946"/>
    <w:rsid w:val="00823F1A"/>
    <w:rsid w:val="00823F5F"/>
    <w:rsid w:val="0082497A"/>
    <w:rsid w:val="00824D87"/>
    <w:rsid w:val="00824E2B"/>
    <w:rsid w:val="00824E4C"/>
    <w:rsid w:val="00825163"/>
    <w:rsid w:val="00827B7C"/>
    <w:rsid w:val="00831127"/>
    <w:rsid w:val="00832089"/>
    <w:rsid w:val="008326A9"/>
    <w:rsid w:val="008327AE"/>
    <w:rsid w:val="00832F3E"/>
    <w:rsid w:val="00833416"/>
    <w:rsid w:val="00833EFB"/>
    <w:rsid w:val="0083490F"/>
    <w:rsid w:val="00836C49"/>
    <w:rsid w:val="00840A74"/>
    <w:rsid w:val="00841C1E"/>
    <w:rsid w:val="0084268F"/>
    <w:rsid w:val="00842852"/>
    <w:rsid w:val="00843221"/>
    <w:rsid w:val="00843371"/>
    <w:rsid w:val="008435F2"/>
    <w:rsid w:val="0084369E"/>
    <w:rsid w:val="00843FAC"/>
    <w:rsid w:val="0084428E"/>
    <w:rsid w:val="00844A06"/>
    <w:rsid w:val="00845562"/>
    <w:rsid w:val="00847273"/>
    <w:rsid w:val="008473E8"/>
    <w:rsid w:val="00850492"/>
    <w:rsid w:val="00850E9F"/>
    <w:rsid w:val="00851018"/>
    <w:rsid w:val="00851915"/>
    <w:rsid w:val="00851B58"/>
    <w:rsid w:val="008525C1"/>
    <w:rsid w:val="0085260B"/>
    <w:rsid w:val="008529F3"/>
    <w:rsid w:val="00852F61"/>
    <w:rsid w:val="00852FD7"/>
    <w:rsid w:val="008539FE"/>
    <w:rsid w:val="008541E8"/>
    <w:rsid w:val="00854222"/>
    <w:rsid w:val="00854C38"/>
    <w:rsid w:val="008550E1"/>
    <w:rsid w:val="008551D0"/>
    <w:rsid w:val="00855448"/>
    <w:rsid w:val="0085559D"/>
    <w:rsid w:val="00856EC9"/>
    <w:rsid w:val="00860026"/>
    <w:rsid w:val="00861869"/>
    <w:rsid w:val="00861E0F"/>
    <w:rsid w:val="008630CF"/>
    <w:rsid w:val="008634A7"/>
    <w:rsid w:val="00865DF5"/>
    <w:rsid w:val="00867EE2"/>
    <w:rsid w:val="00871ACB"/>
    <w:rsid w:val="00871DA9"/>
    <w:rsid w:val="00872B52"/>
    <w:rsid w:val="008758C1"/>
    <w:rsid w:val="0087777B"/>
    <w:rsid w:val="00877A73"/>
    <w:rsid w:val="00877C9B"/>
    <w:rsid w:val="008808BA"/>
    <w:rsid w:val="008813B1"/>
    <w:rsid w:val="00881DBE"/>
    <w:rsid w:val="0088250E"/>
    <w:rsid w:val="008837CA"/>
    <w:rsid w:val="00883852"/>
    <w:rsid w:val="0088469E"/>
    <w:rsid w:val="0088527F"/>
    <w:rsid w:val="00885889"/>
    <w:rsid w:val="00886907"/>
    <w:rsid w:val="00886E0B"/>
    <w:rsid w:val="00891EB6"/>
    <w:rsid w:val="00892504"/>
    <w:rsid w:val="0089270D"/>
    <w:rsid w:val="00893A23"/>
    <w:rsid w:val="00893C50"/>
    <w:rsid w:val="00894D37"/>
    <w:rsid w:val="0089507C"/>
    <w:rsid w:val="0089588F"/>
    <w:rsid w:val="00896374"/>
    <w:rsid w:val="00896632"/>
    <w:rsid w:val="008A01AA"/>
    <w:rsid w:val="008A11C7"/>
    <w:rsid w:val="008A17D6"/>
    <w:rsid w:val="008A28F5"/>
    <w:rsid w:val="008A48F1"/>
    <w:rsid w:val="008A5E18"/>
    <w:rsid w:val="008A6894"/>
    <w:rsid w:val="008B0193"/>
    <w:rsid w:val="008B02C5"/>
    <w:rsid w:val="008B0B05"/>
    <w:rsid w:val="008B1019"/>
    <w:rsid w:val="008B233C"/>
    <w:rsid w:val="008B37A7"/>
    <w:rsid w:val="008B6360"/>
    <w:rsid w:val="008B6695"/>
    <w:rsid w:val="008B75F5"/>
    <w:rsid w:val="008C0033"/>
    <w:rsid w:val="008C0827"/>
    <w:rsid w:val="008C2AF2"/>
    <w:rsid w:val="008C339B"/>
    <w:rsid w:val="008C3F2C"/>
    <w:rsid w:val="008C3FD9"/>
    <w:rsid w:val="008C410B"/>
    <w:rsid w:val="008C53F5"/>
    <w:rsid w:val="008C544D"/>
    <w:rsid w:val="008C5D79"/>
    <w:rsid w:val="008C7D19"/>
    <w:rsid w:val="008D0AC4"/>
    <w:rsid w:val="008D2225"/>
    <w:rsid w:val="008D29B0"/>
    <w:rsid w:val="008D2FB9"/>
    <w:rsid w:val="008D465A"/>
    <w:rsid w:val="008D5497"/>
    <w:rsid w:val="008D585D"/>
    <w:rsid w:val="008D5971"/>
    <w:rsid w:val="008E02DC"/>
    <w:rsid w:val="008E0408"/>
    <w:rsid w:val="008E161B"/>
    <w:rsid w:val="008E2927"/>
    <w:rsid w:val="008E3008"/>
    <w:rsid w:val="008E332F"/>
    <w:rsid w:val="008E3B62"/>
    <w:rsid w:val="008E77F9"/>
    <w:rsid w:val="008E7BC9"/>
    <w:rsid w:val="008F05CA"/>
    <w:rsid w:val="008F1B0E"/>
    <w:rsid w:val="008F241C"/>
    <w:rsid w:val="008F33CF"/>
    <w:rsid w:val="008F3E0B"/>
    <w:rsid w:val="008F4CA5"/>
    <w:rsid w:val="008F5B6D"/>
    <w:rsid w:val="008F6275"/>
    <w:rsid w:val="008F67F8"/>
    <w:rsid w:val="008F6AAB"/>
    <w:rsid w:val="00901A4D"/>
    <w:rsid w:val="00902F74"/>
    <w:rsid w:val="00903359"/>
    <w:rsid w:val="00904BC4"/>
    <w:rsid w:val="0090569A"/>
    <w:rsid w:val="00906BB1"/>
    <w:rsid w:val="009071C9"/>
    <w:rsid w:val="009072C7"/>
    <w:rsid w:val="0090751B"/>
    <w:rsid w:val="0090763F"/>
    <w:rsid w:val="00910DA1"/>
    <w:rsid w:val="0091161D"/>
    <w:rsid w:val="00911CD4"/>
    <w:rsid w:val="00912D2E"/>
    <w:rsid w:val="00913499"/>
    <w:rsid w:val="0091425B"/>
    <w:rsid w:val="009146BD"/>
    <w:rsid w:val="00914F5D"/>
    <w:rsid w:val="009203A3"/>
    <w:rsid w:val="009203CF"/>
    <w:rsid w:val="00920FF8"/>
    <w:rsid w:val="00921075"/>
    <w:rsid w:val="0092138F"/>
    <w:rsid w:val="00923E18"/>
    <w:rsid w:val="00924556"/>
    <w:rsid w:val="00924BA4"/>
    <w:rsid w:val="00925461"/>
    <w:rsid w:val="009319A9"/>
    <w:rsid w:val="00931BAD"/>
    <w:rsid w:val="00932FBA"/>
    <w:rsid w:val="00933714"/>
    <w:rsid w:val="00933EC6"/>
    <w:rsid w:val="009345A8"/>
    <w:rsid w:val="00934C5B"/>
    <w:rsid w:val="00935236"/>
    <w:rsid w:val="009359A3"/>
    <w:rsid w:val="009370BF"/>
    <w:rsid w:val="009378B7"/>
    <w:rsid w:val="00937B59"/>
    <w:rsid w:val="00937F49"/>
    <w:rsid w:val="009401B2"/>
    <w:rsid w:val="00940B36"/>
    <w:rsid w:val="009420C5"/>
    <w:rsid w:val="00944E2D"/>
    <w:rsid w:val="00946C2E"/>
    <w:rsid w:val="009470B2"/>
    <w:rsid w:val="00947165"/>
    <w:rsid w:val="009501D1"/>
    <w:rsid w:val="009502E6"/>
    <w:rsid w:val="00950785"/>
    <w:rsid w:val="0095193E"/>
    <w:rsid w:val="00951DC4"/>
    <w:rsid w:val="00952452"/>
    <w:rsid w:val="0095265D"/>
    <w:rsid w:val="009527F5"/>
    <w:rsid w:val="0095462E"/>
    <w:rsid w:val="00954C0D"/>
    <w:rsid w:val="00956E9A"/>
    <w:rsid w:val="009570E0"/>
    <w:rsid w:val="00957E13"/>
    <w:rsid w:val="00960176"/>
    <w:rsid w:val="00960E25"/>
    <w:rsid w:val="009626CB"/>
    <w:rsid w:val="009637E2"/>
    <w:rsid w:val="00965277"/>
    <w:rsid w:val="009654BA"/>
    <w:rsid w:val="009668E0"/>
    <w:rsid w:val="0097140D"/>
    <w:rsid w:val="0097162F"/>
    <w:rsid w:val="00971898"/>
    <w:rsid w:val="00971B06"/>
    <w:rsid w:val="00972295"/>
    <w:rsid w:val="009735DF"/>
    <w:rsid w:val="0097364A"/>
    <w:rsid w:val="009739F7"/>
    <w:rsid w:val="00973C1F"/>
    <w:rsid w:val="00973DAB"/>
    <w:rsid w:val="00973FF4"/>
    <w:rsid w:val="0097498C"/>
    <w:rsid w:val="00974BD3"/>
    <w:rsid w:val="009757F6"/>
    <w:rsid w:val="00976AAC"/>
    <w:rsid w:val="00977361"/>
    <w:rsid w:val="009774D7"/>
    <w:rsid w:val="00977A43"/>
    <w:rsid w:val="009820BF"/>
    <w:rsid w:val="009869B3"/>
    <w:rsid w:val="00986E74"/>
    <w:rsid w:val="00986FD2"/>
    <w:rsid w:val="00987512"/>
    <w:rsid w:val="0098791D"/>
    <w:rsid w:val="00990A33"/>
    <w:rsid w:val="00990D24"/>
    <w:rsid w:val="0099227D"/>
    <w:rsid w:val="00992459"/>
    <w:rsid w:val="00992979"/>
    <w:rsid w:val="00992F87"/>
    <w:rsid w:val="009931F6"/>
    <w:rsid w:val="009946C8"/>
    <w:rsid w:val="009950F0"/>
    <w:rsid w:val="0099609A"/>
    <w:rsid w:val="009A2C0F"/>
    <w:rsid w:val="009A35A2"/>
    <w:rsid w:val="009A4E8C"/>
    <w:rsid w:val="009A52D3"/>
    <w:rsid w:val="009A582C"/>
    <w:rsid w:val="009A6ADE"/>
    <w:rsid w:val="009A6C24"/>
    <w:rsid w:val="009A7135"/>
    <w:rsid w:val="009A7A8A"/>
    <w:rsid w:val="009B0773"/>
    <w:rsid w:val="009B14D0"/>
    <w:rsid w:val="009B1D80"/>
    <w:rsid w:val="009B335D"/>
    <w:rsid w:val="009B3D50"/>
    <w:rsid w:val="009B4AFA"/>
    <w:rsid w:val="009B69E1"/>
    <w:rsid w:val="009B741A"/>
    <w:rsid w:val="009C133D"/>
    <w:rsid w:val="009C33C0"/>
    <w:rsid w:val="009C3DE2"/>
    <w:rsid w:val="009C4C28"/>
    <w:rsid w:val="009C5712"/>
    <w:rsid w:val="009D0985"/>
    <w:rsid w:val="009D2063"/>
    <w:rsid w:val="009D25E0"/>
    <w:rsid w:val="009D27D0"/>
    <w:rsid w:val="009D29B6"/>
    <w:rsid w:val="009D2D2D"/>
    <w:rsid w:val="009D2D3B"/>
    <w:rsid w:val="009D3E2A"/>
    <w:rsid w:val="009D3E5C"/>
    <w:rsid w:val="009D4558"/>
    <w:rsid w:val="009D457D"/>
    <w:rsid w:val="009D55E4"/>
    <w:rsid w:val="009D5A4C"/>
    <w:rsid w:val="009D6234"/>
    <w:rsid w:val="009E0BBF"/>
    <w:rsid w:val="009E3074"/>
    <w:rsid w:val="009E316E"/>
    <w:rsid w:val="009E49FA"/>
    <w:rsid w:val="009E50B5"/>
    <w:rsid w:val="009E5F95"/>
    <w:rsid w:val="009E61F5"/>
    <w:rsid w:val="009E710F"/>
    <w:rsid w:val="009E72D0"/>
    <w:rsid w:val="009F0557"/>
    <w:rsid w:val="009F220C"/>
    <w:rsid w:val="009F25D2"/>
    <w:rsid w:val="009F27DA"/>
    <w:rsid w:val="009F28D4"/>
    <w:rsid w:val="009F3D3F"/>
    <w:rsid w:val="009F535D"/>
    <w:rsid w:val="009F67BE"/>
    <w:rsid w:val="009F67DA"/>
    <w:rsid w:val="009F6963"/>
    <w:rsid w:val="009F6AA6"/>
    <w:rsid w:val="009F6B2E"/>
    <w:rsid w:val="009F6B83"/>
    <w:rsid w:val="009F7214"/>
    <w:rsid w:val="009F7318"/>
    <w:rsid w:val="009F748F"/>
    <w:rsid w:val="00A011F2"/>
    <w:rsid w:val="00A015FB"/>
    <w:rsid w:val="00A01C4A"/>
    <w:rsid w:val="00A028DC"/>
    <w:rsid w:val="00A04BEC"/>
    <w:rsid w:val="00A05165"/>
    <w:rsid w:val="00A0529F"/>
    <w:rsid w:val="00A05904"/>
    <w:rsid w:val="00A06F4A"/>
    <w:rsid w:val="00A10009"/>
    <w:rsid w:val="00A10E74"/>
    <w:rsid w:val="00A115C8"/>
    <w:rsid w:val="00A11B64"/>
    <w:rsid w:val="00A11DE5"/>
    <w:rsid w:val="00A12AAA"/>
    <w:rsid w:val="00A138AF"/>
    <w:rsid w:val="00A13B85"/>
    <w:rsid w:val="00A1410A"/>
    <w:rsid w:val="00A1419D"/>
    <w:rsid w:val="00A157A1"/>
    <w:rsid w:val="00A21044"/>
    <w:rsid w:val="00A21509"/>
    <w:rsid w:val="00A21C64"/>
    <w:rsid w:val="00A22053"/>
    <w:rsid w:val="00A22110"/>
    <w:rsid w:val="00A222D2"/>
    <w:rsid w:val="00A23CCC"/>
    <w:rsid w:val="00A243AE"/>
    <w:rsid w:val="00A24A42"/>
    <w:rsid w:val="00A26243"/>
    <w:rsid w:val="00A26881"/>
    <w:rsid w:val="00A2691F"/>
    <w:rsid w:val="00A2699F"/>
    <w:rsid w:val="00A26C97"/>
    <w:rsid w:val="00A2727C"/>
    <w:rsid w:val="00A27592"/>
    <w:rsid w:val="00A27EA9"/>
    <w:rsid w:val="00A306C7"/>
    <w:rsid w:val="00A3095E"/>
    <w:rsid w:val="00A31204"/>
    <w:rsid w:val="00A3147B"/>
    <w:rsid w:val="00A3187D"/>
    <w:rsid w:val="00A331BE"/>
    <w:rsid w:val="00A33415"/>
    <w:rsid w:val="00A33DA4"/>
    <w:rsid w:val="00A34EFA"/>
    <w:rsid w:val="00A352D7"/>
    <w:rsid w:val="00A36314"/>
    <w:rsid w:val="00A36330"/>
    <w:rsid w:val="00A363E1"/>
    <w:rsid w:val="00A37EBA"/>
    <w:rsid w:val="00A40DDE"/>
    <w:rsid w:val="00A41837"/>
    <w:rsid w:val="00A41DD2"/>
    <w:rsid w:val="00A4238E"/>
    <w:rsid w:val="00A42DFA"/>
    <w:rsid w:val="00A42EA4"/>
    <w:rsid w:val="00A43DFF"/>
    <w:rsid w:val="00A44563"/>
    <w:rsid w:val="00A44B04"/>
    <w:rsid w:val="00A451CC"/>
    <w:rsid w:val="00A45795"/>
    <w:rsid w:val="00A4606D"/>
    <w:rsid w:val="00A462D8"/>
    <w:rsid w:val="00A466A4"/>
    <w:rsid w:val="00A46B41"/>
    <w:rsid w:val="00A474E8"/>
    <w:rsid w:val="00A47A76"/>
    <w:rsid w:val="00A507F1"/>
    <w:rsid w:val="00A5383F"/>
    <w:rsid w:val="00A54B1A"/>
    <w:rsid w:val="00A5705C"/>
    <w:rsid w:val="00A6016E"/>
    <w:rsid w:val="00A6102E"/>
    <w:rsid w:val="00A61CFE"/>
    <w:rsid w:val="00A62102"/>
    <w:rsid w:val="00A625F2"/>
    <w:rsid w:val="00A62BDC"/>
    <w:rsid w:val="00A62F0C"/>
    <w:rsid w:val="00A632AD"/>
    <w:rsid w:val="00A647F6"/>
    <w:rsid w:val="00A654F7"/>
    <w:rsid w:val="00A664B0"/>
    <w:rsid w:val="00A66814"/>
    <w:rsid w:val="00A70E40"/>
    <w:rsid w:val="00A71323"/>
    <w:rsid w:val="00A71519"/>
    <w:rsid w:val="00A717CF"/>
    <w:rsid w:val="00A71A76"/>
    <w:rsid w:val="00A71CB2"/>
    <w:rsid w:val="00A74244"/>
    <w:rsid w:val="00A7559D"/>
    <w:rsid w:val="00A7598D"/>
    <w:rsid w:val="00A75B25"/>
    <w:rsid w:val="00A7785A"/>
    <w:rsid w:val="00A77C4A"/>
    <w:rsid w:val="00A77DF2"/>
    <w:rsid w:val="00A77F3E"/>
    <w:rsid w:val="00A80677"/>
    <w:rsid w:val="00A80D3E"/>
    <w:rsid w:val="00A80E8A"/>
    <w:rsid w:val="00A8195F"/>
    <w:rsid w:val="00A82CAB"/>
    <w:rsid w:val="00A83B2A"/>
    <w:rsid w:val="00A857CC"/>
    <w:rsid w:val="00A85B31"/>
    <w:rsid w:val="00A85BC7"/>
    <w:rsid w:val="00A86041"/>
    <w:rsid w:val="00A86220"/>
    <w:rsid w:val="00A8647F"/>
    <w:rsid w:val="00A86624"/>
    <w:rsid w:val="00A866B1"/>
    <w:rsid w:val="00A87722"/>
    <w:rsid w:val="00A90243"/>
    <w:rsid w:val="00A9026D"/>
    <w:rsid w:val="00A91434"/>
    <w:rsid w:val="00A91842"/>
    <w:rsid w:val="00A9243F"/>
    <w:rsid w:val="00A92F26"/>
    <w:rsid w:val="00A93BC5"/>
    <w:rsid w:val="00A94302"/>
    <w:rsid w:val="00A94F2A"/>
    <w:rsid w:val="00A9508D"/>
    <w:rsid w:val="00A960BF"/>
    <w:rsid w:val="00A96541"/>
    <w:rsid w:val="00A97C4D"/>
    <w:rsid w:val="00AA0858"/>
    <w:rsid w:val="00AA145F"/>
    <w:rsid w:val="00AA1FB3"/>
    <w:rsid w:val="00AA2B92"/>
    <w:rsid w:val="00AA404E"/>
    <w:rsid w:val="00AA6E22"/>
    <w:rsid w:val="00AA7879"/>
    <w:rsid w:val="00AA7D3C"/>
    <w:rsid w:val="00AB0A5E"/>
    <w:rsid w:val="00AB1689"/>
    <w:rsid w:val="00AB2D0F"/>
    <w:rsid w:val="00AB3209"/>
    <w:rsid w:val="00AB361E"/>
    <w:rsid w:val="00AB4101"/>
    <w:rsid w:val="00AB4454"/>
    <w:rsid w:val="00AB52A3"/>
    <w:rsid w:val="00AB60F6"/>
    <w:rsid w:val="00AB7CDB"/>
    <w:rsid w:val="00AC10FB"/>
    <w:rsid w:val="00AC14E4"/>
    <w:rsid w:val="00AC2AA1"/>
    <w:rsid w:val="00AC5B0A"/>
    <w:rsid w:val="00AC6195"/>
    <w:rsid w:val="00AC6A81"/>
    <w:rsid w:val="00AD042C"/>
    <w:rsid w:val="00AD0810"/>
    <w:rsid w:val="00AD130B"/>
    <w:rsid w:val="00AD1F20"/>
    <w:rsid w:val="00AD3C4A"/>
    <w:rsid w:val="00AD3D20"/>
    <w:rsid w:val="00AD3E8F"/>
    <w:rsid w:val="00AD4618"/>
    <w:rsid w:val="00AD4761"/>
    <w:rsid w:val="00AD5476"/>
    <w:rsid w:val="00AD5FAA"/>
    <w:rsid w:val="00AD6A50"/>
    <w:rsid w:val="00AD74A7"/>
    <w:rsid w:val="00AD78BD"/>
    <w:rsid w:val="00AE0A7B"/>
    <w:rsid w:val="00AE12A1"/>
    <w:rsid w:val="00AE22B9"/>
    <w:rsid w:val="00AE3D94"/>
    <w:rsid w:val="00AE42E0"/>
    <w:rsid w:val="00AE47CF"/>
    <w:rsid w:val="00AE5210"/>
    <w:rsid w:val="00AE5499"/>
    <w:rsid w:val="00AE5752"/>
    <w:rsid w:val="00AE5F02"/>
    <w:rsid w:val="00AE7DF6"/>
    <w:rsid w:val="00AF0D5F"/>
    <w:rsid w:val="00AF1063"/>
    <w:rsid w:val="00AF18E3"/>
    <w:rsid w:val="00AF2EFB"/>
    <w:rsid w:val="00AF49B5"/>
    <w:rsid w:val="00AF50A1"/>
    <w:rsid w:val="00AF5265"/>
    <w:rsid w:val="00AF77E4"/>
    <w:rsid w:val="00AF7D77"/>
    <w:rsid w:val="00B000C7"/>
    <w:rsid w:val="00B0064D"/>
    <w:rsid w:val="00B00663"/>
    <w:rsid w:val="00B00E1F"/>
    <w:rsid w:val="00B014EC"/>
    <w:rsid w:val="00B03259"/>
    <w:rsid w:val="00B04152"/>
    <w:rsid w:val="00B04E91"/>
    <w:rsid w:val="00B0576C"/>
    <w:rsid w:val="00B05B2C"/>
    <w:rsid w:val="00B05E8E"/>
    <w:rsid w:val="00B05EAF"/>
    <w:rsid w:val="00B05EBB"/>
    <w:rsid w:val="00B05FE9"/>
    <w:rsid w:val="00B06CA8"/>
    <w:rsid w:val="00B07839"/>
    <w:rsid w:val="00B07B7A"/>
    <w:rsid w:val="00B07E6C"/>
    <w:rsid w:val="00B10B6B"/>
    <w:rsid w:val="00B11CC3"/>
    <w:rsid w:val="00B11D49"/>
    <w:rsid w:val="00B122A5"/>
    <w:rsid w:val="00B1335E"/>
    <w:rsid w:val="00B135F0"/>
    <w:rsid w:val="00B14203"/>
    <w:rsid w:val="00B147DE"/>
    <w:rsid w:val="00B147FB"/>
    <w:rsid w:val="00B169A0"/>
    <w:rsid w:val="00B16D47"/>
    <w:rsid w:val="00B16ED2"/>
    <w:rsid w:val="00B17748"/>
    <w:rsid w:val="00B17D70"/>
    <w:rsid w:val="00B20438"/>
    <w:rsid w:val="00B2093A"/>
    <w:rsid w:val="00B20A93"/>
    <w:rsid w:val="00B211C6"/>
    <w:rsid w:val="00B21332"/>
    <w:rsid w:val="00B24DD9"/>
    <w:rsid w:val="00B25D36"/>
    <w:rsid w:val="00B26722"/>
    <w:rsid w:val="00B2745E"/>
    <w:rsid w:val="00B301A5"/>
    <w:rsid w:val="00B3238B"/>
    <w:rsid w:val="00B34191"/>
    <w:rsid w:val="00B356D4"/>
    <w:rsid w:val="00B35903"/>
    <w:rsid w:val="00B362E9"/>
    <w:rsid w:val="00B36D98"/>
    <w:rsid w:val="00B36FD2"/>
    <w:rsid w:val="00B374FA"/>
    <w:rsid w:val="00B37F52"/>
    <w:rsid w:val="00B4008C"/>
    <w:rsid w:val="00B40BCC"/>
    <w:rsid w:val="00B41357"/>
    <w:rsid w:val="00B4276C"/>
    <w:rsid w:val="00B42936"/>
    <w:rsid w:val="00B45A31"/>
    <w:rsid w:val="00B46371"/>
    <w:rsid w:val="00B46BBE"/>
    <w:rsid w:val="00B47782"/>
    <w:rsid w:val="00B47B80"/>
    <w:rsid w:val="00B504B1"/>
    <w:rsid w:val="00B510BB"/>
    <w:rsid w:val="00B5131F"/>
    <w:rsid w:val="00B534FF"/>
    <w:rsid w:val="00B5390C"/>
    <w:rsid w:val="00B540AC"/>
    <w:rsid w:val="00B54E0A"/>
    <w:rsid w:val="00B551A7"/>
    <w:rsid w:val="00B559D5"/>
    <w:rsid w:val="00B60359"/>
    <w:rsid w:val="00B60520"/>
    <w:rsid w:val="00B609A3"/>
    <w:rsid w:val="00B60F2C"/>
    <w:rsid w:val="00B61C4F"/>
    <w:rsid w:val="00B631CF"/>
    <w:rsid w:val="00B6419B"/>
    <w:rsid w:val="00B65F62"/>
    <w:rsid w:val="00B668CA"/>
    <w:rsid w:val="00B700AB"/>
    <w:rsid w:val="00B70904"/>
    <w:rsid w:val="00B70E61"/>
    <w:rsid w:val="00B71D22"/>
    <w:rsid w:val="00B72151"/>
    <w:rsid w:val="00B73357"/>
    <w:rsid w:val="00B755FA"/>
    <w:rsid w:val="00B76EEF"/>
    <w:rsid w:val="00B77FC4"/>
    <w:rsid w:val="00B80665"/>
    <w:rsid w:val="00B81045"/>
    <w:rsid w:val="00B81EB7"/>
    <w:rsid w:val="00B8211B"/>
    <w:rsid w:val="00B83736"/>
    <w:rsid w:val="00B83C77"/>
    <w:rsid w:val="00B87FC0"/>
    <w:rsid w:val="00B90A23"/>
    <w:rsid w:val="00B90EE6"/>
    <w:rsid w:val="00B93BEE"/>
    <w:rsid w:val="00B9511D"/>
    <w:rsid w:val="00B96B09"/>
    <w:rsid w:val="00B976CC"/>
    <w:rsid w:val="00B978A4"/>
    <w:rsid w:val="00B97BAB"/>
    <w:rsid w:val="00BA0215"/>
    <w:rsid w:val="00BA042D"/>
    <w:rsid w:val="00BA1573"/>
    <w:rsid w:val="00BA4CD0"/>
    <w:rsid w:val="00BA519C"/>
    <w:rsid w:val="00BA5A7D"/>
    <w:rsid w:val="00BA5D3B"/>
    <w:rsid w:val="00BA5E6A"/>
    <w:rsid w:val="00BA62F4"/>
    <w:rsid w:val="00BA7AF8"/>
    <w:rsid w:val="00BB2062"/>
    <w:rsid w:val="00BB2A35"/>
    <w:rsid w:val="00BB351F"/>
    <w:rsid w:val="00BB3748"/>
    <w:rsid w:val="00BB4EB8"/>
    <w:rsid w:val="00BB5083"/>
    <w:rsid w:val="00BB54C7"/>
    <w:rsid w:val="00BB6494"/>
    <w:rsid w:val="00BB751C"/>
    <w:rsid w:val="00BB7CAA"/>
    <w:rsid w:val="00BC0478"/>
    <w:rsid w:val="00BC1614"/>
    <w:rsid w:val="00BC1B9E"/>
    <w:rsid w:val="00BC1E79"/>
    <w:rsid w:val="00BC2746"/>
    <w:rsid w:val="00BC2CED"/>
    <w:rsid w:val="00BC3330"/>
    <w:rsid w:val="00BC459B"/>
    <w:rsid w:val="00BC5D1A"/>
    <w:rsid w:val="00BC5D7B"/>
    <w:rsid w:val="00BC6A5F"/>
    <w:rsid w:val="00BC73E1"/>
    <w:rsid w:val="00BC75C3"/>
    <w:rsid w:val="00BC7631"/>
    <w:rsid w:val="00BD0734"/>
    <w:rsid w:val="00BD0CB6"/>
    <w:rsid w:val="00BD25D0"/>
    <w:rsid w:val="00BD2C49"/>
    <w:rsid w:val="00BD3E45"/>
    <w:rsid w:val="00BD4E87"/>
    <w:rsid w:val="00BD67A3"/>
    <w:rsid w:val="00BD6B3A"/>
    <w:rsid w:val="00BD6DF9"/>
    <w:rsid w:val="00BD6F17"/>
    <w:rsid w:val="00BD77D6"/>
    <w:rsid w:val="00BE068A"/>
    <w:rsid w:val="00BE1C80"/>
    <w:rsid w:val="00BE1D27"/>
    <w:rsid w:val="00BE27F5"/>
    <w:rsid w:val="00BE2A0A"/>
    <w:rsid w:val="00BE2C52"/>
    <w:rsid w:val="00BE2CDC"/>
    <w:rsid w:val="00BE2DD1"/>
    <w:rsid w:val="00BE307C"/>
    <w:rsid w:val="00BE3563"/>
    <w:rsid w:val="00BE356E"/>
    <w:rsid w:val="00BE3DB0"/>
    <w:rsid w:val="00BE4662"/>
    <w:rsid w:val="00BE696E"/>
    <w:rsid w:val="00BE70B2"/>
    <w:rsid w:val="00BF0D8E"/>
    <w:rsid w:val="00BF14F5"/>
    <w:rsid w:val="00BF2F81"/>
    <w:rsid w:val="00BF32FF"/>
    <w:rsid w:val="00BF4A65"/>
    <w:rsid w:val="00BF4C37"/>
    <w:rsid w:val="00BF4D13"/>
    <w:rsid w:val="00BF4ECD"/>
    <w:rsid w:val="00BF6E50"/>
    <w:rsid w:val="00BF7B60"/>
    <w:rsid w:val="00C01D1B"/>
    <w:rsid w:val="00C0269B"/>
    <w:rsid w:val="00C026D5"/>
    <w:rsid w:val="00C02A19"/>
    <w:rsid w:val="00C03E07"/>
    <w:rsid w:val="00C042F9"/>
    <w:rsid w:val="00C051C8"/>
    <w:rsid w:val="00C05FE3"/>
    <w:rsid w:val="00C106D0"/>
    <w:rsid w:val="00C109CF"/>
    <w:rsid w:val="00C10EF6"/>
    <w:rsid w:val="00C11135"/>
    <w:rsid w:val="00C114EC"/>
    <w:rsid w:val="00C11C9D"/>
    <w:rsid w:val="00C129A5"/>
    <w:rsid w:val="00C12B77"/>
    <w:rsid w:val="00C13B28"/>
    <w:rsid w:val="00C140E0"/>
    <w:rsid w:val="00C14CE3"/>
    <w:rsid w:val="00C15267"/>
    <w:rsid w:val="00C16602"/>
    <w:rsid w:val="00C1697C"/>
    <w:rsid w:val="00C17031"/>
    <w:rsid w:val="00C17D7C"/>
    <w:rsid w:val="00C209A4"/>
    <w:rsid w:val="00C216A4"/>
    <w:rsid w:val="00C2180F"/>
    <w:rsid w:val="00C21C1B"/>
    <w:rsid w:val="00C22FC9"/>
    <w:rsid w:val="00C26349"/>
    <w:rsid w:val="00C2648F"/>
    <w:rsid w:val="00C27774"/>
    <w:rsid w:val="00C27B6F"/>
    <w:rsid w:val="00C3027A"/>
    <w:rsid w:val="00C304C4"/>
    <w:rsid w:val="00C314F7"/>
    <w:rsid w:val="00C31779"/>
    <w:rsid w:val="00C322A0"/>
    <w:rsid w:val="00C32DF8"/>
    <w:rsid w:val="00C34235"/>
    <w:rsid w:val="00C35384"/>
    <w:rsid w:val="00C35D9F"/>
    <w:rsid w:val="00C36797"/>
    <w:rsid w:val="00C37887"/>
    <w:rsid w:val="00C378D0"/>
    <w:rsid w:val="00C402E4"/>
    <w:rsid w:val="00C404BA"/>
    <w:rsid w:val="00C40725"/>
    <w:rsid w:val="00C42799"/>
    <w:rsid w:val="00C42A5C"/>
    <w:rsid w:val="00C42F7B"/>
    <w:rsid w:val="00C43681"/>
    <w:rsid w:val="00C43AEA"/>
    <w:rsid w:val="00C43B66"/>
    <w:rsid w:val="00C50670"/>
    <w:rsid w:val="00C50C62"/>
    <w:rsid w:val="00C50EBF"/>
    <w:rsid w:val="00C513D9"/>
    <w:rsid w:val="00C5293A"/>
    <w:rsid w:val="00C53E44"/>
    <w:rsid w:val="00C550F9"/>
    <w:rsid w:val="00C55940"/>
    <w:rsid w:val="00C559E6"/>
    <w:rsid w:val="00C562B6"/>
    <w:rsid w:val="00C56737"/>
    <w:rsid w:val="00C568C1"/>
    <w:rsid w:val="00C6044C"/>
    <w:rsid w:val="00C60674"/>
    <w:rsid w:val="00C610D6"/>
    <w:rsid w:val="00C62484"/>
    <w:rsid w:val="00C62CAE"/>
    <w:rsid w:val="00C6363A"/>
    <w:rsid w:val="00C63BBB"/>
    <w:rsid w:val="00C64E5A"/>
    <w:rsid w:val="00C65458"/>
    <w:rsid w:val="00C66552"/>
    <w:rsid w:val="00C70C50"/>
    <w:rsid w:val="00C70D22"/>
    <w:rsid w:val="00C70EA0"/>
    <w:rsid w:val="00C7151E"/>
    <w:rsid w:val="00C719BF"/>
    <w:rsid w:val="00C72011"/>
    <w:rsid w:val="00C720C5"/>
    <w:rsid w:val="00C7223A"/>
    <w:rsid w:val="00C72668"/>
    <w:rsid w:val="00C72F31"/>
    <w:rsid w:val="00C73E26"/>
    <w:rsid w:val="00C7401C"/>
    <w:rsid w:val="00C744E8"/>
    <w:rsid w:val="00C74F27"/>
    <w:rsid w:val="00C75683"/>
    <w:rsid w:val="00C7572B"/>
    <w:rsid w:val="00C75CDF"/>
    <w:rsid w:val="00C77CD7"/>
    <w:rsid w:val="00C80F13"/>
    <w:rsid w:val="00C82B4B"/>
    <w:rsid w:val="00C82E3A"/>
    <w:rsid w:val="00C854E8"/>
    <w:rsid w:val="00C8617C"/>
    <w:rsid w:val="00C90019"/>
    <w:rsid w:val="00C90D9C"/>
    <w:rsid w:val="00C92C72"/>
    <w:rsid w:val="00C931D1"/>
    <w:rsid w:val="00C935C4"/>
    <w:rsid w:val="00C935D3"/>
    <w:rsid w:val="00C940A8"/>
    <w:rsid w:val="00C94BB3"/>
    <w:rsid w:val="00C94FBE"/>
    <w:rsid w:val="00C9559F"/>
    <w:rsid w:val="00C95753"/>
    <w:rsid w:val="00C95C02"/>
    <w:rsid w:val="00C966CE"/>
    <w:rsid w:val="00C97CBE"/>
    <w:rsid w:val="00C97D66"/>
    <w:rsid w:val="00CA0899"/>
    <w:rsid w:val="00CA164F"/>
    <w:rsid w:val="00CA1E3F"/>
    <w:rsid w:val="00CA252D"/>
    <w:rsid w:val="00CA2BD3"/>
    <w:rsid w:val="00CA473F"/>
    <w:rsid w:val="00CA4FA8"/>
    <w:rsid w:val="00CA53FC"/>
    <w:rsid w:val="00CA6988"/>
    <w:rsid w:val="00CA7BF3"/>
    <w:rsid w:val="00CA7CAD"/>
    <w:rsid w:val="00CB00C8"/>
    <w:rsid w:val="00CB1049"/>
    <w:rsid w:val="00CB2FC4"/>
    <w:rsid w:val="00CB40A0"/>
    <w:rsid w:val="00CB41F5"/>
    <w:rsid w:val="00CB5026"/>
    <w:rsid w:val="00CB5437"/>
    <w:rsid w:val="00CB5CC4"/>
    <w:rsid w:val="00CB5D1F"/>
    <w:rsid w:val="00CB6A79"/>
    <w:rsid w:val="00CB74C4"/>
    <w:rsid w:val="00CB7ABE"/>
    <w:rsid w:val="00CC06B5"/>
    <w:rsid w:val="00CC0E12"/>
    <w:rsid w:val="00CC0FA1"/>
    <w:rsid w:val="00CC1C15"/>
    <w:rsid w:val="00CC22FF"/>
    <w:rsid w:val="00CC3F3C"/>
    <w:rsid w:val="00CC4209"/>
    <w:rsid w:val="00CC4A0F"/>
    <w:rsid w:val="00CC4BED"/>
    <w:rsid w:val="00CC51B4"/>
    <w:rsid w:val="00CC5DE1"/>
    <w:rsid w:val="00CC625D"/>
    <w:rsid w:val="00CC6EE4"/>
    <w:rsid w:val="00CD054E"/>
    <w:rsid w:val="00CD0DB8"/>
    <w:rsid w:val="00CD1C43"/>
    <w:rsid w:val="00CD20CC"/>
    <w:rsid w:val="00CD2F73"/>
    <w:rsid w:val="00CD34C8"/>
    <w:rsid w:val="00CD4805"/>
    <w:rsid w:val="00CD5C3E"/>
    <w:rsid w:val="00CD5DB3"/>
    <w:rsid w:val="00CD65FC"/>
    <w:rsid w:val="00CD7088"/>
    <w:rsid w:val="00CD7421"/>
    <w:rsid w:val="00CE114A"/>
    <w:rsid w:val="00CE13BD"/>
    <w:rsid w:val="00CE238E"/>
    <w:rsid w:val="00CE2745"/>
    <w:rsid w:val="00CE358C"/>
    <w:rsid w:val="00CE372D"/>
    <w:rsid w:val="00CE40BE"/>
    <w:rsid w:val="00CE4516"/>
    <w:rsid w:val="00CE530F"/>
    <w:rsid w:val="00CE5606"/>
    <w:rsid w:val="00CF090E"/>
    <w:rsid w:val="00CF2678"/>
    <w:rsid w:val="00CF26A2"/>
    <w:rsid w:val="00CF3172"/>
    <w:rsid w:val="00CF4DCC"/>
    <w:rsid w:val="00CF6198"/>
    <w:rsid w:val="00CF64D6"/>
    <w:rsid w:val="00CF7A5D"/>
    <w:rsid w:val="00D00458"/>
    <w:rsid w:val="00D012E5"/>
    <w:rsid w:val="00D015A5"/>
    <w:rsid w:val="00D02993"/>
    <w:rsid w:val="00D02A58"/>
    <w:rsid w:val="00D02EA6"/>
    <w:rsid w:val="00D032A3"/>
    <w:rsid w:val="00D064C8"/>
    <w:rsid w:val="00D072F7"/>
    <w:rsid w:val="00D076A5"/>
    <w:rsid w:val="00D07B70"/>
    <w:rsid w:val="00D07E9A"/>
    <w:rsid w:val="00D12141"/>
    <w:rsid w:val="00D1277C"/>
    <w:rsid w:val="00D149D2"/>
    <w:rsid w:val="00D14A57"/>
    <w:rsid w:val="00D16547"/>
    <w:rsid w:val="00D16B42"/>
    <w:rsid w:val="00D17108"/>
    <w:rsid w:val="00D17979"/>
    <w:rsid w:val="00D17CAC"/>
    <w:rsid w:val="00D2075A"/>
    <w:rsid w:val="00D20B1A"/>
    <w:rsid w:val="00D21224"/>
    <w:rsid w:val="00D21441"/>
    <w:rsid w:val="00D222FF"/>
    <w:rsid w:val="00D22661"/>
    <w:rsid w:val="00D2297C"/>
    <w:rsid w:val="00D229CC"/>
    <w:rsid w:val="00D22C49"/>
    <w:rsid w:val="00D232FE"/>
    <w:rsid w:val="00D23C5B"/>
    <w:rsid w:val="00D24383"/>
    <w:rsid w:val="00D24813"/>
    <w:rsid w:val="00D25233"/>
    <w:rsid w:val="00D27D1B"/>
    <w:rsid w:val="00D27FF4"/>
    <w:rsid w:val="00D30496"/>
    <w:rsid w:val="00D30DB3"/>
    <w:rsid w:val="00D31082"/>
    <w:rsid w:val="00D310D1"/>
    <w:rsid w:val="00D31782"/>
    <w:rsid w:val="00D31927"/>
    <w:rsid w:val="00D3494F"/>
    <w:rsid w:val="00D34A1B"/>
    <w:rsid w:val="00D360F0"/>
    <w:rsid w:val="00D368F8"/>
    <w:rsid w:val="00D372D1"/>
    <w:rsid w:val="00D40851"/>
    <w:rsid w:val="00D41C74"/>
    <w:rsid w:val="00D44140"/>
    <w:rsid w:val="00D44ADC"/>
    <w:rsid w:val="00D45904"/>
    <w:rsid w:val="00D45AA7"/>
    <w:rsid w:val="00D4647A"/>
    <w:rsid w:val="00D464C6"/>
    <w:rsid w:val="00D47A56"/>
    <w:rsid w:val="00D47AEE"/>
    <w:rsid w:val="00D50576"/>
    <w:rsid w:val="00D51436"/>
    <w:rsid w:val="00D51C6F"/>
    <w:rsid w:val="00D55CF1"/>
    <w:rsid w:val="00D5675C"/>
    <w:rsid w:val="00D57C8C"/>
    <w:rsid w:val="00D60105"/>
    <w:rsid w:val="00D60C03"/>
    <w:rsid w:val="00D619AE"/>
    <w:rsid w:val="00D61CB7"/>
    <w:rsid w:val="00D61D9E"/>
    <w:rsid w:val="00D621F7"/>
    <w:rsid w:val="00D623DE"/>
    <w:rsid w:val="00D62A04"/>
    <w:rsid w:val="00D62D79"/>
    <w:rsid w:val="00D63DC1"/>
    <w:rsid w:val="00D63F72"/>
    <w:rsid w:val="00D63FB9"/>
    <w:rsid w:val="00D64667"/>
    <w:rsid w:val="00D64B8A"/>
    <w:rsid w:val="00D65363"/>
    <w:rsid w:val="00D66AE9"/>
    <w:rsid w:val="00D710E9"/>
    <w:rsid w:val="00D71866"/>
    <w:rsid w:val="00D71EB5"/>
    <w:rsid w:val="00D72487"/>
    <w:rsid w:val="00D72833"/>
    <w:rsid w:val="00D72B19"/>
    <w:rsid w:val="00D72C42"/>
    <w:rsid w:val="00D734EA"/>
    <w:rsid w:val="00D73833"/>
    <w:rsid w:val="00D73F36"/>
    <w:rsid w:val="00D7413B"/>
    <w:rsid w:val="00D74342"/>
    <w:rsid w:val="00D746FD"/>
    <w:rsid w:val="00D7539A"/>
    <w:rsid w:val="00D75EF9"/>
    <w:rsid w:val="00D76A9A"/>
    <w:rsid w:val="00D7721F"/>
    <w:rsid w:val="00D7738D"/>
    <w:rsid w:val="00D77EBF"/>
    <w:rsid w:val="00D80180"/>
    <w:rsid w:val="00D816F0"/>
    <w:rsid w:val="00D82F71"/>
    <w:rsid w:val="00D846BA"/>
    <w:rsid w:val="00D84BC1"/>
    <w:rsid w:val="00D84D09"/>
    <w:rsid w:val="00D85013"/>
    <w:rsid w:val="00D85190"/>
    <w:rsid w:val="00D85C11"/>
    <w:rsid w:val="00D85E02"/>
    <w:rsid w:val="00D85E87"/>
    <w:rsid w:val="00D86174"/>
    <w:rsid w:val="00D87035"/>
    <w:rsid w:val="00D87C4F"/>
    <w:rsid w:val="00D932F4"/>
    <w:rsid w:val="00D934A0"/>
    <w:rsid w:val="00D935D6"/>
    <w:rsid w:val="00D9390F"/>
    <w:rsid w:val="00D93D0A"/>
    <w:rsid w:val="00D94AFE"/>
    <w:rsid w:val="00D94D46"/>
    <w:rsid w:val="00D95B24"/>
    <w:rsid w:val="00D966D5"/>
    <w:rsid w:val="00D970FD"/>
    <w:rsid w:val="00D9754E"/>
    <w:rsid w:val="00D97B86"/>
    <w:rsid w:val="00D97CAE"/>
    <w:rsid w:val="00DA11B4"/>
    <w:rsid w:val="00DA13F9"/>
    <w:rsid w:val="00DA15E6"/>
    <w:rsid w:val="00DA1ADA"/>
    <w:rsid w:val="00DA2236"/>
    <w:rsid w:val="00DA299F"/>
    <w:rsid w:val="00DA3443"/>
    <w:rsid w:val="00DA3C7E"/>
    <w:rsid w:val="00DA5170"/>
    <w:rsid w:val="00DA632F"/>
    <w:rsid w:val="00DA66EF"/>
    <w:rsid w:val="00DA79AD"/>
    <w:rsid w:val="00DB0092"/>
    <w:rsid w:val="00DB1F35"/>
    <w:rsid w:val="00DB2B48"/>
    <w:rsid w:val="00DB2DF6"/>
    <w:rsid w:val="00DB38AB"/>
    <w:rsid w:val="00DB48CD"/>
    <w:rsid w:val="00DB555D"/>
    <w:rsid w:val="00DC01A2"/>
    <w:rsid w:val="00DC2466"/>
    <w:rsid w:val="00DC2B12"/>
    <w:rsid w:val="00DC428B"/>
    <w:rsid w:val="00DC49EE"/>
    <w:rsid w:val="00DC4C35"/>
    <w:rsid w:val="00DC769A"/>
    <w:rsid w:val="00DC792B"/>
    <w:rsid w:val="00DC7A59"/>
    <w:rsid w:val="00DD083D"/>
    <w:rsid w:val="00DD1075"/>
    <w:rsid w:val="00DD1102"/>
    <w:rsid w:val="00DD11CD"/>
    <w:rsid w:val="00DD1673"/>
    <w:rsid w:val="00DD2184"/>
    <w:rsid w:val="00DD2259"/>
    <w:rsid w:val="00DD2E0F"/>
    <w:rsid w:val="00DD48BC"/>
    <w:rsid w:val="00DE05CE"/>
    <w:rsid w:val="00DE0705"/>
    <w:rsid w:val="00DE178E"/>
    <w:rsid w:val="00DE1EA4"/>
    <w:rsid w:val="00DE24CA"/>
    <w:rsid w:val="00DE3C76"/>
    <w:rsid w:val="00DE446D"/>
    <w:rsid w:val="00DE4768"/>
    <w:rsid w:val="00DE4803"/>
    <w:rsid w:val="00DE53BB"/>
    <w:rsid w:val="00DE5E51"/>
    <w:rsid w:val="00DE6D29"/>
    <w:rsid w:val="00DE7A34"/>
    <w:rsid w:val="00DE7D9F"/>
    <w:rsid w:val="00DF030F"/>
    <w:rsid w:val="00DF0B08"/>
    <w:rsid w:val="00DF0BF5"/>
    <w:rsid w:val="00DF1714"/>
    <w:rsid w:val="00DF5218"/>
    <w:rsid w:val="00DF5704"/>
    <w:rsid w:val="00DF600A"/>
    <w:rsid w:val="00DF6D30"/>
    <w:rsid w:val="00DF7B29"/>
    <w:rsid w:val="00E0036D"/>
    <w:rsid w:val="00E00F70"/>
    <w:rsid w:val="00E0103A"/>
    <w:rsid w:val="00E01681"/>
    <w:rsid w:val="00E027D9"/>
    <w:rsid w:val="00E02ED6"/>
    <w:rsid w:val="00E02FB9"/>
    <w:rsid w:val="00E0301B"/>
    <w:rsid w:val="00E036D3"/>
    <w:rsid w:val="00E04574"/>
    <w:rsid w:val="00E05481"/>
    <w:rsid w:val="00E05DAE"/>
    <w:rsid w:val="00E06833"/>
    <w:rsid w:val="00E07A86"/>
    <w:rsid w:val="00E118AE"/>
    <w:rsid w:val="00E12111"/>
    <w:rsid w:val="00E12398"/>
    <w:rsid w:val="00E12A09"/>
    <w:rsid w:val="00E13ECD"/>
    <w:rsid w:val="00E14E74"/>
    <w:rsid w:val="00E15B03"/>
    <w:rsid w:val="00E15D30"/>
    <w:rsid w:val="00E162BF"/>
    <w:rsid w:val="00E16426"/>
    <w:rsid w:val="00E16D12"/>
    <w:rsid w:val="00E16FEE"/>
    <w:rsid w:val="00E171E5"/>
    <w:rsid w:val="00E178EE"/>
    <w:rsid w:val="00E2000E"/>
    <w:rsid w:val="00E20240"/>
    <w:rsid w:val="00E209CF"/>
    <w:rsid w:val="00E20ACA"/>
    <w:rsid w:val="00E219C8"/>
    <w:rsid w:val="00E21AF7"/>
    <w:rsid w:val="00E21CE9"/>
    <w:rsid w:val="00E2330C"/>
    <w:rsid w:val="00E24FF7"/>
    <w:rsid w:val="00E261BF"/>
    <w:rsid w:val="00E26632"/>
    <w:rsid w:val="00E266BD"/>
    <w:rsid w:val="00E2722E"/>
    <w:rsid w:val="00E3034A"/>
    <w:rsid w:val="00E31476"/>
    <w:rsid w:val="00E318FC"/>
    <w:rsid w:val="00E33581"/>
    <w:rsid w:val="00E3450F"/>
    <w:rsid w:val="00E34825"/>
    <w:rsid w:val="00E35735"/>
    <w:rsid w:val="00E3639C"/>
    <w:rsid w:val="00E36843"/>
    <w:rsid w:val="00E37A80"/>
    <w:rsid w:val="00E40733"/>
    <w:rsid w:val="00E445AC"/>
    <w:rsid w:val="00E44F26"/>
    <w:rsid w:val="00E45607"/>
    <w:rsid w:val="00E45CD3"/>
    <w:rsid w:val="00E4763B"/>
    <w:rsid w:val="00E47C84"/>
    <w:rsid w:val="00E5107F"/>
    <w:rsid w:val="00E5196E"/>
    <w:rsid w:val="00E51A00"/>
    <w:rsid w:val="00E52029"/>
    <w:rsid w:val="00E5230C"/>
    <w:rsid w:val="00E52C7A"/>
    <w:rsid w:val="00E54AC6"/>
    <w:rsid w:val="00E6019A"/>
    <w:rsid w:val="00E601CF"/>
    <w:rsid w:val="00E6138E"/>
    <w:rsid w:val="00E61517"/>
    <w:rsid w:val="00E619F9"/>
    <w:rsid w:val="00E61D26"/>
    <w:rsid w:val="00E62319"/>
    <w:rsid w:val="00E6250D"/>
    <w:rsid w:val="00E630DA"/>
    <w:rsid w:val="00E6570E"/>
    <w:rsid w:val="00E657FA"/>
    <w:rsid w:val="00E65E66"/>
    <w:rsid w:val="00E67A64"/>
    <w:rsid w:val="00E70587"/>
    <w:rsid w:val="00E70ED2"/>
    <w:rsid w:val="00E7131E"/>
    <w:rsid w:val="00E75208"/>
    <w:rsid w:val="00E75C5C"/>
    <w:rsid w:val="00E75EF0"/>
    <w:rsid w:val="00E770B9"/>
    <w:rsid w:val="00E77B48"/>
    <w:rsid w:val="00E77BDD"/>
    <w:rsid w:val="00E801E4"/>
    <w:rsid w:val="00E81228"/>
    <w:rsid w:val="00E83465"/>
    <w:rsid w:val="00E8389F"/>
    <w:rsid w:val="00E8561A"/>
    <w:rsid w:val="00E8569C"/>
    <w:rsid w:val="00E85B26"/>
    <w:rsid w:val="00E8734A"/>
    <w:rsid w:val="00E87353"/>
    <w:rsid w:val="00E87856"/>
    <w:rsid w:val="00E87985"/>
    <w:rsid w:val="00E87A00"/>
    <w:rsid w:val="00E92997"/>
    <w:rsid w:val="00E94370"/>
    <w:rsid w:val="00E966D6"/>
    <w:rsid w:val="00E97C5F"/>
    <w:rsid w:val="00EA173D"/>
    <w:rsid w:val="00EA3BF6"/>
    <w:rsid w:val="00EA4504"/>
    <w:rsid w:val="00EA4C60"/>
    <w:rsid w:val="00EA5B63"/>
    <w:rsid w:val="00EA5C56"/>
    <w:rsid w:val="00EB024A"/>
    <w:rsid w:val="00EB0280"/>
    <w:rsid w:val="00EB02AE"/>
    <w:rsid w:val="00EB25C1"/>
    <w:rsid w:val="00EB3053"/>
    <w:rsid w:val="00EB4915"/>
    <w:rsid w:val="00EB496D"/>
    <w:rsid w:val="00EB5C2C"/>
    <w:rsid w:val="00EB5F28"/>
    <w:rsid w:val="00EB685F"/>
    <w:rsid w:val="00EC05FD"/>
    <w:rsid w:val="00EC0919"/>
    <w:rsid w:val="00EC117D"/>
    <w:rsid w:val="00EC2CB0"/>
    <w:rsid w:val="00EC350A"/>
    <w:rsid w:val="00EC3532"/>
    <w:rsid w:val="00EC397B"/>
    <w:rsid w:val="00EC4DD0"/>
    <w:rsid w:val="00EC6710"/>
    <w:rsid w:val="00EC675D"/>
    <w:rsid w:val="00EC75DF"/>
    <w:rsid w:val="00ED2360"/>
    <w:rsid w:val="00ED260F"/>
    <w:rsid w:val="00ED3A8E"/>
    <w:rsid w:val="00ED414F"/>
    <w:rsid w:val="00ED446F"/>
    <w:rsid w:val="00ED5C1C"/>
    <w:rsid w:val="00ED6A99"/>
    <w:rsid w:val="00ED6C2F"/>
    <w:rsid w:val="00ED75A8"/>
    <w:rsid w:val="00ED7760"/>
    <w:rsid w:val="00ED7E7C"/>
    <w:rsid w:val="00EE0728"/>
    <w:rsid w:val="00EE0B11"/>
    <w:rsid w:val="00EE0F17"/>
    <w:rsid w:val="00EE0FE1"/>
    <w:rsid w:val="00EE1B12"/>
    <w:rsid w:val="00EE7AE7"/>
    <w:rsid w:val="00EE7F0C"/>
    <w:rsid w:val="00EE7F7A"/>
    <w:rsid w:val="00EF0786"/>
    <w:rsid w:val="00EF17AE"/>
    <w:rsid w:val="00EF2861"/>
    <w:rsid w:val="00EF2A26"/>
    <w:rsid w:val="00EF4ABF"/>
    <w:rsid w:val="00EF56D6"/>
    <w:rsid w:val="00EF6310"/>
    <w:rsid w:val="00EF6D94"/>
    <w:rsid w:val="00EF6F25"/>
    <w:rsid w:val="00EF77BE"/>
    <w:rsid w:val="00F01E8A"/>
    <w:rsid w:val="00F0209F"/>
    <w:rsid w:val="00F02842"/>
    <w:rsid w:val="00F044D2"/>
    <w:rsid w:val="00F045B2"/>
    <w:rsid w:val="00F0495F"/>
    <w:rsid w:val="00F054A2"/>
    <w:rsid w:val="00F06637"/>
    <w:rsid w:val="00F1002A"/>
    <w:rsid w:val="00F103A6"/>
    <w:rsid w:val="00F110F9"/>
    <w:rsid w:val="00F11B5F"/>
    <w:rsid w:val="00F139AD"/>
    <w:rsid w:val="00F139F4"/>
    <w:rsid w:val="00F148F8"/>
    <w:rsid w:val="00F14C07"/>
    <w:rsid w:val="00F14C19"/>
    <w:rsid w:val="00F152D9"/>
    <w:rsid w:val="00F154EA"/>
    <w:rsid w:val="00F163D7"/>
    <w:rsid w:val="00F175DC"/>
    <w:rsid w:val="00F17B22"/>
    <w:rsid w:val="00F17EF1"/>
    <w:rsid w:val="00F219B0"/>
    <w:rsid w:val="00F25195"/>
    <w:rsid w:val="00F251D5"/>
    <w:rsid w:val="00F25944"/>
    <w:rsid w:val="00F266FA"/>
    <w:rsid w:val="00F26E30"/>
    <w:rsid w:val="00F26E89"/>
    <w:rsid w:val="00F30140"/>
    <w:rsid w:val="00F310BE"/>
    <w:rsid w:val="00F31608"/>
    <w:rsid w:val="00F3162F"/>
    <w:rsid w:val="00F336A3"/>
    <w:rsid w:val="00F33BCC"/>
    <w:rsid w:val="00F35799"/>
    <w:rsid w:val="00F35AA7"/>
    <w:rsid w:val="00F4004B"/>
    <w:rsid w:val="00F403F5"/>
    <w:rsid w:val="00F4645D"/>
    <w:rsid w:val="00F4726F"/>
    <w:rsid w:val="00F47555"/>
    <w:rsid w:val="00F5089B"/>
    <w:rsid w:val="00F51CF1"/>
    <w:rsid w:val="00F51ECD"/>
    <w:rsid w:val="00F53881"/>
    <w:rsid w:val="00F54920"/>
    <w:rsid w:val="00F5623F"/>
    <w:rsid w:val="00F5709D"/>
    <w:rsid w:val="00F571AE"/>
    <w:rsid w:val="00F601D7"/>
    <w:rsid w:val="00F603C4"/>
    <w:rsid w:val="00F61186"/>
    <w:rsid w:val="00F61B6D"/>
    <w:rsid w:val="00F628B0"/>
    <w:rsid w:val="00F63831"/>
    <w:rsid w:val="00F63BCC"/>
    <w:rsid w:val="00F64996"/>
    <w:rsid w:val="00F654AE"/>
    <w:rsid w:val="00F65601"/>
    <w:rsid w:val="00F657F3"/>
    <w:rsid w:val="00F65AEF"/>
    <w:rsid w:val="00F662EB"/>
    <w:rsid w:val="00F665F3"/>
    <w:rsid w:val="00F702BE"/>
    <w:rsid w:val="00F7037E"/>
    <w:rsid w:val="00F7161A"/>
    <w:rsid w:val="00F725BA"/>
    <w:rsid w:val="00F7302C"/>
    <w:rsid w:val="00F73C93"/>
    <w:rsid w:val="00F75214"/>
    <w:rsid w:val="00F75C34"/>
    <w:rsid w:val="00F770B7"/>
    <w:rsid w:val="00F776A2"/>
    <w:rsid w:val="00F77A09"/>
    <w:rsid w:val="00F8251D"/>
    <w:rsid w:val="00F83C77"/>
    <w:rsid w:val="00F83D3A"/>
    <w:rsid w:val="00F84247"/>
    <w:rsid w:val="00F85B68"/>
    <w:rsid w:val="00F85CFD"/>
    <w:rsid w:val="00F8664B"/>
    <w:rsid w:val="00F8676B"/>
    <w:rsid w:val="00F867FA"/>
    <w:rsid w:val="00F86B98"/>
    <w:rsid w:val="00F90683"/>
    <w:rsid w:val="00F90A7B"/>
    <w:rsid w:val="00F90B8A"/>
    <w:rsid w:val="00F92364"/>
    <w:rsid w:val="00F9358B"/>
    <w:rsid w:val="00F94B18"/>
    <w:rsid w:val="00F956BC"/>
    <w:rsid w:val="00F961F4"/>
    <w:rsid w:val="00F96F7C"/>
    <w:rsid w:val="00FA0394"/>
    <w:rsid w:val="00FA058A"/>
    <w:rsid w:val="00FA0ABC"/>
    <w:rsid w:val="00FA0E67"/>
    <w:rsid w:val="00FA170C"/>
    <w:rsid w:val="00FA2280"/>
    <w:rsid w:val="00FA2390"/>
    <w:rsid w:val="00FA3F5B"/>
    <w:rsid w:val="00FA469F"/>
    <w:rsid w:val="00FA4E69"/>
    <w:rsid w:val="00FA622F"/>
    <w:rsid w:val="00FA6BEE"/>
    <w:rsid w:val="00FA7589"/>
    <w:rsid w:val="00FA7FCD"/>
    <w:rsid w:val="00FB0620"/>
    <w:rsid w:val="00FB0754"/>
    <w:rsid w:val="00FB08DB"/>
    <w:rsid w:val="00FB17B8"/>
    <w:rsid w:val="00FB2329"/>
    <w:rsid w:val="00FB29EE"/>
    <w:rsid w:val="00FB2C8F"/>
    <w:rsid w:val="00FB2CE8"/>
    <w:rsid w:val="00FB3159"/>
    <w:rsid w:val="00FB35BE"/>
    <w:rsid w:val="00FB3742"/>
    <w:rsid w:val="00FB4C86"/>
    <w:rsid w:val="00FB52AB"/>
    <w:rsid w:val="00FB5816"/>
    <w:rsid w:val="00FB5EEA"/>
    <w:rsid w:val="00FB6D44"/>
    <w:rsid w:val="00FC0C93"/>
    <w:rsid w:val="00FC1175"/>
    <w:rsid w:val="00FC1465"/>
    <w:rsid w:val="00FC17A1"/>
    <w:rsid w:val="00FC1815"/>
    <w:rsid w:val="00FC21F9"/>
    <w:rsid w:val="00FC3D49"/>
    <w:rsid w:val="00FC488F"/>
    <w:rsid w:val="00FC4E31"/>
    <w:rsid w:val="00FC5B8B"/>
    <w:rsid w:val="00FC6350"/>
    <w:rsid w:val="00FC695A"/>
    <w:rsid w:val="00FC7C7F"/>
    <w:rsid w:val="00FD0005"/>
    <w:rsid w:val="00FD0573"/>
    <w:rsid w:val="00FD05FA"/>
    <w:rsid w:val="00FD2B72"/>
    <w:rsid w:val="00FD2D4C"/>
    <w:rsid w:val="00FD427D"/>
    <w:rsid w:val="00FD4699"/>
    <w:rsid w:val="00FD4FB1"/>
    <w:rsid w:val="00FD5710"/>
    <w:rsid w:val="00FD57C2"/>
    <w:rsid w:val="00FD5BBB"/>
    <w:rsid w:val="00FD6E43"/>
    <w:rsid w:val="00FD73A7"/>
    <w:rsid w:val="00FD7D98"/>
    <w:rsid w:val="00FD7DED"/>
    <w:rsid w:val="00FD7F55"/>
    <w:rsid w:val="00FE0040"/>
    <w:rsid w:val="00FE083F"/>
    <w:rsid w:val="00FE34F3"/>
    <w:rsid w:val="00FE3C47"/>
    <w:rsid w:val="00FE5A9B"/>
    <w:rsid w:val="00FE6487"/>
    <w:rsid w:val="00FE7A13"/>
    <w:rsid w:val="00FE7A6A"/>
    <w:rsid w:val="00FF02F2"/>
    <w:rsid w:val="00FF0B2A"/>
    <w:rsid w:val="00FF143E"/>
    <w:rsid w:val="00FF1E73"/>
    <w:rsid w:val="00FF35CB"/>
    <w:rsid w:val="00FF55C9"/>
    <w:rsid w:val="00FF7718"/>
    <w:rsid w:val="00FF7792"/>
    <w:rsid w:val="00FF78B3"/>
    <w:rsid w:val="00FF79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AC6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77A3"/>
    <w:rPr>
      <w:sz w:val="24"/>
      <w:szCs w:val="24"/>
    </w:rPr>
  </w:style>
  <w:style w:type="paragraph" w:styleId="Titolo1">
    <w:name w:val="heading 1"/>
    <w:basedOn w:val="Normale"/>
    <w:next w:val="Normale"/>
    <w:link w:val="Titolo1Carattere"/>
    <w:uiPriority w:val="9"/>
    <w:qFormat/>
    <w:rsid w:val="007F08C0"/>
    <w:pPr>
      <w:keepNext/>
      <w:widowControl w:val="0"/>
      <w:overflowPunct w:val="0"/>
      <w:autoSpaceDE w:val="0"/>
      <w:autoSpaceDN w:val="0"/>
      <w:adjustRightInd w:val="0"/>
      <w:spacing w:line="220" w:lineRule="exact"/>
      <w:ind w:left="1700" w:right="1"/>
      <w:jc w:val="both"/>
      <w:textAlignment w:val="baseline"/>
      <w:outlineLvl w:val="0"/>
    </w:pPr>
    <w:rPr>
      <w:rFonts w:ascii="Cambria" w:hAnsi="Cambria"/>
      <w:b/>
      <w:bCs/>
      <w:kern w:val="32"/>
      <w:sz w:val="32"/>
      <w:szCs w:val="32"/>
      <w:lang w:eastAsia="x-none"/>
    </w:rPr>
  </w:style>
  <w:style w:type="paragraph" w:styleId="Titolo2">
    <w:name w:val="heading 2"/>
    <w:basedOn w:val="Normale"/>
    <w:next w:val="Normale"/>
    <w:link w:val="Titolo2Carattere"/>
    <w:uiPriority w:val="9"/>
    <w:qFormat/>
    <w:rsid w:val="007F08C0"/>
    <w:pPr>
      <w:keepNext/>
      <w:widowControl w:val="0"/>
      <w:overflowPunct w:val="0"/>
      <w:autoSpaceDE w:val="0"/>
      <w:autoSpaceDN w:val="0"/>
      <w:adjustRightInd w:val="0"/>
      <w:spacing w:line="220" w:lineRule="exact"/>
      <w:ind w:left="1700" w:right="1"/>
      <w:jc w:val="both"/>
      <w:textAlignment w:val="baseline"/>
      <w:outlineLvl w:val="1"/>
    </w:pPr>
    <w:rPr>
      <w:rFonts w:ascii="Cambria" w:hAnsi="Cambria"/>
      <w:b/>
      <w:bCs/>
      <w:i/>
      <w:iCs/>
      <w:sz w:val="28"/>
      <w:szCs w:val="28"/>
      <w:lang w:eastAsia="x-none"/>
    </w:rPr>
  </w:style>
  <w:style w:type="paragraph" w:styleId="Titolo3">
    <w:name w:val="heading 3"/>
    <w:basedOn w:val="Normale"/>
    <w:next w:val="Normale"/>
    <w:link w:val="Titolo3Carattere"/>
    <w:uiPriority w:val="9"/>
    <w:qFormat/>
    <w:rsid w:val="007F08C0"/>
    <w:pPr>
      <w:keepNext/>
      <w:widowControl w:val="0"/>
      <w:overflowPunct w:val="0"/>
      <w:autoSpaceDE w:val="0"/>
      <w:autoSpaceDN w:val="0"/>
      <w:adjustRightInd w:val="0"/>
      <w:spacing w:line="220" w:lineRule="exact"/>
      <w:ind w:left="1700" w:right="1"/>
      <w:jc w:val="both"/>
      <w:textAlignment w:val="baseline"/>
      <w:outlineLvl w:val="2"/>
    </w:pPr>
    <w:rPr>
      <w:rFonts w:ascii="Cambria" w:hAnsi="Cambria"/>
      <w:b/>
      <w:bCs/>
      <w:sz w:val="26"/>
      <w:szCs w:val="26"/>
      <w:lang w:eastAsia="x-none"/>
    </w:rPr>
  </w:style>
  <w:style w:type="paragraph" w:styleId="Titolo4">
    <w:name w:val="heading 4"/>
    <w:basedOn w:val="Normale"/>
    <w:next w:val="Normale"/>
    <w:link w:val="Titolo4Carattere"/>
    <w:qFormat/>
    <w:rsid w:val="007F08C0"/>
    <w:pPr>
      <w:keepNext/>
      <w:widowControl w:val="0"/>
      <w:overflowPunct w:val="0"/>
      <w:autoSpaceDE w:val="0"/>
      <w:autoSpaceDN w:val="0"/>
      <w:adjustRightInd w:val="0"/>
      <w:spacing w:line="220" w:lineRule="exact"/>
      <w:ind w:right="1"/>
      <w:jc w:val="both"/>
      <w:textAlignment w:val="baseline"/>
      <w:outlineLvl w:val="3"/>
    </w:pPr>
    <w:rPr>
      <w:rFonts w:ascii="Calibri" w:hAnsi="Calibri"/>
      <w:b/>
      <w:bCs/>
      <w:sz w:val="28"/>
      <w:szCs w:val="28"/>
      <w:lang w:eastAsia="x-none"/>
    </w:rPr>
  </w:style>
  <w:style w:type="paragraph" w:styleId="Titolo5">
    <w:name w:val="heading 5"/>
    <w:basedOn w:val="Normale"/>
    <w:next w:val="Normale"/>
    <w:link w:val="Titolo5Carattere"/>
    <w:uiPriority w:val="9"/>
    <w:qFormat/>
    <w:rsid w:val="007F08C0"/>
    <w:pPr>
      <w:keepNext/>
      <w:widowControl w:val="0"/>
      <w:overflowPunct w:val="0"/>
      <w:autoSpaceDE w:val="0"/>
      <w:autoSpaceDN w:val="0"/>
      <w:adjustRightInd w:val="0"/>
      <w:spacing w:line="220" w:lineRule="exact"/>
      <w:jc w:val="center"/>
      <w:textAlignment w:val="baseline"/>
      <w:outlineLvl w:val="4"/>
    </w:pPr>
    <w:rPr>
      <w:rFonts w:ascii="Calibri" w:hAnsi="Calibri"/>
      <w:b/>
      <w:bCs/>
      <w:i/>
      <w:iCs/>
      <w:sz w:val="26"/>
      <w:szCs w:val="26"/>
      <w:lang w:eastAsia="x-none"/>
    </w:rPr>
  </w:style>
  <w:style w:type="paragraph" w:styleId="Titolo6">
    <w:name w:val="heading 6"/>
    <w:basedOn w:val="Normale"/>
    <w:next w:val="Normale"/>
    <w:link w:val="Titolo6Carattere"/>
    <w:uiPriority w:val="9"/>
    <w:qFormat/>
    <w:rsid w:val="007F08C0"/>
    <w:pPr>
      <w:keepNext/>
      <w:widowControl w:val="0"/>
      <w:overflowPunct w:val="0"/>
      <w:autoSpaceDE w:val="0"/>
      <w:autoSpaceDN w:val="0"/>
      <w:adjustRightInd w:val="0"/>
      <w:spacing w:line="220" w:lineRule="exact"/>
      <w:textAlignment w:val="baseline"/>
      <w:outlineLvl w:val="5"/>
    </w:pPr>
    <w:rPr>
      <w:rFonts w:ascii="Calibri" w:hAnsi="Calibri"/>
      <w:b/>
      <w:bCs/>
      <w:sz w:val="20"/>
      <w:szCs w:val="20"/>
      <w:lang w:eastAsia="x-none"/>
    </w:rPr>
  </w:style>
  <w:style w:type="paragraph" w:styleId="Titolo7">
    <w:name w:val="heading 7"/>
    <w:basedOn w:val="Normale"/>
    <w:next w:val="Normale"/>
    <w:link w:val="Titolo7Carattere"/>
    <w:uiPriority w:val="9"/>
    <w:qFormat/>
    <w:rsid w:val="007F08C0"/>
    <w:pPr>
      <w:keepNext/>
      <w:widowControl w:val="0"/>
      <w:overflowPunct w:val="0"/>
      <w:autoSpaceDE w:val="0"/>
      <w:autoSpaceDN w:val="0"/>
      <w:adjustRightInd w:val="0"/>
      <w:spacing w:line="220" w:lineRule="exact"/>
      <w:ind w:right="1"/>
      <w:jc w:val="both"/>
      <w:textAlignment w:val="baseline"/>
      <w:outlineLvl w:val="6"/>
    </w:pPr>
    <w:rPr>
      <w:rFonts w:ascii="Calibri" w:hAnsi="Calibri"/>
      <w:lang w:eastAsia="x-none"/>
    </w:rPr>
  </w:style>
  <w:style w:type="paragraph" w:styleId="Titolo8">
    <w:name w:val="heading 8"/>
    <w:basedOn w:val="Normale"/>
    <w:next w:val="Normale"/>
    <w:link w:val="Titolo8Carattere"/>
    <w:uiPriority w:val="9"/>
    <w:qFormat/>
    <w:rsid w:val="007F08C0"/>
    <w:pPr>
      <w:keepNext/>
      <w:overflowPunct w:val="0"/>
      <w:autoSpaceDE w:val="0"/>
      <w:autoSpaceDN w:val="0"/>
      <w:adjustRightInd w:val="0"/>
      <w:spacing w:line="220" w:lineRule="exact"/>
      <w:textAlignment w:val="baseline"/>
      <w:outlineLvl w:val="7"/>
    </w:pPr>
    <w:rPr>
      <w:rFonts w:ascii="Calibri" w:hAnsi="Calibri"/>
      <w:i/>
      <w:iCs/>
      <w:lang w:eastAsia="x-none"/>
    </w:rPr>
  </w:style>
  <w:style w:type="paragraph" w:styleId="Titolo9">
    <w:name w:val="heading 9"/>
    <w:basedOn w:val="Normale"/>
    <w:next w:val="Normale"/>
    <w:link w:val="Titolo9Carattere"/>
    <w:uiPriority w:val="9"/>
    <w:qFormat/>
    <w:rsid w:val="007F08C0"/>
    <w:pPr>
      <w:keepNext/>
      <w:widowControl w:val="0"/>
      <w:overflowPunct w:val="0"/>
      <w:autoSpaceDE w:val="0"/>
      <w:autoSpaceDN w:val="0"/>
      <w:adjustRightInd w:val="0"/>
      <w:spacing w:line="220" w:lineRule="exact"/>
      <w:ind w:left="1700" w:right="1"/>
      <w:jc w:val="center"/>
      <w:textAlignment w:val="baseline"/>
      <w:outlineLvl w:val="8"/>
    </w:pPr>
    <w:rPr>
      <w:rFonts w:ascii="Cambria" w:hAnsi="Cambria"/>
      <w:sz w:val="20"/>
      <w:szCs w:val="20"/>
      <w:lang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7F08C0"/>
    <w:rPr>
      <w:rFonts w:ascii="Cambria" w:eastAsia="Times New Roman" w:hAnsi="Cambria"/>
      <w:b/>
      <w:bCs/>
      <w:kern w:val="32"/>
      <w:sz w:val="32"/>
      <w:szCs w:val="32"/>
    </w:rPr>
  </w:style>
  <w:style w:type="character" w:customStyle="1" w:styleId="Titolo2Carattere">
    <w:name w:val="Titolo 2 Carattere"/>
    <w:link w:val="Titolo2"/>
    <w:uiPriority w:val="9"/>
    <w:rsid w:val="007F08C0"/>
    <w:rPr>
      <w:rFonts w:ascii="Cambria" w:eastAsia="Times New Roman" w:hAnsi="Cambria"/>
      <w:b/>
      <w:bCs/>
      <w:i/>
      <w:iCs/>
      <w:sz w:val="28"/>
      <w:szCs w:val="28"/>
    </w:rPr>
  </w:style>
  <w:style w:type="character" w:customStyle="1" w:styleId="Titolo3Carattere">
    <w:name w:val="Titolo 3 Carattere"/>
    <w:link w:val="Titolo3"/>
    <w:uiPriority w:val="9"/>
    <w:rsid w:val="007F08C0"/>
    <w:rPr>
      <w:rFonts w:ascii="Cambria" w:eastAsia="Times New Roman" w:hAnsi="Cambria"/>
      <w:b/>
      <w:bCs/>
      <w:sz w:val="26"/>
      <w:szCs w:val="26"/>
    </w:rPr>
  </w:style>
  <w:style w:type="character" w:customStyle="1" w:styleId="Titolo4Carattere">
    <w:name w:val="Titolo 4 Carattere"/>
    <w:link w:val="Titolo4"/>
    <w:rsid w:val="007F08C0"/>
    <w:rPr>
      <w:rFonts w:ascii="Calibri" w:eastAsia="Times New Roman" w:hAnsi="Calibri"/>
      <w:b/>
      <w:bCs/>
      <w:sz w:val="28"/>
      <w:szCs w:val="28"/>
    </w:rPr>
  </w:style>
  <w:style w:type="character" w:customStyle="1" w:styleId="Titolo5Carattere">
    <w:name w:val="Titolo 5 Carattere"/>
    <w:link w:val="Titolo5"/>
    <w:uiPriority w:val="9"/>
    <w:rsid w:val="007F08C0"/>
    <w:rPr>
      <w:rFonts w:ascii="Calibri" w:eastAsia="Times New Roman" w:hAnsi="Calibri"/>
      <w:b/>
      <w:bCs/>
      <w:i/>
      <w:iCs/>
      <w:sz w:val="26"/>
      <w:szCs w:val="26"/>
    </w:rPr>
  </w:style>
  <w:style w:type="character" w:customStyle="1" w:styleId="Titolo6Carattere">
    <w:name w:val="Titolo 6 Carattere"/>
    <w:link w:val="Titolo6"/>
    <w:uiPriority w:val="9"/>
    <w:rsid w:val="007F08C0"/>
    <w:rPr>
      <w:rFonts w:ascii="Calibri" w:eastAsia="Times New Roman" w:hAnsi="Calibri"/>
      <w:b/>
      <w:bCs/>
    </w:rPr>
  </w:style>
  <w:style w:type="character" w:customStyle="1" w:styleId="Titolo7Carattere">
    <w:name w:val="Titolo 7 Carattere"/>
    <w:link w:val="Titolo7"/>
    <w:uiPriority w:val="9"/>
    <w:rsid w:val="007F08C0"/>
    <w:rPr>
      <w:rFonts w:ascii="Calibri" w:eastAsia="Times New Roman" w:hAnsi="Calibri"/>
      <w:sz w:val="24"/>
      <w:szCs w:val="24"/>
    </w:rPr>
  </w:style>
  <w:style w:type="character" w:customStyle="1" w:styleId="Titolo8Carattere">
    <w:name w:val="Titolo 8 Carattere"/>
    <w:link w:val="Titolo8"/>
    <w:uiPriority w:val="9"/>
    <w:rsid w:val="007F08C0"/>
    <w:rPr>
      <w:rFonts w:ascii="Calibri" w:eastAsia="Times New Roman" w:hAnsi="Calibri"/>
      <w:i/>
      <w:iCs/>
      <w:sz w:val="24"/>
      <w:szCs w:val="24"/>
    </w:rPr>
  </w:style>
  <w:style w:type="character" w:customStyle="1" w:styleId="Titolo9Carattere">
    <w:name w:val="Titolo 9 Carattere"/>
    <w:link w:val="Titolo9"/>
    <w:uiPriority w:val="9"/>
    <w:rsid w:val="007F08C0"/>
    <w:rPr>
      <w:rFonts w:ascii="Cambria" w:eastAsia="Times New Roman" w:hAnsi="Cambria"/>
    </w:rPr>
  </w:style>
  <w:style w:type="paragraph" w:styleId="Didascalia">
    <w:name w:val="caption"/>
    <w:basedOn w:val="Normale"/>
    <w:next w:val="Normale"/>
    <w:uiPriority w:val="99"/>
    <w:qFormat/>
    <w:rsid w:val="007F08C0"/>
    <w:pPr>
      <w:widowControl w:val="0"/>
      <w:overflowPunct w:val="0"/>
      <w:autoSpaceDE w:val="0"/>
      <w:autoSpaceDN w:val="0"/>
      <w:adjustRightInd w:val="0"/>
      <w:spacing w:line="220" w:lineRule="exact"/>
      <w:ind w:left="1700" w:right="1"/>
      <w:jc w:val="both"/>
      <w:textAlignment w:val="baseline"/>
    </w:pPr>
    <w:rPr>
      <w:rFonts w:ascii="EYInterstate Light" w:hAnsi="EYInterstate Light"/>
      <w:i/>
      <w:iCs/>
      <w:color w:val="000000"/>
      <w:lang w:eastAsia="en-US"/>
    </w:rPr>
  </w:style>
  <w:style w:type="paragraph" w:styleId="Paragrafoelenco">
    <w:name w:val="List Paragraph"/>
    <w:basedOn w:val="Normale"/>
    <w:uiPriority w:val="34"/>
    <w:qFormat/>
    <w:rsid w:val="007F08C0"/>
    <w:pPr>
      <w:overflowPunct w:val="0"/>
      <w:autoSpaceDE w:val="0"/>
      <w:autoSpaceDN w:val="0"/>
      <w:adjustRightInd w:val="0"/>
      <w:spacing w:line="220" w:lineRule="exact"/>
      <w:ind w:left="720"/>
      <w:contextualSpacing/>
      <w:textAlignment w:val="baseline"/>
    </w:pPr>
    <w:rPr>
      <w:rFonts w:ascii="EYInterstate Light" w:hAnsi="EYInterstate Light"/>
      <w:sz w:val="18"/>
      <w:szCs w:val="20"/>
      <w:lang w:eastAsia="en-US"/>
    </w:rPr>
  </w:style>
  <w:style w:type="paragraph" w:styleId="Intestazione">
    <w:name w:val="header"/>
    <w:basedOn w:val="Normale"/>
    <w:link w:val="IntestazioneCarattere"/>
    <w:uiPriority w:val="99"/>
    <w:unhideWhenUsed/>
    <w:rsid w:val="00B0576C"/>
    <w:pPr>
      <w:tabs>
        <w:tab w:val="center" w:pos="4819"/>
        <w:tab w:val="right" w:pos="9638"/>
      </w:tabs>
      <w:overflowPunct w:val="0"/>
      <w:autoSpaceDE w:val="0"/>
      <w:autoSpaceDN w:val="0"/>
      <w:adjustRightInd w:val="0"/>
      <w:spacing w:line="220" w:lineRule="exact"/>
      <w:textAlignment w:val="baseline"/>
    </w:pPr>
    <w:rPr>
      <w:sz w:val="20"/>
      <w:szCs w:val="20"/>
      <w:lang w:eastAsia="x-none"/>
    </w:rPr>
  </w:style>
  <w:style w:type="character" w:customStyle="1" w:styleId="IntestazioneCarattere">
    <w:name w:val="Intestazione Carattere"/>
    <w:link w:val="Intestazione"/>
    <w:uiPriority w:val="99"/>
    <w:rsid w:val="00B0576C"/>
    <w:rPr>
      <w:sz w:val="20"/>
      <w:szCs w:val="20"/>
    </w:rPr>
  </w:style>
  <w:style w:type="paragraph" w:styleId="Pidipagina">
    <w:name w:val="footer"/>
    <w:basedOn w:val="Normale"/>
    <w:link w:val="PidipaginaCarattere"/>
    <w:uiPriority w:val="99"/>
    <w:unhideWhenUsed/>
    <w:rsid w:val="00B0576C"/>
    <w:pPr>
      <w:tabs>
        <w:tab w:val="center" w:pos="4819"/>
        <w:tab w:val="right" w:pos="9638"/>
      </w:tabs>
      <w:overflowPunct w:val="0"/>
      <w:autoSpaceDE w:val="0"/>
      <w:autoSpaceDN w:val="0"/>
      <w:adjustRightInd w:val="0"/>
      <w:spacing w:line="220" w:lineRule="exact"/>
      <w:textAlignment w:val="baseline"/>
    </w:pPr>
    <w:rPr>
      <w:sz w:val="20"/>
      <w:szCs w:val="20"/>
      <w:lang w:eastAsia="x-none"/>
    </w:rPr>
  </w:style>
  <w:style w:type="character" w:customStyle="1" w:styleId="PidipaginaCarattere">
    <w:name w:val="Piè di pagina Carattere"/>
    <w:link w:val="Pidipagina"/>
    <w:uiPriority w:val="99"/>
    <w:rsid w:val="00B0576C"/>
    <w:rPr>
      <w:sz w:val="20"/>
      <w:szCs w:val="20"/>
    </w:rPr>
  </w:style>
  <w:style w:type="paragraph" w:customStyle="1" w:styleId="Notesbodytext">
    <w:name w:val="Notes body text"/>
    <w:basedOn w:val="Normale"/>
    <w:link w:val="NotesbodytextChar"/>
    <w:rsid w:val="00A62F0C"/>
    <w:pPr>
      <w:overflowPunct w:val="0"/>
      <w:autoSpaceDE w:val="0"/>
      <w:autoSpaceDN w:val="0"/>
      <w:adjustRightInd w:val="0"/>
      <w:spacing w:after="120" w:line="240" w:lineRule="exact"/>
      <w:textAlignment w:val="baseline"/>
    </w:pPr>
    <w:rPr>
      <w:rFonts w:ascii="EYInterstate Light" w:hAnsi="EYInterstate Light"/>
      <w:color w:val="000000"/>
      <w:sz w:val="18"/>
      <w:szCs w:val="20"/>
      <w:lang w:eastAsia="x-none"/>
    </w:rPr>
  </w:style>
  <w:style w:type="character" w:customStyle="1" w:styleId="NotesbodytextChar">
    <w:name w:val="Notes body text Char"/>
    <w:link w:val="Notesbodytext"/>
    <w:rsid w:val="00A62F0C"/>
    <w:rPr>
      <w:rFonts w:ascii="EYInterstate Light" w:hAnsi="EYInterstate Light" w:cs="Arial"/>
      <w:color w:val="000000"/>
      <w:sz w:val="18"/>
      <w:szCs w:val="20"/>
      <w:lang w:val="fr-FR"/>
    </w:rPr>
  </w:style>
  <w:style w:type="table" w:styleId="Grigliatabella">
    <w:name w:val="Table Grid"/>
    <w:basedOn w:val="Tabellanormale"/>
    <w:uiPriority w:val="59"/>
    <w:rsid w:val="00FF0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566F0"/>
    <w:pPr>
      <w:overflowPunct w:val="0"/>
      <w:autoSpaceDE w:val="0"/>
      <w:autoSpaceDN w:val="0"/>
      <w:adjustRightInd w:val="0"/>
      <w:textAlignment w:val="baseline"/>
    </w:pPr>
    <w:rPr>
      <w:rFonts w:ascii="Tahoma" w:hAnsi="Tahoma"/>
      <w:sz w:val="16"/>
      <w:szCs w:val="16"/>
      <w:lang w:eastAsia="x-none"/>
    </w:rPr>
  </w:style>
  <w:style w:type="character" w:customStyle="1" w:styleId="TestofumettoCarattere">
    <w:name w:val="Testo fumetto Carattere"/>
    <w:link w:val="Testofumetto"/>
    <w:uiPriority w:val="99"/>
    <w:semiHidden/>
    <w:rsid w:val="003566F0"/>
    <w:rPr>
      <w:rFonts w:ascii="Tahoma" w:hAnsi="Tahoma" w:cs="Tahoma"/>
      <w:sz w:val="16"/>
      <w:szCs w:val="16"/>
      <w:lang w:val="fr-FR"/>
    </w:rPr>
  </w:style>
  <w:style w:type="paragraph" w:styleId="Nessunaspaziatura">
    <w:name w:val="No Spacing"/>
    <w:link w:val="NessunaspaziaturaCarattere"/>
    <w:uiPriority w:val="1"/>
    <w:qFormat/>
    <w:rsid w:val="00244717"/>
    <w:rPr>
      <w:rFonts w:ascii="Calibri" w:hAnsi="Calibri"/>
      <w:lang w:eastAsia="ja-JP"/>
    </w:rPr>
  </w:style>
  <w:style w:type="character" w:customStyle="1" w:styleId="NessunaspaziaturaCarattere">
    <w:name w:val="Nessuna spaziatura Carattere"/>
    <w:link w:val="Nessunaspaziatura"/>
    <w:uiPriority w:val="1"/>
    <w:rsid w:val="00244717"/>
    <w:rPr>
      <w:rFonts w:ascii="Calibri" w:hAnsi="Calibri"/>
      <w:lang w:val="fr-FR" w:eastAsia="ja-JP" w:bidi="ar-SA"/>
    </w:rPr>
  </w:style>
  <w:style w:type="paragraph" w:styleId="Citazione">
    <w:name w:val="Quote"/>
    <w:basedOn w:val="Normale"/>
    <w:next w:val="Normale"/>
    <w:link w:val="CitazioneCarattere"/>
    <w:uiPriority w:val="29"/>
    <w:qFormat/>
    <w:rsid w:val="002854E4"/>
    <w:pPr>
      <w:spacing w:after="200" w:line="276" w:lineRule="auto"/>
    </w:pPr>
    <w:rPr>
      <w:rFonts w:ascii="Calibri" w:hAnsi="Calibri"/>
      <w:i/>
      <w:iCs/>
      <w:color w:val="000000"/>
      <w:sz w:val="20"/>
      <w:szCs w:val="20"/>
      <w:lang w:eastAsia="ja-JP"/>
    </w:rPr>
  </w:style>
  <w:style w:type="character" w:customStyle="1" w:styleId="CitazioneCarattere">
    <w:name w:val="Citazione Carattere"/>
    <w:link w:val="Citazione"/>
    <w:uiPriority w:val="29"/>
    <w:rsid w:val="002854E4"/>
    <w:rPr>
      <w:rFonts w:ascii="Calibri" w:eastAsia="Times New Roman" w:hAnsi="Calibri" w:cs="Times New Roman"/>
      <w:i/>
      <w:iCs/>
      <w:color w:val="000000"/>
      <w:lang w:val="fr-FR" w:eastAsia="ja-JP"/>
    </w:rPr>
  </w:style>
  <w:style w:type="character" w:styleId="Rimandocommento">
    <w:name w:val="annotation reference"/>
    <w:uiPriority w:val="99"/>
    <w:semiHidden/>
    <w:unhideWhenUsed/>
    <w:rsid w:val="001C6904"/>
    <w:rPr>
      <w:sz w:val="16"/>
      <w:szCs w:val="16"/>
    </w:rPr>
  </w:style>
  <w:style w:type="paragraph" w:styleId="Testocommento">
    <w:name w:val="annotation text"/>
    <w:basedOn w:val="Normale"/>
    <w:link w:val="TestocommentoCarattere"/>
    <w:uiPriority w:val="99"/>
    <w:unhideWhenUsed/>
    <w:rsid w:val="001C6904"/>
    <w:pPr>
      <w:overflowPunct w:val="0"/>
      <w:autoSpaceDE w:val="0"/>
      <w:autoSpaceDN w:val="0"/>
      <w:adjustRightInd w:val="0"/>
      <w:textAlignment w:val="baseline"/>
    </w:pPr>
    <w:rPr>
      <w:rFonts w:ascii="EYInterstate Light" w:hAnsi="EYInterstate Light"/>
      <w:sz w:val="20"/>
      <w:szCs w:val="20"/>
      <w:lang w:eastAsia="x-none"/>
    </w:rPr>
  </w:style>
  <w:style w:type="character" w:customStyle="1" w:styleId="TestocommentoCarattere">
    <w:name w:val="Testo commento Carattere"/>
    <w:link w:val="Testocommento"/>
    <w:uiPriority w:val="99"/>
    <w:rsid w:val="001C6904"/>
    <w:rPr>
      <w:rFonts w:ascii="EYInterstate Light" w:hAnsi="EYInterstate Light"/>
      <w:sz w:val="20"/>
      <w:szCs w:val="20"/>
      <w:lang w:val="fr-FR"/>
    </w:rPr>
  </w:style>
  <w:style w:type="paragraph" w:styleId="Soggettocommento">
    <w:name w:val="annotation subject"/>
    <w:basedOn w:val="Testocommento"/>
    <w:next w:val="Testocommento"/>
    <w:link w:val="SoggettocommentoCarattere"/>
    <w:uiPriority w:val="99"/>
    <w:semiHidden/>
    <w:unhideWhenUsed/>
    <w:rsid w:val="001C6904"/>
    <w:rPr>
      <w:b/>
      <w:bCs/>
    </w:rPr>
  </w:style>
  <w:style w:type="character" w:customStyle="1" w:styleId="SoggettocommentoCarattere">
    <w:name w:val="Soggetto commento Carattere"/>
    <w:link w:val="Soggettocommento"/>
    <w:uiPriority w:val="99"/>
    <w:semiHidden/>
    <w:rsid w:val="001C6904"/>
    <w:rPr>
      <w:rFonts w:ascii="EYInterstate Light" w:hAnsi="EYInterstate Light"/>
      <w:b/>
      <w:bCs/>
      <w:sz w:val="20"/>
      <w:szCs w:val="20"/>
      <w:lang w:val="fr-FR"/>
    </w:rPr>
  </w:style>
  <w:style w:type="paragraph" w:styleId="Testonotadichiusura">
    <w:name w:val="endnote text"/>
    <w:basedOn w:val="Normale"/>
    <w:link w:val="TestonotadichiusuraCarattere"/>
    <w:uiPriority w:val="99"/>
    <w:semiHidden/>
    <w:unhideWhenUsed/>
    <w:rsid w:val="00F770B7"/>
    <w:pPr>
      <w:overflowPunct w:val="0"/>
      <w:autoSpaceDE w:val="0"/>
      <w:autoSpaceDN w:val="0"/>
      <w:adjustRightInd w:val="0"/>
      <w:textAlignment w:val="baseline"/>
    </w:pPr>
    <w:rPr>
      <w:rFonts w:ascii="EYInterstate Light" w:hAnsi="EYInterstate Light"/>
      <w:sz w:val="20"/>
      <w:szCs w:val="20"/>
      <w:lang w:eastAsia="x-none"/>
    </w:rPr>
  </w:style>
  <w:style w:type="character" w:customStyle="1" w:styleId="TestonotadichiusuraCarattere">
    <w:name w:val="Testo nota di chiusura Carattere"/>
    <w:link w:val="Testonotadichiusura"/>
    <w:uiPriority w:val="99"/>
    <w:semiHidden/>
    <w:rsid w:val="00F770B7"/>
    <w:rPr>
      <w:rFonts w:ascii="EYInterstate Light" w:hAnsi="EYInterstate Light"/>
      <w:sz w:val="20"/>
      <w:szCs w:val="20"/>
      <w:lang w:val="fr-FR"/>
    </w:rPr>
  </w:style>
  <w:style w:type="character" w:styleId="Rimandonotadichiusura">
    <w:name w:val="endnote reference"/>
    <w:uiPriority w:val="99"/>
    <w:semiHidden/>
    <w:unhideWhenUsed/>
    <w:rsid w:val="00F770B7"/>
    <w:rPr>
      <w:vertAlign w:val="superscript"/>
    </w:rPr>
  </w:style>
  <w:style w:type="paragraph" w:styleId="Titolosommario">
    <w:name w:val="TOC Heading"/>
    <w:basedOn w:val="Titolo1"/>
    <w:next w:val="Normale"/>
    <w:uiPriority w:val="39"/>
    <w:unhideWhenUsed/>
    <w:qFormat/>
    <w:rsid w:val="00F770B7"/>
    <w:pPr>
      <w:keepLines/>
      <w:widowControl/>
      <w:overflowPunct/>
      <w:autoSpaceDE/>
      <w:autoSpaceDN/>
      <w:adjustRightInd/>
      <w:spacing w:before="480" w:line="276" w:lineRule="auto"/>
      <w:ind w:left="0" w:right="0"/>
      <w:jc w:val="left"/>
      <w:textAlignment w:val="auto"/>
      <w:outlineLvl w:val="9"/>
    </w:pPr>
    <w:rPr>
      <w:color w:val="365F91"/>
      <w:kern w:val="0"/>
      <w:sz w:val="28"/>
      <w:szCs w:val="28"/>
      <w:lang w:eastAsia="ja-JP"/>
    </w:rPr>
  </w:style>
  <w:style w:type="paragraph" w:styleId="Sommario2">
    <w:name w:val="toc 2"/>
    <w:basedOn w:val="Normale"/>
    <w:next w:val="Normale"/>
    <w:autoRedefine/>
    <w:uiPriority w:val="39"/>
    <w:unhideWhenUsed/>
    <w:rsid w:val="002241BE"/>
    <w:pPr>
      <w:tabs>
        <w:tab w:val="left" w:pos="660"/>
        <w:tab w:val="right" w:leader="dot" w:pos="9628"/>
      </w:tabs>
      <w:overflowPunct w:val="0"/>
      <w:autoSpaceDE w:val="0"/>
      <w:autoSpaceDN w:val="0"/>
      <w:adjustRightInd w:val="0"/>
      <w:spacing w:after="100" w:line="220" w:lineRule="exact"/>
      <w:ind w:left="180"/>
      <w:textAlignment w:val="baseline"/>
    </w:pPr>
    <w:rPr>
      <w:rFonts w:ascii="EYInterstate Light" w:hAnsi="EYInterstate Light"/>
      <w:sz w:val="18"/>
      <w:szCs w:val="20"/>
      <w:lang w:eastAsia="en-US"/>
    </w:rPr>
  </w:style>
  <w:style w:type="character" w:styleId="Collegamentoipertestuale">
    <w:name w:val="Hyperlink"/>
    <w:uiPriority w:val="99"/>
    <w:unhideWhenUsed/>
    <w:rsid w:val="00F770B7"/>
    <w:rPr>
      <w:color w:val="0000FF"/>
      <w:u w:val="single"/>
    </w:rPr>
  </w:style>
  <w:style w:type="paragraph" w:styleId="Sommario1">
    <w:name w:val="toc 1"/>
    <w:basedOn w:val="Normale"/>
    <w:next w:val="Normale"/>
    <w:autoRedefine/>
    <w:uiPriority w:val="39"/>
    <w:unhideWhenUsed/>
    <w:rsid w:val="002241BE"/>
    <w:pPr>
      <w:tabs>
        <w:tab w:val="right" w:leader="dot" w:pos="9628"/>
      </w:tabs>
      <w:overflowPunct w:val="0"/>
      <w:autoSpaceDE w:val="0"/>
      <w:autoSpaceDN w:val="0"/>
      <w:adjustRightInd w:val="0"/>
      <w:spacing w:after="100" w:line="220" w:lineRule="exact"/>
      <w:textAlignment w:val="baseline"/>
    </w:pPr>
    <w:rPr>
      <w:b/>
      <w:noProof/>
      <w:sz w:val="18"/>
      <w:szCs w:val="20"/>
      <w:lang w:eastAsia="en-US"/>
    </w:rPr>
  </w:style>
  <w:style w:type="paragraph" w:styleId="Testonotaapidipagina">
    <w:name w:val="footnote text"/>
    <w:basedOn w:val="Normale"/>
    <w:link w:val="TestonotaapidipaginaCarattere"/>
    <w:uiPriority w:val="99"/>
    <w:semiHidden/>
    <w:unhideWhenUsed/>
    <w:rsid w:val="005F2C1B"/>
    <w:pPr>
      <w:overflowPunct w:val="0"/>
      <w:autoSpaceDE w:val="0"/>
      <w:autoSpaceDN w:val="0"/>
      <w:adjustRightInd w:val="0"/>
      <w:textAlignment w:val="baseline"/>
    </w:pPr>
    <w:rPr>
      <w:rFonts w:ascii="EYInterstate Light" w:hAnsi="EYInterstate Light"/>
      <w:sz w:val="20"/>
      <w:szCs w:val="20"/>
      <w:lang w:eastAsia="x-none"/>
    </w:rPr>
  </w:style>
  <w:style w:type="character" w:customStyle="1" w:styleId="TestonotaapidipaginaCarattere">
    <w:name w:val="Testo nota a piè di pagina Carattere"/>
    <w:link w:val="Testonotaapidipagina"/>
    <w:uiPriority w:val="99"/>
    <w:semiHidden/>
    <w:rsid w:val="005F2C1B"/>
    <w:rPr>
      <w:rFonts w:ascii="EYInterstate Light" w:hAnsi="EYInterstate Light"/>
      <w:sz w:val="20"/>
      <w:szCs w:val="20"/>
      <w:lang w:val="fr-FR"/>
    </w:rPr>
  </w:style>
  <w:style w:type="character" w:styleId="Rimandonotaapidipagina">
    <w:name w:val="footnote reference"/>
    <w:uiPriority w:val="99"/>
    <w:semiHidden/>
    <w:unhideWhenUsed/>
    <w:rsid w:val="005F2C1B"/>
    <w:rPr>
      <w:vertAlign w:val="superscript"/>
    </w:rPr>
  </w:style>
  <w:style w:type="paragraph" w:styleId="Revisione">
    <w:name w:val="Revision"/>
    <w:hidden/>
    <w:uiPriority w:val="99"/>
    <w:semiHidden/>
    <w:rsid w:val="00001922"/>
    <w:rPr>
      <w:rFonts w:ascii="EYInterstate Light" w:hAnsi="EYInterstate Light"/>
      <w:sz w:val="18"/>
      <w:lang w:eastAsia="en-US"/>
    </w:rPr>
  </w:style>
  <w:style w:type="character" w:customStyle="1" w:styleId="NormaleverdanaCarattere">
    <w:name w:val="Normale+verdana Carattere"/>
    <w:rsid w:val="00F75C34"/>
    <w:rPr>
      <w:rFonts w:ascii="Verdana" w:hAnsi="Verdana"/>
      <w:snapToGrid w:val="0"/>
      <w:sz w:val="18"/>
      <w:lang w:val="fr-FR" w:eastAsia="it-IT" w:bidi="ar-SA"/>
    </w:rPr>
  </w:style>
  <w:style w:type="paragraph" w:styleId="Rientrocorpodeltesto2">
    <w:name w:val="Body Text Indent 2"/>
    <w:basedOn w:val="Normale"/>
    <w:link w:val="Rientrocorpodeltesto2Carattere"/>
    <w:uiPriority w:val="99"/>
    <w:rsid w:val="001B6D59"/>
    <w:pPr>
      <w:widowControl w:val="0"/>
      <w:autoSpaceDE w:val="0"/>
      <w:autoSpaceDN w:val="0"/>
      <w:ind w:left="1700"/>
      <w:jc w:val="both"/>
    </w:pPr>
    <w:rPr>
      <w:color w:val="000000"/>
    </w:rPr>
  </w:style>
  <w:style w:type="character" w:customStyle="1" w:styleId="Rientrocorpodeltesto2Carattere">
    <w:name w:val="Rientro corpo del testo 2 Carattere"/>
    <w:link w:val="Rientrocorpodeltesto2"/>
    <w:uiPriority w:val="99"/>
    <w:rsid w:val="001B6D59"/>
    <w:rPr>
      <w:color w:val="000000"/>
      <w:sz w:val="24"/>
      <w:szCs w:val="24"/>
      <w:lang w:val="fr-FR" w:eastAsia="it-IT"/>
    </w:rPr>
  </w:style>
  <w:style w:type="paragraph" w:styleId="Corpotesto">
    <w:name w:val="Body Text"/>
    <w:basedOn w:val="Normale"/>
    <w:link w:val="CorpotestoCarattere"/>
    <w:uiPriority w:val="99"/>
    <w:semiHidden/>
    <w:unhideWhenUsed/>
    <w:rsid w:val="001B6D59"/>
    <w:pPr>
      <w:overflowPunct w:val="0"/>
      <w:autoSpaceDE w:val="0"/>
      <w:autoSpaceDN w:val="0"/>
      <w:adjustRightInd w:val="0"/>
      <w:spacing w:after="120" w:line="220" w:lineRule="exact"/>
      <w:textAlignment w:val="baseline"/>
    </w:pPr>
    <w:rPr>
      <w:rFonts w:ascii="EYInterstate Light" w:hAnsi="EYInterstate Light"/>
      <w:sz w:val="18"/>
      <w:szCs w:val="20"/>
      <w:lang w:eastAsia="x-none"/>
    </w:rPr>
  </w:style>
  <w:style w:type="character" w:customStyle="1" w:styleId="CorpotestoCarattere">
    <w:name w:val="Corpo testo Carattere"/>
    <w:link w:val="Corpotesto"/>
    <w:uiPriority w:val="99"/>
    <w:semiHidden/>
    <w:rsid w:val="001B6D59"/>
    <w:rPr>
      <w:rFonts w:ascii="EYInterstate Light" w:hAnsi="EYInterstate Light"/>
      <w:sz w:val="18"/>
      <w:szCs w:val="20"/>
      <w:lang w:val="fr-FR"/>
    </w:rPr>
  </w:style>
  <w:style w:type="paragraph" w:customStyle="1" w:styleId="ABLOCKPARA">
    <w:name w:val="A BLOCK PARA"/>
    <w:basedOn w:val="Normale"/>
    <w:uiPriority w:val="99"/>
    <w:rsid w:val="001B6D59"/>
    <w:pPr>
      <w:jc w:val="both"/>
    </w:pPr>
    <w:rPr>
      <w:rFonts w:ascii="Book Antiqua" w:hAnsi="Book Antiqua" w:cs="Book Antiqua"/>
      <w:b/>
      <w:bCs/>
      <w:strike/>
      <w:sz w:val="22"/>
      <w:szCs w:val="22"/>
    </w:rPr>
  </w:style>
  <w:style w:type="paragraph" w:customStyle="1" w:styleId="Normale1">
    <w:name w:val="Normale1"/>
    <w:rsid w:val="00DF030F"/>
    <w:pPr>
      <w:spacing w:after="200"/>
    </w:pPr>
    <w:rPr>
      <w:rFonts w:ascii="Cambria" w:eastAsia="ヒラギノ角ゴ Pro W3" w:hAnsi="Cambria"/>
      <w:color w:val="000000"/>
      <w:sz w:val="24"/>
    </w:rPr>
  </w:style>
  <w:style w:type="paragraph" w:customStyle="1" w:styleId="Bilanci-Testo">
    <w:name w:val="Bilanci - Testo"/>
    <w:basedOn w:val="Normale"/>
    <w:link w:val="Bilanci-TestoChar"/>
    <w:qFormat/>
    <w:rsid w:val="001D7835"/>
    <w:pPr>
      <w:spacing w:line="300" w:lineRule="exact"/>
    </w:pPr>
    <w:rPr>
      <w:rFonts w:ascii="Arial" w:eastAsia="Calibri" w:hAnsi="Arial"/>
      <w:sz w:val="18"/>
      <w:szCs w:val="20"/>
      <w:lang w:eastAsia="x-none"/>
    </w:rPr>
  </w:style>
  <w:style w:type="character" w:customStyle="1" w:styleId="Bilanci-TestoChar">
    <w:name w:val="Bilanci - Testo Char"/>
    <w:link w:val="Bilanci-Testo"/>
    <w:rsid w:val="001D7835"/>
    <w:rPr>
      <w:rFonts w:ascii="Arial" w:eastAsia="Calibri" w:hAnsi="Arial" w:cs="Times New Roman"/>
      <w:sz w:val="18"/>
    </w:rPr>
  </w:style>
  <w:style w:type="character" w:styleId="Collegamentovisitato">
    <w:name w:val="FollowedHyperlink"/>
    <w:uiPriority w:val="99"/>
    <w:semiHidden/>
    <w:unhideWhenUsed/>
    <w:rsid w:val="002241BE"/>
    <w:rPr>
      <w:color w:val="800080"/>
      <w:u w:val="single"/>
    </w:rPr>
  </w:style>
  <w:style w:type="paragraph" w:customStyle="1" w:styleId="Default">
    <w:name w:val="Default"/>
    <w:rsid w:val="00310C1A"/>
    <w:pPr>
      <w:autoSpaceDE w:val="0"/>
      <w:autoSpaceDN w:val="0"/>
      <w:adjustRightInd w:val="0"/>
    </w:pPr>
    <w:rPr>
      <w:rFonts w:ascii="Calibri" w:hAnsi="Calibri" w:cs="Calibri"/>
      <w:color w:val="000000"/>
      <w:sz w:val="24"/>
      <w:szCs w:val="24"/>
    </w:rPr>
  </w:style>
  <w:style w:type="paragraph" w:styleId="Sommario3">
    <w:name w:val="toc 3"/>
    <w:basedOn w:val="Normale"/>
    <w:next w:val="Normale"/>
    <w:autoRedefine/>
    <w:uiPriority w:val="39"/>
    <w:unhideWhenUsed/>
    <w:rsid w:val="004A5DC3"/>
    <w:pPr>
      <w:spacing w:after="100" w:line="259" w:lineRule="auto"/>
      <w:ind w:left="440"/>
    </w:pPr>
    <w:rPr>
      <w:rFonts w:asciiTheme="minorHAnsi" w:eastAsiaTheme="minorEastAsia" w:hAnsiTheme="minorHAnsi" w:cstheme="minorBidi"/>
      <w:sz w:val="22"/>
      <w:szCs w:val="22"/>
      <w:lang w:eastAsia="en-US"/>
    </w:rPr>
  </w:style>
  <w:style w:type="paragraph" w:styleId="Sommario4">
    <w:name w:val="toc 4"/>
    <w:basedOn w:val="Normale"/>
    <w:next w:val="Normale"/>
    <w:autoRedefine/>
    <w:uiPriority w:val="39"/>
    <w:unhideWhenUsed/>
    <w:rsid w:val="004A5DC3"/>
    <w:pPr>
      <w:spacing w:after="100" w:line="259" w:lineRule="auto"/>
      <w:ind w:left="660"/>
    </w:pPr>
    <w:rPr>
      <w:rFonts w:asciiTheme="minorHAnsi" w:eastAsiaTheme="minorEastAsia" w:hAnsiTheme="minorHAnsi" w:cstheme="minorBidi"/>
      <w:sz w:val="22"/>
      <w:szCs w:val="22"/>
      <w:lang w:eastAsia="en-US"/>
    </w:rPr>
  </w:style>
  <w:style w:type="paragraph" w:styleId="Sommario5">
    <w:name w:val="toc 5"/>
    <w:basedOn w:val="Normale"/>
    <w:next w:val="Normale"/>
    <w:autoRedefine/>
    <w:uiPriority w:val="39"/>
    <w:unhideWhenUsed/>
    <w:rsid w:val="004A5DC3"/>
    <w:pPr>
      <w:spacing w:after="100" w:line="259" w:lineRule="auto"/>
      <w:ind w:left="880"/>
    </w:pPr>
    <w:rPr>
      <w:rFonts w:asciiTheme="minorHAnsi" w:eastAsiaTheme="minorEastAsia" w:hAnsiTheme="minorHAnsi" w:cstheme="minorBidi"/>
      <w:sz w:val="22"/>
      <w:szCs w:val="22"/>
      <w:lang w:eastAsia="en-US"/>
    </w:rPr>
  </w:style>
  <w:style w:type="paragraph" w:styleId="Sommario6">
    <w:name w:val="toc 6"/>
    <w:basedOn w:val="Normale"/>
    <w:next w:val="Normale"/>
    <w:autoRedefine/>
    <w:uiPriority w:val="39"/>
    <w:unhideWhenUsed/>
    <w:rsid w:val="004A5DC3"/>
    <w:pPr>
      <w:spacing w:after="100" w:line="259" w:lineRule="auto"/>
      <w:ind w:left="1100"/>
    </w:pPr>
    <w:rPr>
      <w:rFonts w:asciiTheme="minorHAnsi" w:eastAsiaTheme="minorEastAsia" w:hAnsiTheme="minorHAnsi" w:cstheme="minorBidi"/>
      <w:sz w:val="22"/>
      <w:szCs w:val="22"/>
      <w:lang w:eastAsia="en-US"/>
    </w:rPr>
  </w:style>
  <w:style w:type="paragraph" w:styleId="Sommario7">
    <w:name w:val="toc 7"/>
    <w:basedOn w:val="Normale"/>
    <w:next w:val="Normale"/>
    <w:autoRedefine/>
    <w:uiPriority w:val="39"/>
    <w:unhideWhenUsed/>
    <w:rsid w:val="004A5DC3"/>
    <w:pPr>
      <w:spacing w:after="100" w:line="259" w:lineRule="auto"/>
      <w:ind w:left="1320"/>
    </w:pPr>
    <w:rPr>
      <w:rFonts w:asciiTheme="minorHAnsi" w:eastAsiaTheme="minorEastAsia" w:hAnsiTheme="minorHAnsi" w:cstheme="minorBidi"/>
      <w:sz w:val="22"/>
      <w:szCs w:val="22"/>
      <w:lang w:eastAsia="en-US"/>
    </w:rPr>
  </w:style>
  <w:style w:type="paragraph" w:styleId="Sommario8">
    <w:name w:val="toc 8"/>
    <w:basedOn w:val="Normale"/>
    <w:next w:val="Normale"/>
    <w:autoRedefine/>
    <w:uiPriority w:val="39"/>
    <w:unhideWhenUsed/>
    <w:rsid w:val="004A5DC3"/>
    <w:pPr>
      <w:spacing w:after="100" w:line="259" w:lineRule="auto"/>
      <w:ind w:left="1540"/>
    </w:pPr>
    <w:rPr>
      <w:rFonts w:asciiTheme="minorHAnsi" w:eastAsiaTheme="minorEastAsia" w:hAnsiTheme="minorHAnsi" w:cstheme="minorBidi"/>
      <w:sz w:val="22"/>
      <w:szCs w:val="22"/>
      <w:lang w:eastAsia="en-US"/>
    </w:rPr>
  </w:style>
  <w:style w:type="paragraph" w:styleId="Sommario9">
    <w:name w:val="toc 9"/>
    <w:basedOn w:val="Normale"/>
    <w:next w:val="Normale"/>
    <w:autoRedefine/>
    <w:uiPriority w:val="39"/>
    <w:unhideWhenUsed/>
    <w:rsid w:val="004A5DC3"/>
    <w:pPr>
      <w:spacing w:after="100" w:line="259" w:lineRule="auto"/>
      <w:ind w:left="1760"/>
    </w:pPr>
    <w:rPr>
      <w:rFonts w:asciiTheme="minorHAnsi" w:eastAsiaTheme="minorEastAsia" w:hAnsiTheme="minorHAnsi" w:cstheme="minorBidi"/>
      <w:sz w:val="22"/>
      <w:szCs w:val="22"/>
      <w:lang w:eastAsia="en-US"/>
    </w:rPr>
  </w:style>
  <w:style w:type="character" w:customStyle="1" w:styleId="UnresolvedMention1">
    <w:name w:val="Unresolved Mention1"/>
    <w:basedOn w:val="Carpredefinitoparagrafo"/>
    <w:uiPriority w:val="99"/>
    <w:semiHidden/>
    <w:unhideWhenUsed/>
    <w:rsid w:val="004A5DC3"/>
    <w:rPr>
      <w:color w:val="605E5C"/>
      <w:shd w:val="clear" w:color="auto" w:fill="E1DFDD"/>
    </w:rPr>
  </w:style>
  <w:style w:type="character" w:styleId="Menzionenonrisolta">
    <w:name w:val="Unresolved Mention"/>
    <w:basedOn w:val="Carpredefinitoparagrafo"/>
    <w:uiPriority w:val="99"/>
    <w:semiHidden/>
    <w:unhideWhenUsed/>
    <w:rsid w:val="007F2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67">
      <w:bodyDiv w:val="1"/>
      <w:marLeft w:val="0"/>
      <w:marRight w:val="0"/>
      <w:marTop w:val="0"/>
      <w:marBottom w:val="0"/>
      <w:divBdr>
        <w:top w:val="none" w:sz="0" w:space="0" w:color="auto"/>
        <w:left w:val="none" w:sz="0" w:space="0" w:color="auto"/>
        <w:bottom w:val="none" w:sz="0" w:space="0" w:color="auto"/>
        <w:right w:val="none" w:sz="0" w:space="0" w:color="auto"/>
      </w:divBdr>
    </w:div>
    <w:div w:id="7605671">
      <w:bodyDiv w:val="1"/>
      <w:marLeft w:val="0"/>
      <w:marRight w:val="0"/>
      <w:marTop w:val="0"/>
      <w:marBottom w:val="0"/>
      <w:divBdr>
        <w:top w:val="none" w:sz="0" w:space="0" w:color="auto"/>
        <w:left w:val="none" w:sz="0" w:space="0" w:color="auto"/>
        <w:bottom w:val="none" w:sz="0" w:space="0" w:color="auto"/>
        <w:right w:val="none" w:sz="0" w:space="0" w:color="auto"/>
      </w:divBdr>
    </w:div>
    <w:div w:id="8799257">
      <w:bodyDiv w:val="1"/>
      <w:marLeft w:val="0"/>
      <w:marRight w:val="0"/>
      <w:marTop w:val="0"/>
      <w:marBottom w:val="0"/>
      <w:divBdr>
        <w:top w:val="none" w:sz="0" w:space="0" w:color="auto"/>
        <w:left w:val="none" w:sz="0" w:space="0" w:color="auto"/>
        <w:bottom w:val="none" w:sz="0" w:space="0" w:color="auto"/>
        <w:right w:val="none" w:sz="0" w:space="0" w:color="auto"/>
      </w:divBdr>
    </w:div>
    <w:div w:id="14617208">
      <w:bodyDiv w:val="1"/>
      <w:marLeft w:val="0"/>
      <w:marRight w:val="0"/>
      <w:marTop w:val="0"/>
      <w:marBottom w:val="0"/>
      <w:divBdr>
        <w:top w:val="none" w:sz="0" w:space="0" w:color="auto"/>
        <w:left w:val="none" w:sz="0" w:space="0" w:color="auto"/>
        <w:bottom w:val="none" w:sz="0" w:space="0" w:color="auto"/>
        <w:right w:val="none" w:sz="0" w:space="0" w:color="auto"/>
      </w:divBdr>
    </w:div>
    <w:div w:id="19012136">
      <w:bodyDiv w:val="1"/>
      <w:marLeft w:val="0"/>
      <w:marRight w:val="0"/>
      <w:marTop w:val="0"/>
      <w:marBottom w:val="0"/>
      <w:divBdr>
        <w:top w:val="none" w:sz="0" w:space="0" w:color="auto"/>
        <w:left w:val="none" w:sz="0" w:space="0" w:color="auto"/>
        <w:bottom w:val="none" w:sz="0" w:space="0" w:color="auto"/>
        <w:right w:val="none" w:sz="0" w:space="0" w:color="auto"/>
      </w:divBdr>
    </w:div>
    <w:div w:id="19597169">
      <w:bodyDiv w:val="1"/>
      <w:marLeft w:val="0"/>
      <w:marRight w:val="0"/>
      <w:marTop w:val="0"/>
      <w:marBottom w:val="0"/>
      <w:divBdr>
        <w:top w:val="none" w:sz="0" w:space="0" w:color="auto"/>
        <w:left w:val="none" w:sz="0" w:space="0" w:color="auto"/>
        <w:bottom w:val="none" w:sz="0" w:space="0" w:color="auto"/>
        <w:right w:val="none" w:sz="0" w:space="0" w:color="auto"/>
      </w:divBdr>
    </w:div>
    <w:div w:id="20280499">
      <w:bodyDiv w:val="1"/>
      <w:marLeft w:val="0"/>
      <w:marRight w:val="0"/>
      <w:marTop w:val="0"/>
      <w:marBottom w:val="0"/>
      <w:divBdr>
        <w:top w:val="none" w:sz="0" w:space="0" w:color="auto"/>
        <w:left w:val="none" w:sz="0" w:space="0" w:color="auto"/>
        <w:bottom w:val="none" w:sz="0" w:space="0" w:color="auto"/>
        <w:right w:val="none" w:sz="0" w:space="0" w:color="auto"/>
      </w:divBdr>
    </w:div>
    <w:div w:id="22021724">
      <w:bodyDiv w:val="1"/>
      <w:marLeft w:val="0"/>
      <w:marRight w:val="0"/>
      <w:marTop w:val="0"/>
      <w:marBottom w:val="0"/>
      <w:divBdr>
        <w:top w:val="none" w:sz="0" w:space="0" w:color="auto"/>
        <w:left w:val="none" w:sz="0" w:space="0" w:color="auto"/>
        <w:bottom w:val="none" w:sz="0" w:space="0" w:color="auto"/>
        <w:right w:val="none" w:sz="0" w:space="0" w:color="auto"/>
      </w:divBdr>
    </w:div>
    <w:div w:id="23143188">
      <w:bodyDiv w:val="1"/>
      <w:marLeft w:val="0"/>
      <w:marRight w:val="0"/>
      <w:marTop w:val="0"/>
      <w:marBottom w:val="0"/>
      <w:divBdr>
        <w:top w:val="none" w:sz="0" w:space="0" w:color="auto"/>
        <w:left w:val="none" w:sz="0" w:space="0" w:color="auto"/>
        <w:bottom w:val="none" w:sz="0" w:space="0" w:color="auto"/>
        <w:right w:val="none" w:sz="0" w:space="0" w:color="auto"/>
      </w:divBdr>
    </w:div>
    <w:div w:id="24331493">
      <w:bodyDiv w:val="1"/>
      <w:marLeft w:val="0"/>
      <w:marRight w:val="0"/>
      <w:marTop w:val="0"/>
      <w:marBottom w:val="0"/>
      <w:divBdr>
        <w:top w:val="none" w:sz="0" w:space="0" w:color="auto"/>
        <w:left w:val="none" w:sz="0" w:space="0" w:color="auto"/>
        <w:bottom w:val="none" w:sz="0" w:space="0" w:color="auto"/>
        <w:right w:val="none" w:sz="0" w:space="0" w:color="auto"/>
      </w:divBdr>
    </w:div>
    <w:div w:id="25445739">
      <w:bodyDiv w:val="1"/>
      <w:marLeft w:val="0"/>
      <w:marRight w:val="0"/>
      <w:marTop w:val="0"/>
      <w:marBottom w:val="0"/>
      <w:divBdr>
        <w:top w:val="none" w:sz="0" w:space="0" w:color="auto"/>
        <w:left w:val="none" w:sz="0" w:space="0" w:color="auto"/>
        <w:bottom w:val="none" w:sz="0" w:space="0" w:color="auto"/>
        <w:right w:val="none" w:sz="0" w:space="0" w:color="auto"/>
      </w:divBdr>
    </w:div>
    <w:div w:id="25952501">
      <w:bodyDiv w:val="1"/>
      <w:marLeft w:val="0"/>
      <w:marRight w:val="0"/>
      <w:marTop w:val="0"/>
      <w:marBottom w:val="0"/>
      <w:divBdr>
        <w:top w:val="none" w:sz="0" w:space="0" w:color="auto"/>
        <w:left w:val="none" w:sz="0" w:space="0" w:color="auto"/>
        <w:bottom w:val="none" w:sz="0" w:space="0" w:color="auto"/>
        <w:right w:val="none" w:sz="0" w:space="0" w:color="auto"/>
      </w:divBdr>
    </w:div>
    <w:div w:id="34352481">
      <w:bodyDiv w:val="1"/>
      <w:marLeft w:val="0"/>
      <w:marRight w:val="0"/>
      <w:marTop w:val="0"/>
      <w:marBottom w:val="0"/>
      <w:divBdr>
        <w:top w:val="none" w:sz="0" w:space="0" w:color="auto"/>
        <w:left w:val="none" w:sz="0" w:space="0" w:color="auto"/>
        <w:bottom w:val="none" w:sz="0" w:space="0" w:color="auto"/>
        <w:right w:val="none" w:sz="0" w:space="0" w:color="auto"/>
      </w:divBdr>
    </w:div>
    <w:div w:id="35398339">
      <w:bodyDiv w:val="1"/>
      <w:marLeft w:val="0"/>
      <w:marRight w:val="0"/>
      <w:marTop w:val="0"/>
      <w:marBottom w:val="0"/>
      <w:divBdr>
        <w:top w:val="none" w:sz="0" w:space="0" w:color="auto"/>
        <w:left w:val="none" w:sz="0" w:space="0" w:color="auto"/>
        <w:bottom w:val="none" w:sz="0" w:space="0" w:color="auto"/>
        <w:right w:val="none" w:sz="0" w:space="0" w:color="auto"/>
      </w:divBdr>
    </w:div>
    <w:div w:id="37554831">
      <w:bodyDiv w:val="1"/>
      <w:marLeft w:val="0"/>
      <w:marRight w:val="0"/>
      <w:marTop w:val="0"/>
      <w:marBottom w:val="0"/>
      <w:divBdr>
        <w:top w:val="none" w:sz="0" w:space="0" w:color="auto"/>
        <w:left w:val="none" w:sz="0" w:space="0" w:color="auto"/>
        <w:bottom w:val="none" w:sz="0" w:space="0" w:color="auto"/>
        <w:right w:val="none" w:sz="0" w:space="0" w:color="auto"/>
      </w:divBdr>
    </w:div>
    <w:div w:id="40834664">
      <w:bodyDiv w:val="1"/>
      <w:marLeft w:val="0"/>
      <w:marRight w:val="0"/>
      <w:marTop w:val="0"/>
      <w:marBottom w:val="0"/>
      <w:divBdr>
        <w:top w:val="none" w:sz="0" w:space="0" w:color="auto"/>
        <w:left w:val="none" w:sz="0" w:space="0" w:color="auto"/>
        <w:bottom w:val="none" w:sz="0" w:space="0" w:color="auto"/>
        <w:right w:val="none" w:sz="0" w:space="0" w:color="auto"/>
      </w:divBdr>
    </w:div>
    <w:div w:id="44106295">
      <w:bodyDiv w:val="1"/>
      <w:marLeft w:val="0"/>
      <w:marRight w:val="0"/>
      <w:marTop w:val="0"/>
      <w:marBottom w:val="0"/>
      <w:divBdr>
        <w:top w:val="none" w:sz="0" w:space="0" w:color="auto"/>
        <w:left w:val="none" w:sz="0" w:space="0" w:color="auto"/>
        <w:bottom w:val="none" w:sz="0" w:space="0" w:color="auto"/>
        <w:right w:val="none" w:sz="0" w:space="0" w:color="auto"/>
      </w:divBdr>
    </w:div>
    <w:div w:id="47609969">
      <w:bodyDiv w:val="1"/>
      <w:marLeft w:val="0"/>
      <w:marRight w:val="0"/>
      <w:marTop w:val="0"/>
      <w:marBottom w:val="0"/>
      <w:divBdr>
        <w:top w:val="none" w:sz="0" w:space="0" w:color="auto"/>
        <w:left w:val="none" w:sz="0" w:space="0" w:color="auto"/>
        <w:bottom w:val="none" w:sz="0" w:space="0" w:color="auto"/>
        <w:right w:val="none" w:sz="0" w:space="0" w:color="auto"/>
      </w:divBdr>
    </w:div>
    <w:div w:id="49892006">
      <w:bodyDiv w:val="1"/>
      <w:marLeft w:val="0"/>
      <w:marRight w:val="0"/>
      <w:marTop w:val="0"/>
      <w:marBottom w:val="0"/>
      <w:divBdr>
        <w:top w:val="none" w:sz="0" w:space="0" w:color="auto"/>
        <w:left w:val="none" w:sz="0" w:space="0" w:color="auto"/>
        <w:bottom w:val="none" w:sz="0" w:space="0" w:color="auto"/>
        <w:right w:val="none" w:sz="0" w:space="0" w:color="auto"/>
      </w:divBdr>
    </w:div>
    <w:div w:id="51731109">
      <w:bodyDiv w:val="1"/>
      <w:marLeft w:val="0"/>
      <w:marRight w:val="0"/>
      <w:marTop w:val="0"/>
      <w:marBottom w:val="0"/>
      <w:divBdr>
        <w:top w:val="none" w:sz="0" w:space="0" w:color="auto"/>
        <w:left w:val="none" w:sz="0" w:space="0" w:color="auto"/>
        <w:bottom w:val="none" w:sz="0" w:space="0" w:color="auto"/>
        <w:right w:val="none" w:sz="0" w:space="0" w:color="auto"/>
      </w:divBdr>
    </w:div>
    <w:div w:id="54474599">
      <w:bodyDiv w:val="1"/>
      <w:marLeft w:val="0"/>
      <w:marRight w:val="0"/>
      <w:marTop w:val="0"/>
      <w:marBottom w:val="0"/>
      <w:divBdr>
        <w:top w:val="none" w:sz="0" w:space="0" w:color="auto"/>
        <w:left w:val="none" w:sz="0" w:space="0" w:color="auto"/>
        <w:bottom w:val="none" w:sz="0" w:space="0" w:color="auto"/>
        <w:right w:val="none" w:sz="0" w:space="0" w:color="auto"/>
      </w:divBdr>
    </w:div>
    <w:div w:id="58406813">
      <w:bodyDiv w:val="1"/>
      <w:marLeft w:val="0"/>
      <w:marRight w:val="0"/>
      <w:marTop w:val="0"/>
      <w:marBottom w:val="0"/>
      <w:divBdr>
        <w:top w:val="none" w:sz="0" w:space="0" w:color="auto"/>
        <w:left w:val="none" w:sz="0" w:space="0" w:color="auto"/>
        <w:bottom w:val="none" w:sz="0" w:space="0" w:color="auto"/>
        <w:right w:val="none" w:sz="0" w:space="0" w:color="auto"/>
      </w:divBdr>
    </w:div>
    <w:div w:id="61411430">
      <w:bodyDiv w:val="1"/>
      <w:marLeft w:val="0"/>
      <w:marRight w:val="0"/>
      <w:marTop w:val="0"/>
      <w:marBottom w:val="0"/>
      <w:divBdr>
        <w:top w:val="none" w:sz="0" w:space="0" w:color="auto"/>
        <w:left w:val="none" w:sz="0" w:space="0" w:color="auto"/>
        <w:bottom w:val="none" w:sz="0" w:space="0" w:color="auto"/>
        <w:right w:val="none" w:sz="0" w:space="0" w:color="auto"/>
      </w:divBdr>
    </w:div>
    <w:div w:id="67460881">
      <w:bodyDiv w:val="1"/>
      <w:marLeft w:val="0"/>
      <w:marRight w:val="0"/>
      <w:marTop w:val="0"/>
      <w:marBottom w:val="0"/>
      <w:divBdr>
        <w:top w:val="none" w:sz="0" w:space="0" w:color="auto"/>
        <w:left w:val="none" w:sz="0" w:space="0" w:color="auto"/>
        <w:bottom w:val="none" w:sz="0" w:space="0" w:color="auto"/>
        <w:right w:val="none" w:sz="0" w:space="0" w:color="auto"/>
      </w:divBdr>
    </w:div>
    <w:div w:id="67772118">
      <w:bodyDiv w:val="1"/>
      <w:marLeft w:val="0"/>
      <w:marRight w:val="0"/>
      <w:marTop w:val="0"/>
      <w:marBottom w:val="0"/>
      <w:divBdr>
        <w:top w:val="none" w:sz="0" w:space="0" w:color="auto"/>
        <w:left w:val="none" w:sz="0" w:space="0" w:color="auto"/>
        <w:bottom w:val="none" w:sz="0" w:space="0" w:color="auto"/>
        <w:right w:val="none" w:sz="0" w:space="0" w:color="auto"/>
      </w:divBdr>
    </w:div>
    <w:div w:id="71244672">
      <w:bodyDiv w:val="1"/>
      <w:marLeft w:val="0"/>
      <w:marRight w:val="0"/>
      <w:marTop w:val="0"/>
      <w:marBottom w:val="0"/>
      <w:divBdr>
        <w:top w:val="none" w:sz="0" w:space="0" w:color="auto"/>
        <w:left w:val="none" w:sz="0" w:space="0" w:color="auto"/>
        <w:bottom w:val="none" w:sz="0" w:space="0" w:color="auto"/>
        <w:right w:val="none" w:sz="0" w:space="0" w:color="auto"/>
      </w:divBdr>
    </w:div>
    <w:div w:id="72364593">
      <w:bodyDiv w:val="1"/>
      <w:marLeft w:val="0"/>
      <w:marRight w:val="0"/>
      <w:marTop w:val="0"/>
      <w:marBottom w:val="0"/>
      <w:divBdr>
        <w:top w:val="none" w:sz="0" w:space="0" w:color="auto"/>
        <w:left w:val="none" w:sz="0" w:space="0" w:color="auto"/>
        <w:bottom w:val="none" w:sz="0" w:space="0" w:color="auto"/>
        <w:right w:val="none" w:sz="0" w:space="0" w:color="auto"/>
      </w:divBdr>
    </w:div>
    <w:div w:id="78451091">
      <w:bodyDiv w:val="1"/>
      <w:marLeft w:val="0"/>
      <w:marRight w:val="0"/>
      <w:marTop w:val="0"/>
      <w:marBottom w:val="0"/>
      <w:divBdr>
        <w:top w:val="none" w:sz="0" w:space="0" w:color="auto"/>
        <w:left w:val="none" w:sz="0" w:space="0" w:color="auto"/>
        <w:bottom w:val="none" w:sz="0" w:space="0" w:color="auto"/>
        <w:right w:val="none" w:sz="0" w:space="0" w:color="auto"/>
      </w:divBdr>
    </w:div>
    <w:div w:id="80152209">
      <w:bodyDiv w:val="1"/>
      <w:marLeft w:val="0"/>
      <w:marRight w:val="0"/>
      <w:marTop w:val="0"/>
      <w:marBottom w:val="0"/>
      <w:divBdr>
        <w:top w:val="none" w:sz="0" w:space="0" w:color="auto"/>
        <w:left w:val="none" w:sz="0" w:space="0" w:color="auto"/>
        <w:bottom w:val="none" w:sz="0" w:space="0" w:color="auto"/>
        <w:right w:val="none" w:sz="0" w:space="0" w:color="auto"/>
      </w:divBdr>
    </w:div>
    <w:div w:id="82607349">
      <w:bodyDiv w:val="1"/>
      <w:marLeft w:val="0"/>
      <w:marRight w:val="0"/>
      <w:marTop w:val="0"/>
      <w:marBottom w:val="0"/>
      <w:divBdr>
        <w:top w:val="none" w:sz="0" w:space="0" w:color="auto"/>
        <w:left w:val="none" w:sz="0" w:space="0" w:color="auto"/>
        <w:bottom w:val="none" w:sz="0" w:space="0" w:color="auto"/>
        <w:right w:val="none" w:sz="0" w:space="0" w:color="auto"/>
      </w:divBdr>
    </w:div>
    <w:div w:id="84570965">
      <w:bodyDiv w:val="1"/>
      <w:marLeft w:val="0"/>
      <w:marRight w:val="0"/>
      <w:marTop w:val="0"/>
      <w:marBottom w:val="0"/>
      <w:divBdr>
        <w:top w:val="none" w:sz="0" w:space="0" w:color="auto"/>
        <w:left w:val="none" w:sz="0" w:space="0" w:color="auto"/>
        <w:bottom w:val="none" w:sz="0" w:space="0" w:color="auto"/>
        <w:right w:val="none" w:sz="0" w:space="0" w:color="auto"/>
      </w:divBdr>
    </w:div>
    <w:div w:id="88818487">
      <w:bodyDiv w:val="1"/>
      <w:marLeft w:val="0"/>
      <w:marRight w:val="0"/>
      <w:marTop w:val="0"/>
      <w:marBottom w:val="0"/>
      <w:divBdr>
        <w:top w:val="none" w:sz="0" w:space="0" w:color="auto"/>
        <w:left w:val="none" w:sz="0" w:space="0" w:color="auto"/>
        <w:bottom w:val="none" w:sz="0" w:space="0" w:color="auto"/>
        <w:right w:val="none" w:sz="0" w:space="0" w:color="auto"/>
      </w:divBdr>
    </w:div>
    <w:div w:id="91514273">
      <w:bodyDiv w:val="1"/>
      <w:marLeft w:val="0"/>
      <w:marRight w:val="0"/>
      <w:marTop w:val="0"/>
      <w:marBottom w:val="0"/>
      <w:divBdr>
        <w:top w:val="none" w:sz="0" w:space="0" w:color="auto"/>
        <w:left w:val="none" w:sz="0" w:space="0" w:color="auto"/>
        <w:bottom w:val="none" w:sz="0" w:space="0" w:color="auto"/>
        <w:right w:val="none" w:sz="0" w:space="0" w:color="auto"/>
      </w:divBdr>
    </w:div>
    <w:div w:id="92751936">
      <w:bodyDiv w:val="1"/>
      <w:marLeft w:val="0"/>
      <w:marRight w:val="0"/>
      <w:marTop w:val="0"/>
      <w:marBottom w:val="0"/>
      <w:divBdr>
        <w:top w:val="none" w:sz="0" w:space="0" w:color="auto"/>
        <w:left w:val="none" w:sz="0" w:space="0" w:color="auto"/>
        <w:bottom w:val="none" w:sz="0" w:space="0" w:color="auto"/>
        <w:right w:val="none" w:sz="0" w:space="0" w:color="auto"/>
      </w:divBdr>
    </w:div>
    <w:div w:id="93870889">
      <w:bodyDiv w:val="1"/>
      <w:marLeft w:val="0"/>
      <w:marRight w:val="0"/>
      <w:marTop w:val="0"/>
      <w:marBottom w:val="0"/>
      <w:divBdr>
        <w:top w:val="none" w:sz="0" w:space="0" w:color="auto"/>
        <w:left w:val="none" w:sz="0" w:space="0" w:color="auto"/>
        <w:bottom w:val="none" w:sz="0" w:space="0" w:color="auto"/>
        <w:right w:val="none" w:sz="0" w:space="0" w:color="auto"/>
      </w:divBdr>
    </w:div>
    <w:div w:id="94636618">
      <w:bodyDiv w:val="1"/>
      <w:marLeft w:val="0"/>
      <w:marRight w:val="0"/>
      <w:marTop w:val="0"/>
      <w:marBottom w:val="0"/>
      <w:divBdr>
        <w:top w:val="none" w:sz="0" w:space="0" w:color="auto"/>
        <w:left w:val="none" w:sz="0" w:space="0" w:color="auto"/>
        <w:bottom w:val="none" w:sz="0" w:space="0" w:color="auto"/>
        <w:right w:val="none" w:sz="0" w:space="0" w:color="auto"/>
      </w:divBdr>
    </w:div>
    <w:div w:id="94908049">
      <w:bodyDiv w:val="1"/>
      <w:marLeft w:val="0"/>
      <w:marRight w:val="0"/>
      <w:marTop w:val="0"/>
      <w:marBottom w:val="0"/>
      <w:divBdr>
        <w:top w:val="none" w:sz="0" w:space="0" w:color="auto"/>
        <w:left w:val="none" w:sz="0" w:space="0" w:color="auto"/>
        <w:bottom w:val="none" w:sz="0" w:space="0" w:color="auto"/>
        <w:right w:val="none" w:sz="0" w:space="0" w:color="auto"/>
      </w:divBdr>
    </w:div>
    <w:div w:id="95442175">
      <w:bodyDiv w:val="1"/>
      <w:marLeft w:val="0"/>
      <w:marRight w:val="0"/>
      <w:marTop w:val="0"/>
      <w:marBottom w:val="0"/>
      <w:divBdr>
        <w:top w:val="none" w:sz="0" w:space="0" w:color="auto"/>
        <w:left w:val="none" w:sz="0" w:space="0" w:color="auto"/>
        <w:bottom w:val="none" w:sz="0" w:space="0" w:color="auto"/>
        <w:right w:val="none" w:sz="0" w:space="0" w:color="auto"/>
      </w:divBdr>
    </w:div>
    <w:div w:id="96949174">
      <w:bodyDiv w:val="1"/>
      <w:marLeft w:val="0"/>
      <w:marRight w:val="0"/>
      <w:marTop w:val="0"/>
      <w:marBottom w:val="0"/>
      <w:divBdr>
        <w:top w:val="none" w:sz="0" w:space="0" w:color="auto"/>
        <w:left w:val="none" w:sz="0" w:space="0" w:color="auto"/>
        <w:bottom w:val="none" w:sz="0" w:space="0" w:color="auto"/>
        <w:right w:val="none" w:sz="0" w:space="0" w:color="auto"/>
      </w:divBdr>
    </w:div>
    <w:div w:id="99423931">
      <w:bodyDiv w:val="1"/>
      <w:marLeft w:val="0"/>
      <w:marRight w:val="0"/>
      <w:marTop w:val="0"/>
      <w:marBottom w:val="0"/>
      <w:divBdr>
        <w:top w:val="none" w:sz="0" w:space="0" w:color="auto"/>
        <w:left w:val="none" w:sz="0" w:space="0" w:color="auto"/>
        <w:bottom w:val="none" w:sz="0" w:space="0" w:color="auto"/>
        <w:right w:val="none" w:sz="0" w:space="0" w:color="auto"/>
      </w:divBdr>
    </w:div>
    <w:div w:id="99496597">
      <w:bodyDiv w:val="1"/>
      <w:marLeft w:val="0"/>
      <w:marRight w:val="0"/>
      <w:marTop w:val="0"/>
      <w:marBottom w:val="0"/>
      <w:divBdr>
        <w:top w:val="none" w:sz="0" w:space="0" w:color="auto"/>
        <w:left w:val="none" w:sz="0" w:space="0" w:color="auto"/>
        <w:bottom w:val="none" w:sz="0" w:space="0" w:color="auto"/>
        <w:right w:val="none" w:sz="0" w:space="0" w:color="auto"/>
      </w:divBdr>
    </w:div>
    <w:div w:id="102383114">
      <w:bodyDiv w:val="1"/>
      <w:marLeft w:val="0"/>
      <w:marRight w:val="0"/>
      <w:marTop w:val="0"/>
      <w:marBottom w:val="0"/>
      <w:divBdr>
        <w:top w:val="none" w:sz="0" w:space="0" w:color="auto"/>
        <w:left w:val="none" w:sz="0" w:space="0" w:color="auto"/>
        <w:bottom w:val="none" w:sz="0" w:space="0" w:color="auto"/>
        <w:right w:val="none" w:sz="0" w:space="0" w:color="auto"/>
      </w:divBdr>
    </w:div>
    <w:div w:id="102966069">
      <w:bodyDiv w:val="1"/>
      <w:marLeft w:val="0"/>
      <w:marRight w:val="0"/>
      <w:marTop w:val="0"/>
      <w:marBottom w:val="0"/>
      <w:divBdr>
        <w:top w:val="none" w:sz="0" w:space="0" w:color="auto"/>
        <w:left w:val="none" w:sz="0" w:space="0" w:color="auto"/>
        <w:bottom w:val="none" w:sz="0" w:space="0" w:color="auto"/>
        <w:right w:val="none" w:sz="0" w:space="0" w:color="auto"/>
      </w:divBdr>
    </w:div>
    <w:div w:id="107163487">
      <w:bodyDiv w:val="1"/>
      <w:marLeft w:val="0"/>
      <w:marRight w:val="0"/>
      <w:marTop w:val="0"/>
      <w:marBottom w:val="0"/>
      <w:divBdr>
        <w:top w:val="none" w:sz="0" w:space="0" w:color="auto"/>
        <w:left w:val="none" w:sz="0" w:space="0" w:color="auto"/>
        <w:bottom w:val="none" w:sz="0" w:space="0" w:color="auto"/>
        <w:right w:val="none" w:sz="0" w:space="0" w:color="auto"/>
      </w:divBdr>
    </w:div>
    <w:div w:id="108399232">
      <w:bodyDiv w:val="1"/>
      <w:marLeft w:val="0"/>
      <w:marRight w:val="0"/>
      <w:marTop w:val="0"/>
      <w:marBottom w:val="0"/>
      <w:divBdr>
        <w:top w:val="none" w:sz="0" w:space="0" w:color="auto"/>
        <w:left w:val="none" w:sz="0" w:space="0" w:color="auto"/>
        <w:bottom w:val="none" w:sz="0" w:space="0" w:color="auto"/>
        <w:right w:val="none" w:sz="0" w:space="0" w:color="auto"/>
      </w:divBdr>
    </w:div>
    <w:div w:id="110511706">
      <w:bodyDiv w:val="1"/>
      <w:marLeft w:val="0"/>
      <w:marRight w:val="0"/>
      <w:marTop w:val="0"/>
      <w:marBottom w:val="0"/>
      <w:divBdr>
        <w:top w:val="none" w:sz="0" w:space="0" w:color="auto"/>
        <w:left w:val="none" w:sz="0" w:space="0" w:color="auto"/>
        <w:bottom w:val="none" w:sz="0" w:space="0" w:color="auto"/>
        <w:right w:val="none" w:sz="0" w:space="0" w:color="auto"/>
      </w:divBdr>
    </w:div>
    <w:div w:id="111246629">
      <w:bodyDiv w:val="1"/>
      <w:marLeft w:val="0"/>
      <w:marRight w:val="0"/>
      <w:marTop w:val="0"/>
      <w:marBottom w:val="0"/>
      <w:divBdr>
        <w:top w:val="none" w:sz="0" w:space="0" w:color="auto"/>
        <w:left w:val="none" w:sz="0" w:space="0" w:color="auto"/>
        <w:bottom w:val="none" w:sz="0" w:space="0" w:color="auto"/>
        <w:right w:val="none" w:sz="0" w:space="0" w:color="auto"/>
      </w:divBdr>
    </w:div>
    <w:div w:id="120618028">
      <w:bodyDiv w:val="1"/>
      <w:marLeft w:val="0"/>
      <w:marRight w:val="0"/>
      <w:marTop w:val="0"/>
      <w:marBottom w:val="0"/>
      <w:divBdr>
        <w:top w:val="none" w:sz="0" w:space="0" w:color="auto"/>
        <w:left w:val="none" w:sz="0" w:space="0" w:color="auto"/>
        <w:bottom w:val="none" w:sz="0" w:space="0" w:color="auto"/>
        <w:right w:val="none" w:sz="0" w:space="0" w:color="auto"/>
      </w:divBdr>
    </w:div>
    <w:div w:id="120921124">
      <w:bodyDiv w:val="1"/>
      <w:marLeft w:val="0"/>
      <w:marRight w:val="0"/>
      <w:marTop w:val="0"/>
      <w:marBottom w:val="0"/>
      <w:divBdr>
        <w:top w:val="none" w:sz="0" w:space="0" w:color="auto"/>
        <w:left w:val="none" w:sz="0" w:space="0" w:color="auto"/>
        <w:bottom w:val="none" w:sz="0" w:space="0" w:color="auto"/>
        <w:right w:val="none" w:sz="0" w:space="0" w:color="auto"/>
      </w:divBdr>
    </w:div>
    <w:div w:id="121927694">
      <w:bodyDiv w:val="1"/>
      <w:marLeft w:val="0"/>
      <w:marRight w:val="0"/>
      <w:marTop w:val="0"/>
      <w:marBottom w:val="0"/>
      <w:divBdr>
        <w:top w:val="none" w:sz="0" w:space="0" w:color="auto"/>
        <w:left w:val="none" w:sz="0" w:space="0" w:color="auto"/>
        <w:bottom w:val="none" w:sz="0" w:space="0" w:color="auto"/>
        <w:right w:val="none" w:sz="0" w:space="0" w:color="auto"/>
      </w:divBdr>
    </w:div>
    <w:div w:id="130709132">
      <w:bodyDiv w:val="1"/>
      <w:marLeft w:val="0"/>
      <w:marRight w:val="0"/>
      <w:marTop w:val="0"/>
      <w:marBottom w:val="0"/>
      <w:divBdr>
        <w:top w:val="none" w:sz="0" w:space="0" w:color="auto"/>
        <w:left w:val="none" w:sz="0" w:space="0" w:color="auto"/>
        <w:bottom w:val="none" w:sz="0" w:space="0" w:color="auto"/>
        <w:right w:val="none" w:sz="0" w:space="0" w:color="auto"/>
      </w:divBdr>
    </w:div>
    <w:div w:id="133260163">
      <w:bodyDiv w:val="1"/>
      <w:marLeft w:val="0"/>
      <w:marRight w:val="0"/>
      <w:marTop w:val="0"/>
      <w:marBottom w:val="0"/>
      <w:divBdr>
        <w:top w:val="none" w:sz="0" w:space="0" w:color="auto"/>
        <w:left w:val="none" w:sz="0" w:space="0" w:color="auto"/>
        <w:bottom w:val="none" w:sz="0" w:space="0" w:color="auto"/>
        <w:right w:val="none" w:sz="0" w:space="0" w:color="auto"/>
      </w:divBdr>
    </w:div>
    <w:div w:id="133761305">
      <w:bodyDiv w:val="1"/>
      <w:marLeft w:val="0"/>
      <w:marRight w:val="0"/>
      <w:marTop w:val="0"/>
      <w:marBottom w:val="0"/>
      <w:divBdr>
        <w:top w:val="none" w:sz="0" w:space="0" w:color="auto"/>
        <w:left w:val="none" w:sz="0" w:space="0" w:color="auto"/>
        <w:bottom w:val="none" w:sz="0" w:space="0" w:color="auto"/>
        <w:right w:val="none" w:sz="0" w:space="0" w:color="auto"/>
      </w:divBdr>
    </w:div>
    <w:div w:id="136411457">
      <w:bodyDiv w:val="1"/>
      <w:marLeft w:val="0"/>
      <w:marRight w:val="0"/>
      <w:marTop w:val="0"/>
      <w:marBottom w:val="0"/>
      <w:divBdr>
        <w:top w:val="none" w:sz="0" w:space="0" w:color="auto"/>
        <w:left w:val="none" w:sz="0" w:space="0" w:color="auto"/>
        <w:bottom w:val="none" w:sz="0" w:space="0" w:color="auto"/>
        <w:right w:val="none" w:sz="0" w:space="0" w:color="auto"/>
      </w:divBdr>
    </w:div>
    <w:div w:id="138235304">
      <w:bodyDiv w:val="1"/>
      <w:marLeft w:val="0"/>
      <w:marRight w:val="0"/>
      <w:marTop w:val="0"/>
      <w:marBottom w:val="0"/>
      <w:divBdr>
        <w:top w:val="none" w:sz="0" w:space="0" w:color="auto"/>
        <w:left w:val="none" w:sz="0" w:space="0" w:color="auto"/>
        <w:bottom w:val="none" w:sz="0" w:space="0" w:color="auto"/>
        <w:right w:val="none" w:sz="0" w:space="0" w:color="auto"/>
      </w:divBdr>
    </w:div>
    <w:div w:id="140470198">
      <w:bodyDiv w:val="1"/>
      <w:marLeft w:val="0"/>
      <w:marRight w:val="0"/>
      <w:marTop w:val="0"/>
      <w:marBottom w:val="0"/>
      <w:divBdr>
        <w:top w:val="none" w:sz="0" w:space="0" w:color="auto"/>
        <w:left w:val="none" w:sz="0" w:space="0" w:color="auto"/>
        <w:bottom w:val="none" w:sz="0" w:space="0" w:color="auto"/>
        <w:right w:val="none" w:sz="0" w:space="0" w:color="auto"/>
      </w:divBdr>
    </w:div>
    <w:div w:id="143085564">
      <w:bodyDiv w:val="1"/>
      <w:marLeft w:val="0"/>
      <w:marRight w:val="0"/>
      <w:marTop w:val="0"/>
      <w:marBottom w:val="0"/>
      <w:divBdr>
        <w:top w:val="none" w:sz="0" w:space="0" w:color="auto"/>
        <w:left w:val="none" w:sz="0" w:space="0" w:color="auto"/>
        <w:bottom w:val="none" w:sz="0" w:space="0" w:color="auto"/>
        <w:right w:val="none" w:sz="0" w:space="0" w:color="auto"/>
      </w:divBdr>
    </w:div>
    <w:div w:id="146749230">
      <w:bodyDiv w:val="1"/>
      <w:marLeft w:val="0"/>
      <w:marRight w:val="0"/>
      <w:marTop w:val="0"/>
      <w:marBottom w:val="0"/>
      <w:divBdr>
        <w:top w:val="none" w:sz="0" w:space="0" w:color="auto"/>
        <w:left w:val="none" w:sz="0" w:space="0" w:color="auto"/>
        <w:bottom w:val="none" w:sz="0" w:space="0" w:color="auto"/>
        <w:right w:val="none" w:sz="0" w:space="0" w:color="auto"/>
      </w:divBdr>
    </w:div>
    <w:div w:id="149252113">
      <w:bodyDiv w:val="1"/>
      <w:marLeft w:val="0"/>
      <w:marRight w:val="0"/>
      <w:marTop w:val="0"/>
      <w:marBottom w:val="0"/>
      <w:divBdr>
        <w:top w:val="none" w:sz="0" w:space="0" w:color="auto"/>
        <w:left w:val="none" w:sz="0" w:space="0" w:color="auto"/>
        <w:bottom w:val="none" w:sz="0" w:space="0" w:color="auto"/>
        <w:right w:val="none" w:sz="0" w:space="0" w:color="auto"/>
      </w:divBdr>
    </w:div>
    <w:div w:id="151409539">
      <w:bodyDiv w:val="1"/>
      <w:marLeft w:val="0"/>
      <w:marRight w:val="0"/>
      <w:marTop w:val="0"/>
      <w:marBottom w:val="0"/>
      <w:divBdr>
        <w:top w:val="none" w:sz="0" w:space="0" w:color="auto"/>
        <w:left w:val="none" w:sz="0" w:space="0" w:color="auto"/>
        <w:bottom w:val="none" w:sz="0" w:space="0" w:color="auto"/>
        <w:right w:val="none" w:sz="0" w:space="0" w:color="auto"/>
      </w:divBdr>
    </w:div>
    <w:div w:id="152377544">
      <w:bodyDiv w:val="1"/>
      <w:marLeft w:val="0"/>
      <w:marRight w:val="0"/>
      <w:marTop w:val="0"/>
      <w:marBottom w:val="0"/>
      <w:divBdr>
        <w:top w:val="none" w:sz="0" w:space="0" w:color="auto"/>
        <w:left w:val="none" w:sz="0" w:space="0" w:color="auto"/>
        <w:bottom w:val="none" w:sz="0" w:space="0" w:color="auto"/>
        <w:right w:val="none" w:sz="0" w:space="0" w:color="auto"/>
      </w:divBdr>
    </w:div>
    <w:div w:id="153303266">
      <w:bodyDiv w:val="1"/>
      <w:marLeft w:val="0"/>
      <w:marRight w:val="0"/>
      <w:marTop w:val="0"/>
      <w:marBottom w:val="0"/>
      <w:divBdr>
        <w:top w:val="none" w:sz="0" w:space="0" w:color="auto"/>
        <w:left w:val="none" w:sz="0" w:space="0" w:color="auto"/>
        <w:bottom w:val="none" w:sz="0" w:space="0" w:color="auto"/>
        <w:right w:val="none" w:sz="0" w:space="0" w:color="auto"/>
      </w:divBdr>
    </w:div>
    <w:div w:id="155192189">
      <w:bodyDiv w:val="1"/>
      <w:marLeft w:val="0"/>
      <w:marRight w:val="0"/>
      <w:marTop w:val="0"/>
      <w:marBottom w:val="0"/>
      <w:divBdr>
        <w:top w:val="none" w:sz="0" w:space="0" w:color="auto"/>
        <w:left w:val="none" w:sz="0" w:space="0" w:color="auto"/>
        <w:bottom w:val="none" w:sz="0" w:space="0" w:color="auto"/>
        <w:right w:val="none" w:sz="0" w:space="0" w:color="auto"/>
      </w:divBdr>
    </w:div>
    <w:div w:id="166408606">
      <w:bodyDiv w:val="1"/>
      <w:marLeft w:val="0"/>
      <w:marRight w:val="0"/>
      <w:marTop w:val="0"/>
      <w:marBottom w:val="0"/>
      <w:divBdr>
        <w:top w:val="none" w:sz="0" w:space="0" w:color="auto"/>
        <w:left w:val="none" w:sz="0" w:space="0" w:color="auto"/>
        <w:bottom w:val="none" w:sz="0" w:space="0" w:color="auto"/>
        <w:right w:val="none" w:sz="0" w:space="0" w:color="auto"/>
      </w:divBdr>
    </w:div>
    <w:div w:id="167643626">
      <w:bodyDiv w:val="1"/>
      <w:marLeft w:val="0"/>
      <w:marRight w:val="0"/>
      <w:marTop w:val="0"/>
      <w:marBottom w:val="0"/>
      <w:divBdr>
        <w:top w:val="none" w:sz="0" w:space="0" w:color="auto"/>
        <w:left w:val="none" w:sz="0" w:space="0" w:color="auto"/>
        <w:bottom w:val="none" w:sz="0" w:space="0" w:color="auto"/>
        <w:right w:val="none" w:sz="0" w:space="0" w:color="auto"/>
      </w:divBdr>
    </w:div>
    <w:div w:id="170949212">
      <w:bodyDiv w:val="1"/>
      <w:marLeft w:val="0"/>
      <w:marRight w:val="0"/>
      <w:marTop w:val="0"/>
      <w:marBottom w:val="0"/>
      <w:divBdr>
        <w:top w:val="none" w:sz="0" w:space="0" w:color="auto"/>
        <w:left w:val="none" w:sz="0" w:space="0" w:color="auto"/>
        <w:bottom w:val="none" w:sz="0" w:space="0" w:color="auto"/>
        <w:right w:val="none" w:sz="0" w:space="0" w:color="auto"/>
      </w:divBdr>
    </w:div>
    <w:div w:id="171528732">
      <w:bodyDiv w:val="1"/>
      <w:marLeft w:val="0"/>
      <w:marRight w:val="0"/>
      <w:marTop w:val="0"/>
      <w:marBottom w:val="0"/>
      <w:divBdr>
        <w:top w:val="none" w:sz="0" w:space="0" w:color="auto"/>
        <w:left w:val="none" w:sz="0" w:space="0" w:color="auto"/>
        <w:bottom w:val="none" w:sz="0" w:space="0" w:color="auto"/>
        <w:right w:val="none" w:sz="0" w:space="0" w:color="auto"/>
      </w:divBdr>
    </w:div>
    <w:div w:id="174274723">
      <w:bodyDiv w:val="1"/>
      <w:marLeft w:val="0"/>
      <w:marRight w:val="0"/>
      <w:marTop w:val="0"/>
      <w:marBottom w:val="0"/>
      <w:divBdr>
        <w:top w:val="none" w:sz="0" w:space="0" w:color="auto"/>
        <w:left w:val="none" w:sz="0" w:space="0" w:color="auto"/>
        <w:bottom w:val="none" w:sz="0" w:space="0" w:color="auto"/>
        <w:right w:val="none" w:sz="0" w:space="0" w:color="auto"/>
      </w:divBdr>
    </w:div>
    <w:div w:id="175310325">
      <w:bodyDiv w:val="1"/>
      <w:marLeft w:val="0"/>
      <w:marRight w:val="0"/>
      <w:marTop w:val="0"/>
      <w:marBottom w:val="0"/>
      <w:divBdr>
        <w:top w:val="none" w:sz="0" w:space="0" w:color="auto"/>
        <w:left w:val="none" w:sz="0" w:space="0" w:color="auto"/>
        <w:bottom w:val="none" w:sz="0" w:space="0" w:color="auto"/>
        <w:right w:val="none" w:sz="0" w:space="0" w:color="auto"/>
      </w:divBdr>
    </w:div>
    <w:div w:id="177623771">
      <w:bodyDiv w:val="1"/>
      <w:marLeft w:val="0"/>
      <w:marRight w:val="0"/>
      <w:marTop w:val="0"/>
      <w:marBottom w:val="0"/>
      <w:divBdr>
        <w:top w:val="none" w:sz="0" w:space="0" w:color="auto"/>
        <w:left w:val="none" w:sz="0" w:space="0" w:color="auto"/>
        <w:bottom w:val="none" w:sz="0" w:space="0" w:color="auto"/>
        <w:right w:val="none" w:sz="0" w:space="0" w:color="auto"/>
      </w:divBdr>
    </w:div>
    <w:div w:id="177744815">
      <w:bodyDiv w:val="1"/>
      <w:marLeft w:val="0"/>
      <w:marRight w:val="0"/>
      <w:marTop w:val="0"/>
      <w:marBottom w:val="0"/>
      <w:divBdr>
        <w:top w:val="none" w:sz="0" w:space="0" w:color="auto"/>
        <w:left w:val="none" w:sz="0" w:space="0" w:color="auto"/>
        <w:bottom w:val="none" w:sz="0" w:space="0" w:color="auto"/>
        <w:right w:val="none" w:sz="0" w:space="0" w:color="auto"/>
      </w:divBdr>
    </w:div>
    <w:div w:id="178399109">
      <w:bodyDiv w:val="1"/>
      <w:marLeft w:val="0"/>
      <w:marRight w:val="0"/>
      <w:marTop w:val="0"/>
      <w:marBottom w:val="0"/>
      <w:divBdr>
        <w:top w:val="none" w:sz="0" w:space="0" w:color="auto"/>
        <w:left w:val="none" w:sz="0" w:space="0" w:color="auto"/>
        <w:bottom w:val="none" w:sz="0" w:space="0" w:color="auto"/>
        <w:right w:val="none" w:sz="0" w:space="0" w:color="auto"/>
      </w:divBdr>
    </w:div>
    <w:div w:id="181862788">
      <w:bodyDiv w:val="1"/>
      <w:marLeft w:val="0"/>
      <w:marRight w:val="0"/>
      <w:marTop w:val="0"/>
      <w:marBottom w:val="0"/>
      <w:divBdr>
        <w:top w:val="none" w:sz="0" w:space="0" w:color="auto"/>
        <w:left w:val="none" w:sz="0" w:space="0" w:color="auto"/>
        <w:bottom w:val="none" w:sz="0" w:space="0" w:color="auto"/>
        <w:right w:val="none" w:sz="0" w:space="0" w:color="auto"/>
      </w:divBdr>
    </w:div>
    <w:div w:id="186261154">
      <w:bodyDiv w:val="1"/>
      <w:marLeft w:val="0"/>
      <w:marRight w:val="0"/>
      <w:marTop w:val="0"/>
      <w:marBottom w:val="0"/>
      <w:divBdr>
        <w:top w:val="none" w:sz="0" w:space="0" w:color="auto"/>
        <w:left w:val="none" w:sz="0" w:space="0" w:color="auto"/>
        <w:bottom w:val="none" w:sz="0" w:space="0" w:color="auto"/>
        <w:right w:val="none" w:sz="0" w:space="0" w:color="auto"/>
      </w:divBdr>
    </w:div>
    <w:div w:id="188687238">
      <w:bodyDiv w:val="1"/>
      <w:marLeft w:val="0"/>
      <w:marRight w:val="0"/>
      <w:marTop w:val="0"/>
      <w:marBottom w:val="0"/>
      <w:divBdr>
        <w:top w:val="none" w:sz="0" w:space="0" w:color="auto"/>
        <w:left w:val="none" w:sz="0" w:space="0" w:color="auto"/>
        <w:bottom w:val="none" w:sz="0" w:space="0" w:color="auto"/>
        <w:right w:val="none" w:sz="0" w:space="0" w:color="auto"/>
      </w:divBdr>
    </w:div>
    <w:div w:id="188953485">
      <w:bodyDiv w:val="1"/>
      <w:marLeft w:val="0"/>
      <w:marRight w:val="0"/>
      <w:marTop w:val="0"/>
      <w:marBottom w:val="0"/>
      <w:divBdr>
        <w:top w:val="none" w:sz="0" w:space="0" w:color="auto"/>
        <w:left w:val="none" w:sz="0" w:space="0" w:color="auto"/>
        <w:bottom w:val="none" w:sz="0" w:space="0" w:color="auto"/>
        <w:right w:val="none" w:sz="0" w:space="0" w:color="auto"/>
      </w:divBdr>
    </w:div>
    <w:div w:id="189076193">
      <w:bodyDiv w:val="1"/>
      <w:marLeft w:val="0"/>
      <w:marRight w:val="0"/>
      <w:marTop w:val="0"/>
      <w:marBottom w:val="0"/>
      <w:divBdr>
        <w:top w:val="none" w:sz="0" w:space="0" w:color="auto"/>
        <w:left w:val="none" w:sz="0" w:space="0" w:color="auto"/>
        <w:bottom w:val="none" w:sz="0" w:space="0" w:color="auto"/>
        <w:right w:val="none" w:sz="0" w:space="0" w:color="auto"/>
      </w:divBdr>
    </w:div>
    <w:div w:id="192152880">
      <w:bodyDiv w:val="1"/>
      <w:marLeft w:val="0"/>
      <w:marRight w:val="0"/>
      <w:marTop w:val="0"/>
      <w:marBottom w:val="0"/>
      <w:divBdr>
        <w:top w:val="none" w:sz="0" w:space="0" w:color="auto"/>
        <w:left w:val="none" w:sz="0" w:space="0" w:color="auto"/>
        <w:bottom w:val="none" w:sz="0" w:space="0" w:color="auto"/>
        <w:right w:val="none" w:sz="0" w:space="0" w:color="auto"/>
      </w:divBdr>
    </w:div>
    <w:div w:id="194739230">
      <w:bodyDiv w:val="1"/>
      <w:marLeft w:val="0"/>
      <w:marRight w:val="0"/>
      <w:marTop w:val="0"/>
      <w:marBottom w:val="0"/>
      <w:divBdr>
        <w:top w:val="none" w:sz="0" w:space="0" w:color="auto"/>
        <w:left w:val="none" w:sz="0" w:space="0" w:color="auto"/>
        <w:bottom w:val="none" w:sz="0" w:space="0" w:color="auto"/>
        <w:right w:val="none" w:sz="0" w:space="0" w:color="auto"/>
      </w:divBdr>
    </w:div>
    <w:div w:id="195429070">
      <w:bodyDiv w:val="1"/>
      <w:marLeft w:val="0"/>
      <w:marRight w:val="0"/>
      <w:marTop w:val="0"/>
      <w:marBottom w:val="0"/>
      <w:divBdr>
        <w:top w:val="none" w:sz="0" w:space="0" w:color="auto"/>
        <w:left w:val="none" w:sz="0" w:space="0" w:color="auto"/>
        <w:bottom w:val="none" w:sz="0" w:space="0" w:color="auto"/>
        <w:right w:val="none" w:sz="0" w:space="0" w:color="auto"/>
      </w:divBdr>
    </w:div>
    <w:div w:id="195966080">
      <w:bodyDiv w:val="1"/>
      <w:marLeft w:val="0"/>
      <w:marRight w:val="0"/>
      <w:marTop w:val="0"/>
      <w:marBottom w:val="0"/>
      <w:divBdr>
        <w:top w:val="none" w:sz="0" w:space="0" w:color="auto"/>
        <w:left w:val="none" w:sz="0" w:space="0" w:color="auto"/>
        <w:bottom w:val="none" w:sz="0" w:space="0" w:color="auto"/>
        <w:right w:val="none" w:sz="0" w:space="0" w:color="auto"/>
      </w:divBdr>
    </w:div>
    <w:div w:id="200168526">
      <w:bodyDiv w:val="1"/>
      <w:marLeft w:val="0"/>
      <w:marRight w:val="0"/>
      <w:marTop w:val="0"/>
      <w:marBottom w:val="0"/>
      <w:divBdr>
        <w:top w:val="none" w:sz="0" w:space="0" w:color="auto"/>
        <w:left w:val="none" w:sz="0" w:space="0" w:color="auto"/>
        <w:bottom w:val="none" w:sz="0" w:space="0" w:color="auto"/>
        <w:right w:val="none" w:sz="0" w:space="0" w:color="auto"/>
      </w:divBdr>
    </w:div>
    <w:div w:id="201602201">
      <w:bodyDiv w:val="1"/>
      <w:marLeft w:val="0"/>
      <w:marRight w:val="0"/>
      <w:marTop w:val="0"/>
      <w:marBottom w:val="0"/>
      <w:divBdr>
        <w:top w:val="none" w:sz="0" w:space="0" w:color="auto"/>
        <w:left w:val="none" w:sz="0" w:space="0" w:color="auto"/>
        <w:bottom w:val="none" w:sz="0" w:space="0" w:color="auto"/>
        <w:right w:val="none" w:sz="0" w:space="0" w:color="auto"/>
      </w:divBdr>
    </w:div>
    <w:div w:id="201745490">
      <w:bodyDiv w:val="1"/>
      <w:marLeft w:val="0"/>
      <w:marRight w:val="0"/>
      <w:marTop w:val="0"/>
      <w:marBottom w:val="0"/>
      <w:divBdr>
        <w:top w:val="none" w:sz="0" w:space="0" w:color="auto"/>
        <w:left w:val="none" w:sz="0" w:space="0" w:color="auto"/>
        <w:bottom w:val="none" w:sz="0" w:space="0" w:color="auto"/>
        <w:right w:val="none" w:sz="0" w:space="0" w:color="auto"/>
      </w:divBdr>
    </w:div>
    <w:div w:id="205727920">
      <w:bodyDiv w:val="1"/>
      <w:marLeft w:val="0"/>
      <w:marRight w:val="0"/>
      <w:marTop w:val="0"/>
      <w:marBottom w:val="0"/>
      <w:divBdr>
        <w:top w:val="none" w:sz="0" w:space="0" w:color="auto"/>
        <w:left w:val="none" w:sz="0" w:space="0" w:color="auto"/>
        <w:bottom w:val="none" w:sz="0" w:space="0" w:color="auto"/>
        <w:right w:val="none" w:sz="0" w:space="0" w:color="auto"/>
      </w:divBdr>
    </w:div>
    <w:div w:id="206141895">
      <w:bodyDiv w:val="1"/>
      <w:marLeft w:val="0"/>
      <w:marRight w:val="0"/>
      <w:marTop w:val="0"/>
      <w:marBottom w:val="0"/>
      <w:divBdr>
        <w:top w:val="none" w:sz="0" w:space="0" w:color="auto"/>
        <w:left w:val="none" w:sz="0" w:space="0" w:color="auto"/>
        <w:bottom w:val="none" w:sz="0" w:space="0" w:color="auto"/>
        <w:right w:val="none" w:sz="0" w:space="0" w:color="auto"/>
      </w:divBdr>
    </w:div>
    <w:div w:id="206726724">
      <w:bodyDiv w:val="1"/>
      <w:marLeft w:val="0"/>
      <w:marRight w:val="0"/>
      <w:marTop w:val="0"/>
      <w:marBottom w:val="0"/>
      <w:divBdr>
        <w:top w:val="none" w:sz="0" w:space="0" w:color="auto"/>
        <w:left w:val="none" w:sz="0" w:space="0" w:color="auto"/>
        <w:bottom w:val="none" w:sz="0" w:space="0" w:color="auto"/>
        <w:right w:val="none" w:sz="0" w:space="0" w:color="auto"/>
      </w:divBdr>
    </w:div>
    <w:div w:id="213396963">
      <w:bodyDiv w:val="1"/>
      <w:marLeft w:val="0"/>
      <w:marRight w:val="0"/>
      <w:marTop w:val="0"/>
      <w:marBottom w:val="0"/>
      <w:divBdr>
        <w:top w:val="none" w:sz="0" w:space="0" w:color="auto"/>
        <w:left w:val="none" w:sz="0" w:space="0" w:color="auto"/>
        <w:bottom w:val="none" w:sz="0" w:space="0" w:color="auto"/>
        <w:right w:val="none" w:sz="0" w:space="0" w:color="auto"/>
      </w:divBdr>
    </w:div>
    <w:div w:id="215287775">
      <w:bodyDiv w:val="1"/>
      <w:marLeft w:val="0"/>
      <w:marRight w:val="0"/>
      <w:marTop w:val="0"/>
      <w:marBottom w:val="0"/>
      <w:divBdr>
        <w:top w:val="none" w:sz="0" w:space="0" w:color="auto"/>
        <w:left w:val="none" w:sz="0" w:space="0" w:color="auto"/>
        <w:bottom w:val="none" w:sz="0" w:space="0" w:color="auto"/>
        <w:right w:val="none" w:sz="0" w:space="0" w:color="auto"/>
      </w:divBdr>
    </w:div>
    <w:div w:id="215899331">
      <w:bodyDiv w:val="1"/>
      <w:marLeft w:val="0"/>
      <w:marRight w:val="0"/>
      <w:marTop w:val="0"/>
      <w:marBottom w:val="0"/>
      <w:divBdr>
        <w:top w:val="none" w:sz="0" w:space="0" w:color="auto"/>
        <w:left w:val="none" w:sz="0" w:space="0" w:color="auto"/>
        <w:bottom w:val="none" w:sz="0" w:space="0" w:color="auto"/>
        <w:right w:val="none" w:sz="0" w:space="0" w:color="auto"/>
      </w:divBdr>
    </w:div>
    <w:div w:id="216169395">
      <w:bodyDiv w:val="1"/>
      <w:marLeft w:val="0"/>
      <w:marRight w:val="0"/>
      <w:marTop w:val="0"/>
      <w:marBottom w:val="0"/>
      <w:divBdr>
        <w:top w:val="none" w:sz="0" w:space="0" w:color="auto"/>
        <w:left w:val="none" w:sz="0" w:space="0" w:color="auto"/>
        <w:bottom w:val="none" w:sz="0" w:space="0" w:color="auto"/>
        <w:right w:val="none" w:sz="0" w:space="0" w:color="auto"/>
      </w:divBdr>
    </w:div>
    <w:div w:id="218711316">
      <w:bodyDiv w:val="1"/>
      <w:marLeft w:val="0"/>
      <w:marRight w:val="0"/>
      <w:marTop w:val="0"/>
      <w:marBottom w:val="0"/>
      <w:divBdr>
        <w:top w:val="none" w:sz="0" w:space="0" w:color="auto"/>
        <w:left w:val="none" w:sz="0" w:space="0" w:color="auto"/>
        <w:bottom w:val="none" w:sz="0" w:space="0" w:color="auto"/>
        <w:right w:val="none" w:sz="0" w:space="0" w:color="auto"/>
      </w:divBdr>
    </w:div>
    <w:div w:id="219946115">
      <w:bodyDiv w:val="1"/>
      <w:marLeft w:val="0"/>
      <w:marRight w:val="0"/>
      <w:marTop w:val="0"/>
      <w:marBottom w:val="0"/>
      <w:divBdr>
        <w:top w:val="none" w:sz="0" w:space="0" w:color="auto"/>
        <w:left w:val="none" w:sz="0" w:space="0" w:color="auto"/>
        <w:bottom w:val="none" w:sz="0" w:space="0" w:color="auto"/>
        <w:right w:val="none" w:sz="0" w:space="0" w:color="auto"/>
      </w:divBdr>
    </w:div>
    <w:div w:id="221406475">
      <w:bodyDiv w:val="1"/>
      <w:marLeft w:val="0"/>
      <w:marRight w:val="0"/>
      <w:marTop w:val="0"/>
      <w:marBottom w:val="0"/>
      <w:divBdr>
        <w:top w:val="none" w:sz="0" w:space="0" w:color="auto"/>
        <w:left w:val="none" w:sz="0" w:space="0" w:color="auto"/>
        <w:bottom w:val="none" w:sz="0" w:space="0" w:color="auto"/>
        <w:right w:val="none" w:sz="0" w:space="0" w:color="auto"/>
      </w:divBdr>
    </w:div>
    <w:div w:id="224335831">
      <w:bodyDiv w:val="1"/>
      <w:marLeft w:val="0"/>
      <w:marRight w:val="0"/>
      <w:marTop w:val="0"/>
      <w:marBottom w:val="0"/>
      <w:divBdr>
        <w:top w:val="none" w:sz="0" w:space="0" w:color="auto"/>
        <w:left w:val="none" w:sz="0" w:space="0" w:color="auto"/>
        <w:bottom w:val="none" w:sz="0" w:space="0" w:color="auto"/>
        <w:right w:val="none" w:sz="0" w:space="0" w:color="auto"/>
      </w:divBdr>
    </w:div>
    <w:div w:id="227764369">
      <w:bodyDiv w:val="1"/>
      <w:marLeft w:val="0"/>
      <w:marRight w:val="0"/>
      <w:marTop w:val="0"/>
      <w:marBottom w:val="0"/>
      <w:divBdr>
        <w:top w:val="none" w:sz="0" w:space="0" w:color="auto"/>
        <w:left w:val="none" w:sz="0" w:space="0" w:color="auto"/>
        <w:bottom w:val="none" w:sz="0" w:space="0" w:color="auto"/>
        <w:right w:val="none" w:sz="0" w:space="0" w:color="auto"/>
      </w:divBdr>
    </w:div>
    <w:div w:id="228421337">
      <w:bodyDiv w:val="1"/>
      <w:marLeft w:val="0"/>
      <w:marRight w:val="0"/>
      <w:marTop w:val="0"/>
      <w:marBottom w:val="0"/>
      <w:divBdr>
        <w:top w:val="none" w:sz="0" w:space="0" w:color="auto"/>
        <w:left w:val="none" w:sz="0" w:space="0" w:color="auto"/>
        <w:bottom w:val="none" w:sz="0" w:space="0" w:color="auto"/>
        <w:right w:val="none" w:sz="0" w:space="0" w:color="auto"/>
      </w:divBdr>
    </w:div>
    <w:div w:id="232547022">
      <w:bodyDiv w:val="1"/>
      <w:marLeft w:val="0"/>
      <w:marRight w:val="0"/>
      <w:marTop w:val="0"/>
      <w:marBottom w:val="0"/>
      <w:divBdr>
        <w:top w:val="none" w:sz="0" w:space="0" w:color="auto"/>
        <w:left w:val="none" w:sz="0" w:space="0" w:color="auto"/>
        <w:bottom w:val="none" w:sz="0" w:space="0" w:color="auto"/>
        <w:right w:val="none" w:sz="0" w:space="0" w:color="auto"/>
      </w:divBdr>
    </w:div>
    <w:div w:id="234824679">
      <w:bodyDiv w:val="1"/>
      <w:marLeft w:val="0"/>
      <w:marRight w:val="0"/>
      <w:marTop w:val="0"/>
      <w:marBottom w:val="0"/>
      <w:divBdr>
        <w:top w:val="none" w:sz="0" w:space="0" w:color="auto"/>
        <w:left w:val="none" w:sz="0" w:space="0" w:color="auto"/>
        <w:bottom w:val="none" w:sz="0" w:space="0" w:color="auto"/>
        <w:right w:val="none" w:sz="0" w:space="0" w:color="auto"/>
      </w:divBdr>
    </w:div>
    <w:div w:id="239024898">
      <w:bodyDiv w:val="1"/>
      <w:marLeft w:val="0"/>
      <w:marRight w:val="0"/>
      <w:marTop w:val="0"/>
      <w:marBottom w:val="0"/>
      <w:divBdr>
        <w:top w:val="none" w:sz="0" w:space="0" w:color="auto"/>
        <w:left w:val="none" w:sz="0" w:space="0" w:color="auto"/>
        <w:bottom w:val="none" w:sz="0" w:space="0" w:color="auto"/>
        <w:right w:val="none" w:sz="0" w:space="0" w:color="auto"/>
      </w:divBdr>
    </w:div>
    <w:div w:id="240217072">
      <w:bodyDiv w:val="1"/>
      <w:marLeft w:val="0"/>
      <w:marRight w:val="0"/>
      <w:marTop w:val="0"/>
      <w:marBottom w:val="0"/>
      <w:divBdr>
        <w:top w:val="none" w:sz="0" w:space="0" w:color="auto"/>
        <w:left w:val="none" w:sz="0" w:space="0" w:color="auto"/>
        <w:bottom w:val="none" w:sz="0" w:space="0" w:color="auto"/>
        <w:right w:val="none" w:sz="0" w:space="0" w:color="auto"/>
      </w:divBdr>
    </w:div>
    <w:div w:id="241568814">
      <w:bodyDiv w:val="1"/>
      <w:marLeft w:val="0"/>
      <w:marRight w:val="0"/>
      <w:marTop w:val="0"/>
      <w:marBottom w:val="0"/>
      <w:divBdr>
        <w:top w:val="none" w:sz="0" w:space="0" w:color="auto"/>
        <w:left w:val="none" w:sz="0" w:space="0" w:color="auto"/>
        <w:bottom w:val="none" w:sz="0" w:space="0" w:color="auto"/>
        <w:right w:val="none" w:sz="0" w:space="0" w:color="auto"/>
      </w:divBdr>
    </w:div>
    <w:div w:id="242839165">
      <w:bodyDiv w:val="1"/>
      <w:marLeft w:val="0"/>
      <w:marRight w:val="0"/>
      <w:marTop w:val="0"/>
      <w:marBottom w:val="0"/>
      <w:divBdr>
        <w:top w:val="none" w:sz="0" w:space="0" w:color="auto"/>
        <w:left w:val="none" w:sz="0" w:space="0" w:color="auto"/>
        <w:bottom w:val="none" w:sz="0" w:space="0" w:color="auto"/>
        <w:right w:val="none" w:sz="0" w:space="0" w:color="auto"/>
      </w:divBdr>
    </w:div>
    <w:div w:id="246424629">
      <w:bodyDiv w:val="1"/>
      <w:marLeft w:val="0"/>
      <w:marRight w:val="0"/>
      <w:marTop w:val="0"/>
      <w:marBottom w:val="0"/>
      <w:divBdr>
        <w:top w:val="none" w:sz="0" w:space="0" w:color="auto"/>
        <w:left w:val="none" w:sz="0" w:space="0" w:color="auto"/>
        <w:bottom w:val="none" w:sz="0" w:space="0" w:color="auto"/>
        <w:right w:val="none" w:sz="0" w:space="0" w:color="auto"/>
      </w:divBdr>
    </w:div>
    <w:div w:id="250505502">
      <w:bodyDiv w:val="1"/>
      <w:marLeft w:val="0"/>
      <w:marRight w:val="0"/>
      <w:marTop w:val="0"/>
      <w:marBottom w:val="0"/>
      <w:divBdr>
        <w:top w:val="none" w:sz="0" w:space="0" w:color="auto"/>
        <w:left w:val="none" w:sz="0" w:space="0" w:color="auto"/>
        <w:bottom w:val="none" w:sz="0" w:space="0" w:color="auto"/>
        <w:right w:val="none" w:sz="0" w:space="0" w:color="auto"/>
      </w:divBdr>
    </w:div>
    <w:div w:id="251621580">
      <w:bodyDiv w:val="1"/>
      <w:marLeft w:val="0"/>
      <w:marRight w:val="0"/>
      <w:marTop w:val="0"/>
      <w:marBottom w:val="0"/>
      <w:divBdr>
        <w:top w:val="none" w:sz="0" w:space="0" w:color="auto"/>
        <w:left w:val="none" w:sz="0" w:space="0" w:color="auto"/>
        <w:bottom w:val="none" w:sz="0" w:space="0" w:color="auto"/>
        <w:right w:val="none" w:sz="0" w:space="0" w:color="auto"/>
      </w:divBdr>
    </w:div>
    <w:div w:id="253630997">
      <w:bodyDiv w:val="1"/>
      <w:marLeft w:val="0"/>
      <w:marRight w:val="0"/>
      <w:marTop w:val="0"/>
      <w:marBottom w:val="0"/>
      <w:divBdr>
        <w:top w:val="none" w:sz="0" w:space="0" w:color="auto"/>
        <w:left w:val="none" w:sz="0" w:space="0" w:color="auto"/>
        <w:bottom w:val="none" w:sz="0" w:space="0" w:color="auto"/>
        <w:right w:val="none" w:sz="0" w:space="0" w:color="auto"/>
      </w:divBdr>
    </w:div>
    <w:div w:id="257567964">
      <w:bodyDiv w:val="1"/>
      <w:marLeft w:val="0"/>
      <w:marRight w:val="0"/>
      <w:marTop w:val="0"/>
      <w:marBottom w:val="0"/>
      <w:divBdr>
        <w:top w:val="none" w:sz="0" w:space="0" w:color="auto"/>
        <w:left w:val="none" w:sz="0" w:space="0" w:color="auto"/>
        <w:bottom w:val="none" w:sz="0" w:space="0" w:color="auto"/>
        <w:right w:val="none" w:sz="0" w:space="0" w:color="auto"/>
      </w:divBdr>
    </w:div>
    <w:div w:id="258103647">
      <w:bodyDiv w:val="1"/>
      <w:marLeft w:val="0"/>
      <w:marRight w:val="0"/>
      <w:marTop w:val="0"/>
      <w:marBottom w:val="0"/>
      <w:divBdr>
        <w:top w:val="none" w:sz="0" w:space="0" w:color="auto"/>
        <w:left w:val="none" w:sz="0" w:space="0" w:color="auto"/>
        <w:bottom w:val="none" w:sz="0" w:space="0" w:color="auto"/>
        <w:right w:val="none" w:sz="0" w:space="0" w:color="auto"/>
      </w:divBdr>
    </w:div>
    <w:div w:id="258418331">
      <w:bodyDiv w:val="1"/>
      <w:marLeft w:val="0"/>
      <w:marRight w:val="0"/>
      <w:marTop w:val="0"/>
      <w:marBottom w:val="0"/>
      <w:divBdr>
        <w:top w:val="none" w:sz="0" w:space="0" w:color="auto"/>
        <w:left w:val="none" w:sz="0" w:space="0" w:color="auto"/>
        <w:bottom w:val="none" w:sz="0" w:space="0" w:color="auto"/>
        <w:right w:val="none" w:sz="0" w:space="0" w:color="auto"/>
      </w:divBdr>
    </w:div>
    <w:div w:id="258804562">
      <w:bodyDiv w:val="1"/>
      <w:marLeft w:val="0"/>
      <w:marRight w:val="0"/>
      <w:marTop w:val="0"/>
      <w:marBottom w:val="0"/>
      <w:divBdr>
        <w:top w:val="none" w:sz="0" w:space="0" w:color="auto"/>
        <w:left w:val="none" w:sz="0" w:space="0" w:color="auto"/>
        <w:bottom w:val="none" w:sz="0" w:space="0" w:color="auto"/>
        <w:right w:val="none" w:sz="0" w:space="0" w:color="auto"/>
      </w:divBdr>
    </w:div>
    <w:div w:id="260993543">
      <w:bodyDiv w:val="1"/>
      <w:marLeft w:val="0"/>
      <w:marRight w:val="0"/>
      <w:marTop w:val="0"/>
      <w:marBottom w:val="0"/>
      <w:divBdr>
        <w:top w:val="none" w:sz="0" w:space="0" w:color="auto"/>
        <w:left w:val="none" w:sz="0" w:space="0" w:color="auto"/>
        <w:bottom w:val="none" w:sz="0" w:space="0" w:color="auto"/>
        <w:right w:val="none" w:sz="0" w:space="0" w:color="auto"/>
      </w:divBdr>
    </w:div>
    <w:div w:id="268124391">
      <w:bodyDiv w:val="1"/>
      <w:marLeft w:val="0"/>
      <w:marRight w:val="0"/>
      <w:marTop w:val="0"/>
      <w:marBottom w:val="0"/>
      <w:divBdr>
        <w:top w:val="none" w:sz="0" w:space="0" w:color="auto"/>
        <w:left w:val="none" w:sz="0" w:space="0" w:color="auto"/>
        <w:bottom w:val="none" w:sz="0" w:space="0" w:color="auto"/>
        <w:right w:val="none" w:sz="0" w:space="0" w:color="auto"/>
      </w:divBdr>
    </w:div>
    <w:div w:id="268977646">
      <w:bodyDiv w:val="1"/>
      <w:marLeft w:val="0"/>
      <w:marRight w:val="0"/>
      <w:marTop w:val="0"/>
      <w:marBottom w:val="0"/>
      <w:divBdr>
        <w:top w:val="none" w:sz="0" w:space="0" w:color="auto"/>
        <w:left w:val="none" w:sz="0" w:space="0" w:color="auto"/>
        <w:bottom w:val="none" w:sz="0" w:space="0" w:color="auto"/>
        <w:right w:val="none" w:sz="0" w:space="0" w:color="auto"/>
      </w:divBdr>
    </w:div>
    <w:div w:id="272711553">
      <w:bodyDiv w:val="1"/>
      <w:marLeft w:val="0"/>
      <w:marRight w:val="0"/>
      <w:marTop w:val="0"/>
      <w:marBottom w:val="0"/>
      <w:divBdr>
        <w:top w:val="none" w:sz="0" w:space="0" w:color="auto"/>
        <w:left w:val="none" w:sz="0" w:space="0" w:color="auto"/>
        <w:bottom w:val="none" w:sz="0" w:space="0" w:color="auto"/>
        <w:right w:val="none" w:sz="0" w:space="0" w:color="auto"/>
      </w:divBdr>
    </w:div>
    <w:div w:id="273102097">
      <w:bodyDiv w:val="1"/>
      <w:marLeft w:val="0"/>
      <w:marRight w:val="0"/>
      <w:marTop w:val="0"/>
      <w:marBottom w:val="0"/>
      <w:divBdr>
        <w:top w:val="none" w:sz="0" w:space="0" w:color="auto"/>
        <w:left w:val="none" w:sz="0" w:space="0" w:color="auto"/>
        <w:bottom w:val="none" w:sz="0" w:space="0" w:color="auto"/>
        <w:right w:val="none" w:sz="0" w:space="0" w:color="auto"/>
      </w:divBdr>
    </w:div>
    <w:div w:id="277031571">
      <w:bodyDiv w:val="1"/>
      <w:marLeft w:val="0"/>
      <w:marRight w:val="0"/>
      <w:marTop w:val="0"/>
      <w:marBottom w:val="0"/>
      <w:divBdr>
        <w:top w:val="none" w:sz="0" w:space="0" w:color="auto"/>
        <w:left w:val="none" w:sz="0" w:space="0" w:color="auto"/>
        <w:bottom w:val="none" w:sz="0" w:space="0" w:color="auto"/>
        <w:right w:val="none" w:sz="0" w:space="0" w:color="auto"/>
      </w:divBdr>
    </w:div>
    <w:div w:id="278757218">
      <w:bodyDiv w:val="1"/>
      <w:marLeft w:val="0"/>
      <w:marRight w:val="0"/>
      <w:marTop w:val="0"/>
      <w:marBottom w:val="0"/>
      <w:divBdr>
        <w:top w:val="none" w:sz="0" w:space="0" w:color="auto"/>
        <w:left w:val="none" w:sz="0" w:space="0" w:color="auto"/>
        <w:bottom w:val="none" w:sz="0" w:space="0" w:color="auto"/>
        <w:right w:val="none" w:sz="0" w:space="0" w:color="auto"/>
      </w:divBdr>
    </w:div>
    <w:div w:id="281157268">
      <w:bodyDiv w:val="1"/>
      <w:marLeft w:val="0"/>
      <w:marRight w:val="0"/>
      <w:marTop w:val="0"/>
      <w:marBottom w:val="0"/>
      <w:divBdr>
        <w:top w:val="none" w:sz="0" w:space="0" w:color="auto"/>
        <w:left w:val="none" w:sz="0" w:space="0" w:color="auto"/>
        <w:bottom w:val="none" w:sz="0" w:space="0" w:color="auto"/>
        <w:right w:val="none" w:sz="0" w:space="0" w:color="auto"/>
      </w:divBdr>
    </w:div>
    <w:div w:id="282274397">
      <w:bodyDiv w:val="1"/>
      <w:marLeft w:val="0"/>
      <w:marRight w:val="0"/>
      <w:marTop w:val="0"/>
      <w:marBottom w:val="0"/>
      <w:divBdr>
        <w:top w:val="none" w:sz="0" w:space="0" w:color="auto"/>
        <w:left w:val="none" w:sz="0" w:space="0" w:color="auto"/>
        <w:bottom w:val="none" w:sz="0" w:space="0" w:color="auto"/>
        <w:right w:val="none" w:sz="0" w:space="0" w:color="auto"/>
      </w:divBdr>
    </w:div>
    <w:div w:id="282731551">
      <w:bodyDiv w:val="1"/>
      <w:marLeft w:val="0"/>
      <w:marRight w:val="0"/>
      <w:marTop w:val="0"/>
      <w:marBottom w:val="0"/>
      <w:divBdr>
        <w:top w:val="none" w:sz="0" w:space="0" w:color="auto"/>
        <w:left w:val="none" w:sz="0" w:space="0" w:color="auto"/>
        <w:bottom w:val="none" w:sz="0" w:space="0" w:color="auto"/>
        <w:right w:val="none" w:sz="0" w:space="0" w:color="auto"/>
      </w:divBdr>
    </w:div>
    <w:div w:id="290406362">
      <w:bodyDiv w:val="1"/>
      <w:marLeft w:val="0"/>
      <w:marRight w:val="0"/>
      <w:marTop w:val="0"/>
      <w:marBottom w:val="0"/>
      <w:divBdr>
        <w:top w:val="none" w:sz="0" w:space="0" w:color="auto"/>
        <w:left w:val="none" w:sz="0" w:space="0" w:color="auto"/>
        <w:bottom w:val="none" w:sz="0" w:space="0" w:color="auto"/>
        <w:right w:val="none" w:sz="0" w:space="0" w:color="auto"/>
      </w:divBdr>
    </w:div>
    <w:div w:id="297227724">
      <w:bodyDiv w:val="1"/>
      <w:marLeft w:val="0"/>
      <w:marRight w:val="0"/>
      <w:marTop w:val="0"/>
      <w:marBottom w:val="0"/>
      <w:divBdr>
        <w:top w:val="none" w:sz="0" w:space="0" w:color="auto"/>
        <w:left w:val="none" w:sz="0" w:space="0" w:color="auto"/>
        <w:bottom w:val="none" w:sz="0" w:space="0" w:color="auto"/>
        <w:right w:val="none" w:sz="0" w:space="0" w:color="auto"/>
      </w:divBdr>
    </w:div>
    <w:div w:id="297540676">
      <w:bodyDiv w:val="1"/>
      <w:marLeft w:val="0"/>
      <w:marRight w:val="0"/>
      <w:marTop w:val="0"/>
      <w:marBottom w:val="0"/>
      <w:divBdr>
        <w:top w:val="none" w:sz="0" w:space="0" w:color="auto"/>
        <w:left w:val="none" w:sz="0" w:space="0" w:color="auto"/>
        <w:bottom w:val="none" w:sz="0" w:space="0" w:color="auto"/>
        <w:right w:val="none" w:sz="0" w:space="0" w:color="auto"/>
      </w:divBdr>
    </w:div>
    <w:div w:id="298727373">
      <w:bodyDiv w:val="1"/>
      <w:marLeft w:val="0"/>
      <w:marRight w:val="0"/>
      <w:marTop w:val="0"/>
      <w:marBottom w:val="0"/>
      <w:divBdr>
        <w:top w:val="none" w:sz="0" w:space="0" w:color="auto"/>
        <w:left w:val="none" w:sz="0" w:space="0" w:color="auto"/>
        <w:bottom w:val="none" w:sz="0" w:space="0" w:color="auto"/>
        <w:right w:val="none" w:sz="0" w:space="0" w:color="auto"/>
      </w:divBdr>
    </w:div>
    <w:div w:id="300500850">
      <w:bodyDiv w:val="1"/>
      <w:marLeft w:val="0"/>
      <w:marRight w:val="0"/>
      <w:marTop w:val="0"/>
      <w:marBottom w:val="0"/>
      <w:divBdr>
        <w:top w:val="none" w:sz="0" w:space="0" w:color="auto"/>
        <w:left w:val="none" w:sz="0" w:space="0" w:color="auto"/>
        <w:bottom w:val="none" w:sz="0" w:space="0" w:color="auto"/>
        <w:right w:val="none" w:sz="0" w:space="0" w:color="auto"/>
      </w:divBdr>
    </w:div>
    <w:div w:id="300884045">
      <w:bodyDiv w:val="1"/>
      <w:marLeft w:val="0"/>
      <w:marRight w:val="0"/>
      <w:marTop w:val="0"/>
      <w:marBottom w:val="0"/>
      <w:divBdr>
        <w:top w:val="none" w:sz="0" w:space="0" w:color="auto"/>
        <w:left w:val="none" w:sz="0" w:space="0" w:color="auto"/>
        <w:bottom w:val="none" w:sz="0" w:space="0" w:color="auto"/>
        <w:right w:val="none" w:sz="0" w:space="0" w:color="auto"/>
      </w:divBdr>
    </w:div>
    <w:div w:id="301694785">
      <w:bodyDiv w:val="1"/>
      <w:marLeft w:val="0"/>
      <w:marRight w:val="0"/>
      <w:marTop w:val="0"/>
      <w:marBottom w:val="0"/>
      <w:divBdr>
        <w:top w:val="none" w:sz="0" w:space="0" w:color="auto"/>
        <w:left w:val="none" w:sz="0" w:space="0" w:color="auto"/>
        <w:bottom w:val="none" w:sz="0" w:space="0" w:color="auto"/>
        <w:right w:val="none" w:sz="0" w:space="0" w:color="auto"/>
      </w:divBdr>
    </w:div>
    <w:div w:id="304235334">
      <w:bodyDiv w:val="1"/>
      <w:marLeft w:val="0"/>
      <w:marRight w:val="0"/>
      <w:marTop w:val="0"/>
      <w:marBottom w:val="0"/>
      <w:divBdr>
        <w:top w:val="none" w:sz="0" w:space="0" w:color="auto"/>
        <w:left w:val="none" w:sz="0" w:space="0" w:color="auto"/>
        <w:bottom w:val="none" w:sz="0" w:space="0" w:color="auto"/>
        <w:right w:val="none" w:sz="0" w:space="0" w:color="auto"/>
      </w:divBdr>
    </w:div>
    <w:div w:id="305014160">
      <w:bodyDiv w:val="1"/>
      <w:marLeft w:val="0"/>
      <w:marRight w:val="0"/>
      <w:marTop w:val="0"/>
      <w:marBottom w:val="0"/>
      <w:divBdr>
        <w:top w:val="none" w:sz="0" w:space="0" w:color="auto"/>
        <w:left w:val="none" w:sz="0" w:space="0" w:color="auto"/>
        <w:bottom w:val="none" w:sz="0" w:space="0" w:color="auto"/>
        <w:right w:val="none" w:sz="0" w:space="0" w:color="auto"/>
      </w:divBdr>
    </w:div>
    <w:div w:id="310402660">
      <w:bodyDiv w:val="1"/>
      <w:marLeft w:val="0"/>
      <w:marRight w:val="0"/>
      <w:marTop w:val="0"/>
      <w:marBottom w:val="0"/>
      <w:divBdr>
        <w:top w:val="none" w:sz="0" w:space="0" w:color="auto"/>
        <w:left w:val="none" w:sz="0" w:space="0" w:color="auto"/>
        <w:bottom w:val="none" w:sz="0" w:space="0" w:color="auto"/>
        <w:right w:val="none" w:sz="0" w:space="0" w:color="auto"/>
      </w:divBdr>
    </w:div>
    <w:div w:id="311756459">
      <w:bodyDiv w:val="1"/>
      <w:marLeft w:val="0"/>
      <w:marRight w:val="0"/>
      <w:marTop w:val="0"/>
      <w:marBottom w:val="0"/>
      <w:divBdr>
        <w:top w:val="none" w:sz="0" w:space="0" w:color="auto"/>
        <w:left w:val="none" w:sz="0" w:space="0" w:color="auto"/>
        <w:bottom w:val="none" w:sz="0" w:space="0" w:color="auto"/>
        <w:right w:val="none" w:sz="0" w:space="0" w:color="auto"/>
      </w:divBdr>
    </w:div>
    <w:div w:id="312487838">
      <w:bodyDiv w:val="1"/>
      <w:marLeft w:val="0"/>
      <w:marRight w:val="0"/>
      <w:marTop w:val="0"/>
      <w:marBottom w:val="0"/>
      <w:divBdr>
        <w:top w:val="none" w:sz="0" w:space="0" w:color="auto"/>
        <w:left w:val="none" w:sz="0" w:space="0" w:color="auto"/>
        <w:bottom w:val="none" w:sz="0" w:space="0" w:color="auto"/>
        <w:right w:val="none" w:sz="0" w:space="0" w:color="auto"/>
      </w:divBdr>
    </w:div>
    <w:div w:id="313724565">
      <w:bodyDiv w:val="1"/>
      <w:marLeft w:val="0"/>
      <w:marRight w:val="0"/>
      <w:marTop w:val="0"/>
      <w:marBottom w:val="0"/>
      <w:divBdr>
        <w:top w:val="none" w:sz="0" w:space="0" w:color="auto"/>
        <w:left w:val="none" w:sz="0" w:space="0" w:color="auto"/>
        <w:bottom w:val="none" w:sz="0" w:space="0" w:color="auto"/>
        <w:right w:val="none" w:sz="0" w:space="0" w:color="auto"/>
      </w:divBdr>
    </w:div>
    <w:div w:id="314379925">
      <w:bodyDiv w:val="1"/>
      <w:marLeft w:val="0"/>
      <w:marRight w:val="0"/>
      <w:marTop w:val="0"/>
      <w:marBottom w:val="0"/>
      <w:divBdr>
        <w:top w:val="none" w:sz="0" w:space="0" w:color="auto"/>
        <w:left w:val="none" w:sz="0" w:space="0" w:color="auto"/>
        <w:bottom w:val="none" w:sz="0" w:space="0" w:color="auto"/>
        <w:right w:val="none" w:sz="0" w:space="0" w:color="auto"/>
      </w:divBdr>
    </w:div>
    <w:div w:id="320084522">
      <w:bodyDiv w:val="1"/>
      <w:marLeft w:val="0"/>
      <w:marRight w:val="0"/>
      <w:marTop w:val="0"/>
      <w:marBottom w:val="0"/>
      <w:divBdr>
        <w:top w:val="none" w:sz="0" w:space="0" w:color="auto"/>
        <w:left w:val="none" w:sz="0" w:space="0" w:color="auto"/>
        <w:bottom w:val="none" w:sz="0" w:space="0" w:color="auto"/>
        <w:right w:val="none" w:sz="0" w:space="0" w:color="auto"/>
      </w:divBdr>
    </w:div>
    <w:div w:id="325517422">
      <w:bodyDiv w:val="1"/>
      <w:marLeft w:val="0"/>
      <w:marRight w:val="0"/>
      <w:marTop w:val="0"/>
      <w:marBottom w:val="0"/>
      <w:divBdr>
        <w:top w:val="none" w:sz="0" w:space="0" w:color="auto"/>
        <w:left w:val="none" w:sz="0" w:space="0" w:color="auto"/>
        <w:bottom w:val="none" w:sz="0" w:space="0" w:color="auto"/>
        <w:right w:val="none" w:sz="0" w:space="0" w:color="auto"/>
      </w:divBdr>
    </w:div>
    <w:div w:id="330717411">
      <w:bodyDiv w:val="1"/>
      <w:marLeft w:val="0"/>
      <w:marRight w:val="0"/>
      <w:marTop w:val="0"/>
      <w:marBottom w:val="0"/>
      <w:divBdr>
        <w:top w:val="none" w:sz="0" w:space="0" w:color="auto"/>
        <w:left w:val="none" w:sz="0" w:space="0" w:color="auto"/>
        <w:bottom w:val="none" w:sz="0" w:space="0" w:color="auto"/>
        <w:right w:val="none" w:sz="0" w:space="0" w:color="auto"/>
      </w:divBdr>
    </w:div>
    <w:div w:id="336464868">
      <w:bodyDiv w:val="1"/>
      <w:marLeft w:val="0"/>
      <w:marRight w:val="0"/>
      <w:marTop w:val="0"/>
      <w:marBottom w:val="0"/>
      <w:divBdr>
        <w:top w:val="none" w:sz="0" w:space="0" w:color="auto"/>
        <w:left w:val="none" w:sz="0" w:space="0" w:color="auto"/>
        <w:bottom w:val="none" w:sz="0" w:space="0" w:color="auto"/>
        <w:right w:val="none" w:sz="0" w:space="0" w:color="auto"/>
      </w:divBdr>
    </w:div>
    <w:div w:id="337075203">
      <w:bodyDiv w:val="1"/>
      <w:marLeft w:val="0"/>
      <w:marRight w:val="0"/>
      <w:marTop w:val="0"/>
      <w:marBottom w:val="0"/>
      <w:divBdr>
        <w:top w:val="none" w:sz="0" w:space="0" w:color="auto"/>
        <w:left w:val="none" w:sz="0" w:space="0" w:color="auto"/>
        <w:bottom w:val="none" w:sz="0" w:space="0" w:color="auto"/>
        <w:right w:val="none" w:sz="0" w:space="0" w:color="auto"/>
      </w:divBdr>
    </w:div>
    <w:div w:id="337387405">
      <w:bodyDiv w:val="1"/>
      <w:marLeft w:val="0"/>
      <w:marRight w:val="0"/>
      <w:marTop w:val="0"/>
      <w:marBottom w:val="0"/>
      <w:divBdr>
        <w:top w:val="none" w:sz="0" w:space="0" w:color="auto"/>
        <w:left w:val="none" w:sz="0" w:space="0" w:color="auto"/>
        <w:bottom w:val="none" w:sz="0" w:space="0" w:color="auto"/>
        <w:right w:val="none" w:sz="0" w:space="0" w:color="auto"/>
      </w:divBdr>
    </w:div>
    <w:div w:id="338510595">
      <w:bodyDiv w:val="1"/>
      <w:marLeft w:val="0"/>
      <w:marRight w:val="0"/>
      <w:marTop w:val="0"/>
      <w:marBottom w:val="0"/>
      <w:divBdr>
        <w:top w:val="none" w:sz="0" w:space="0" w:color="auto"/>
        <w:left w:val="none" w:sz="0" w:space="0" w:color="auto"/>
        <w:bottom w:val="none" w:sz="0" w:space="0" w:color="auto"/>
        <w:right w:val="none" w:sz="0" w:space="0" w:color="auto"/>
      </w:divBdr>
    </w:div>
    <w:div w:id="342318114">
      <w:bodyDiv w:val="1"/>
      <w:marLeft w:val="0"/>
      <w:marRight w:val="0"/>
      <w:marTop w:val="0"/>
      <w:marBottom w:val="0"/>
      <w:divBdr>
        <w:top w:val="none" w:sz="0" w:space="0" w:color="auto"/>
        <w:left w:val="none" w:sz="0" w:space="0" w:color="auto"/>
        <w:bottom w:val="none" w:sz="0" w:space="0" w:color="auto"/>
        <w:right w:val="none" w:sz="0" w:space="0" w:color="auto"/>
      </w:divBdr>
    </w:div>
    <w:div w:id="349992063">
      <w:bodyDiv w:val="1"/>
      <w:marLeft w:val="0"/>
      <w:marRight w:val="0"/>
      <w:marTop w:val="0"/>
      <w:marBottom w:val="0"/>
      <w:divBdr>
        <w:top w:val="none" w:sz="0" w:space="0" w:color="auto"/>
        <w:left w:val="none" w:sz="0" w:space="0" w:color="auto"/>
        <w:bottom w:val="none" w:sz="0" w:space="0" w:color="auto"/>
        <w:right w:val="none" w:sz="0" w:space="0" w:color="auto"/>
      </w:divBdr>
    </w:div>
    <w:div w:id="350037389">
      <w:bodyDiv w:val="1"/>
      <w:marLeft w:val="0"/>
      <w:marRight w:val="0"/>
      <w:marTop w:val="0"/>
      <w:marBottom w:val="0"/>
      <w:divBdr>
        <w:top w:val="none" w:sz="0" w:space="0" w:color="auto"/>
        <w:left w:val="none" w:sz="0" w:space="0" w:color="auto"/>
        <w:bottom w:val="none" w:sz="0" w:space="0" w:color="auto"/>
        <w:right w:val="none" w:sz="0" w:space="0" w:color="auto"/>
      </w:divBdr>
    </w:div>
    <w:div w:id="352725836">
      <w:bodyDiv w:val="1"/>
      <w:marLeft w:val="0"/>
      <w:marRight w:val="0"/>
      <w:marTop w:val="0"/>
      <w:marBottom w:val="0"/>
      <w:divBdr>
        <w:top w:val="none" w:sz="0" w:space="0" w:color="auto"/>
        <w:left w:val="none" w:sz="0" w:space="0" w:color="auto"/>
        <w:bottom w:val="none" w:sz="0" w:space="0" w:color="auto"/>
        <w:right w:val="none" w:sz="0" w:space="0" w:color="auto"/>
      </w:divBdr>
    </w:div>
    <w:div w:id="353698041">
      <w:bodyDiv w:val="1"/>
      <w:marLeft w:val="0"/>
      <w:marRight w:val="0"/>
      <w:marTop w:val="0"/>
      <w:marBottom w:val="0"/>
      <w:divBdr>
        <w:top w:val="none" w:sz="0" w:space="0" w:color="auto"/>
        <w:left w:val="none" w:sz="0" w:space="0" w:color="auto"/>
        <w:bottom w:val="none" w:sz="0" w:space="0" w:color="auto"/>
        <w:right w:val="none" w:sz="0" w:space="0" w:color="auto"/>
      </w:divBdr>
    </w:div>
    <w:div w:id="354967932">
      <w:bodyDiv w:val="1"/>
      <w:marLeft w:val="0"/>
      <w:marRight w:val="0"/>
      <w:marTop w:val="0"/>
      <w:marBottom w:val="0"/>
      <w:divBdr>
        <w:top w:val="none" w:sz="0" w:space="0" w:color="auto"/>
        <w:left w:val="none" w:sz="0" w:space="0" w:color="auto"/>
        <w:bottom w:val="none" w:sz="0" w:space="0" w:color="auto"/>
        <w:right w:val="none" w:sz="0" w:space="0" w:color="auto"/>
      </w:divBdr>
    </w:div>
    <w:div w:id="355470279">
      <w:bodyDiv w:val="1"/>
      <w:marLeft w:val="0"/>
      <w:marRight w:val="0"/>
      <w:marTop w:val="0"/>
      <w:marBottom w:val="0"/>
      <w:divBdr>
        <w:top w:val="none" w:sz="0" w:space="0" w:color="auto"/>
        <w:left w:val="none" w:sz="0" w:space="0" w:color="auto"/>
        <w:bottom w:val="none" w:sz="0" w:space="0" w:color="auto"/>
        <w:right w:val="none" w:sz="0" w:space="0" w:color="auto"/>
      </w:divBdr>
    </w:div>
    <w:div w:id="356271482">
      <w:bodyDiv w:val="1"/>
      <w:marLeft w:val="0"/>
      <w:marRight w:val="0"/>
      <w:marTop w:val="0"/>
      <w:marBottom w:val="0"/>
      <w:divBdr>
        <w:top w:val="none" w:sz="0" w:space="0" w:color="auto"/>
        <w:left w:val="none" w:sz="0" w:space="0" w:color="auto"/>
        <w:bottom w:val="none" w:sz="0" w:space="0" w:color="auto"/>
        <w:right w:val="none" w:sz="0" w:space="0" w:color="auto"/>
      </w:divBdr>
    </w:div>
    <w:div w:id="357898494">
      <w:bodyDiv w:val="1"/>
      <w:marLeft w:val="0"/>
      <w:marRight w:val="0"/>
      <w:marTop w:val="0"/>
      <w:marBottom w:val="0"/>
      <w:divBdr>
        <w:top w:val="none" w:sz="0" w:space="0" w:color="auto"/>
        <w:left w:val="none" w:sz="0" w:space="0" w:color="auto"/>
        <w:bottom w:val="none" w:sz="0" w:space="0" w:color="auto"/>
        <w:right w:val="none" w:sz="0" w:space="0" w:color="auto"/>
      </w:divBdr>
    </w:div>
    <w:div w:id="361438835">
      <w:bodyDiv w:val="1"/>
      <w:marLeft w:val="0"/>
      <w:marRight w:val="0"/>
      <w:marTop w:val="0"/>
      <w:marBottom w:val="0"/>
      <w:divBdr>
        <w:top w:val="none" w:sz="0" w:space="0" w:color="auto"/>
        <w:left w:val="none" w:sz="0" w:space="0" w:color="auto"/>
        <w:bottom w:val="none" w:sz="0" w:space="0" w:color="auto"/>
        <w:right w:val="none" w:sz="0" w:space="0" w:color="auto"/>
      </w:divBdr>
    </w:div>
    <w:div w:id="361633156">
      <w:bodyDiv w:val="1"/>
      <w:marLeft w:val="0"/>
      <w:marRight w:val="0"/>
      <w:marTop w:val="0"/>
      <w:marBottom w:val="0"/>
      <w:divBdr>
        <w:top w:val="none" w:sz="0" w:space="0" w:color="auto"/>
        <w:left w:val="none" w:sz="0" w:space="0" w:color="auto"/>
        <w:bottom w:val="none" w:sz="0" w:space="0" w:color="auto"/>
        <w:right w:val="none" w:sz="0" w:space="0" w:color="auto"/>
      </w:divBdr>
    </w:div>
    <w:div w:id="363990686">
      <w:bodyDiv w:val="1"/>
      <w:marLeft w:val="0"/>
      <w:marRight w:val="0"/>
      <w:marTop w:val="0"/>
      <w:marBottom w:val="0"/>
      <w:divBdr>
        <w:top w:val="none" w:sz="0" w:space="0" w:color="auto"/>
        <w:left w:val="none" w:sz="0" w:space="0" w:color="auto"/>
        <w:bottom w:val="none" w:sz="0" w:space="0" w:color="auto"/>
        <w:right w:val="none" w:sz="0" w:space="0" w:color="auto"/>
      </w:divBdr>
    </w:div>
    <w:div w:id="366755573">
      <w:bodyDiv w:val="1"/>
      <w:marLeft w:val="0"/>
      <w:marRight w:val="0"/>
      <w:marTop w:val="0"/>
      <w:marBottom w:val="0"/>
      <w:divBdr>
        <w:top w:val="none" w:sz="0" w:space="0" w:color="auto"/>
        <w:left w:val="none" w:sz="0" w:space="0" w:color="auto"/>
        <w:bottom w:val="none" w:sz="0" w:space="0" w:color="auto"/>
        <w:right w:val="none" w:sz="0" w:space="0" w:color="auto"/>
      </w:divBdr>
    </w:div>
    <w:div w:id="373313778">
      <w:bodyDiv w:val="1"/>
      <w:marLeft w:val="0"/>
      <w:marRight w:val="0"/>
      <w:marTop w:val="0"/>
      <w:marBottom w:val="0"/>
      <w:divBdr>
        <w:top w:val="none" w:sz="0" w:space="0" w:color="auto"/>
        <w:left w:val="none" w:sz="0" w:space="0" w:color="auto"/>
        <w:bottom w:val="none" w:sz="0" w:space="0" w:color="auto"/>
        <w:right w:val="none" w:sz="0" w:space="0" w:color="auto"/>
      </w:divBdr>
    </w:div>
    <w:div w:id="375618280">
      <w:bodyDiv w:val="1"/>
      <w:marLeft w:val="0"/>
      <w:marRight w:val="0"/>
      <w:marTop w:val="0"/>
      <w:marBottom w:val="0"/>
      <w:divBdr>
        <w:top w:val="none" w:sz="0" w:space="0" w:color="auto"/>
        <w:left w:val="none" w:sz="0" w:space="0" w:color="auto"/>
        <w:bottom w:val="none" w:sz="0" w:space="0" w:color="auto"/>
        <w:right w:val="none" w:sz="0" w:space="0" w:color="auto"/>
      </w:divBdr>
    </w:div>
    <w:div w:id="375933057">
      <w:bodyDiv w:val="1"/>
      <w:marLeft w:val="0"/>
      <w:marRight w:val="0"/>
      <w:marTop w:val="0"/>
      <w:marBottom w:val="0"/>
      <w:divBdr>
        <w:top w:val="none" w:sz="0" w:space="0" w:color="auto"/>
        <w:left w:val="none" w:sz="0" w:space="0" w:color="auto"/>
        <w:bottom w:val="none" w:sz="0" w:space="0" w:color="auto"/>
        <w:right w:val="none" w:sz="0" w:space="0" w:color="auto"/>
      </w:divBdr>
    </w:div>
    <w:div w:id="379864652">
      <w:bodyDiv w:val="1"/>
      <w:marLeft w:val="0"/>
      <w:marRight w:val="0"/>
      <w:marTop w:val="0"/>
      <w:marBottom w:val="0"/>
      <w:divBdr>
        <w:top w:val="none" w:sz="0" w:space="0" w:color="auto"/>
        <w:left w:val="none" w:sz="0" w:space="0" w:color="auto"/>
        <w:bottom w:val="none" w:sz="0" w:space="0" w:color="auto"/>
        <w:right w:val="none" w:sz="0" w:space="0" w:color="auto"/>
      </w:divBdr>
    </w:div>
    <w:div w:id="382414045">
      <w:bodyDiv w:val="1"/>
      <w:marLeft w:val="0"/>
      <w:marRight w:val="0"/>
      <w:marTop w:val="0"/>
      <w:marBottom w:val="0"/>
      <w:divBdr>
        <w:top w:val="none" w:sz="0" w:space="0" w:color="auto"/>
        <w:left w:val="none" w:sz="0" w:space="0" w:color="auto"/>
        <w:bottom w:val="none" w:sz="0" w:space="0" w:color="auto"/>
        <w:right w:val="none" w:sz="0" w:space="0" w:color="auto"/>
      </w:divBdr>
    </w:div>
    <w:div w:id="384793954">
      <w:bodyDiv w:val="1"/>
      <w:marLeft w:val="0"/>
      <w:marRight w:val="0"/>
      <w:marTop w:val="0"/>
      <w:marBottom w:val="0"/>
      <w:divBdr>
        <w:top w:val="none" w:sz="0" w:space="0" w:color="auto"/>
        <w:left w:val="none" w:sz="0" w:space="0" w:color="auto"/>
        <w:bottom w:val="none" w:sz="0" w:space="0" w:color="auto"/>
        <w:right w:val="none" w:sz="0" w:space="0" w:color="auto"/>
      </w:divBdr>
    </w:div>
    <w:div w:id="387344305">
      <w:bodyDiv w:val="1"/>
      <w:marLeft w:val="0"/>
      <w:marRight w:val="0"/>
      <w:marTop w:val="0"/>
      <w:marBottom w:val="0"/>
      <w:divBdr>
        <w:top w:val="none" w:sz="0" w:space="0" w:color="auto"/>
        <w:left w:val="none" w:sz="0" w:space="0" w:color="auto"/>
        <w:bottom w:val="none" w:sz="0" w:space="0" w:color="auto"/>
        <w:right w:val="none" w:sz="0" w:space="0" w:color="auto"/>
      </w:divBdr>
    </w:div>
    <w:div w:id="390083484">
      <w:bodyDiv w:val="1"/>
      <w:marLeft w:val="0"/>
      <w:marRight w:val="0"/>
      <w:marTop w:val="0"/>
      <w:marBottom w:val="0"/>
      <w:divBdr>
        <w:top w:val="none" w:sz="0" w:space="0" w:color="auto"/>
        <w:left w:val="none" w:sz="0" w:space="0" w:color="auto"/>
        <w:bottom w:val="none" w:sz="0" w:space="0" w:color="auto"/>
        <w:right w:val="none" w:sz="0" w:space="0" w:color="auto"/>
      </w:divBdr>
    </w:div>
    <w:div w:id="394740480">
      <w:bodyDiv w:val="1"/>
      <w:marLeft w:val="0"/>
      <w:marRight w:val="0"/>
      <w:marTop w:val="0"/>
      <w:marBottom w:val="0"/>
      <w:divBdr>
        <w:top w:val="none" w:sz="0" w:space="0" w:color="auto"/>
        <w:left w:val="none" w:sz="0" w:space="0" w:color="auto"/>
        <w:bottom w:val="none" w:sz="0" w:space="0" w:color="auto"/>
        <w:right w:val="none" w:sz="0" w:space="0" w:color="auto"/>
      </w:divBdr>
    </w:div>
    <w:div w:id="395401333">
      <w:bodyDiv w:val="1"/>
      <w:marLeft w:val="0"/>
      <w:marRight w:val="0"/>
      <w:marTop w:val="0"/>
      <w:marBottom w:val="0"/>
      <w:divBdr>
        <w:top w:val="none" w:sz="0" w:space="0" w:color="auto"/>
        <w:left w:val="none" w:sz="0" w:space="0" w:color="auto"/>
        <w:bottom w:val="none" w:sz="0" w:space="0" w:color="auto"/>
        <w:right w:val="none" w:sz="0" w:space="0" w:color="auto"/>
      </w:divBdr>
    </w:div>
    <w:div w:id="397703757">
      <w:bodyDiv w:val="1"/>
      <w:marLeft w:val="0"/>
      <w:marRight w:val="0"/>
      <w:marTop w:val="0"/>
      <w:marBottom w:val="0"/>
      <w:divBdr>
        <w:top w:val="none" w:sz="0" w:space="0" w:color="auto"/>
        <w:left w:val="none" w:sz="0" w:space="0" w:color="auto"/>
        <w:bottom w:val="none" w:sz="0" w:space="0" w:color="auto"/>
        <w:right w:val="none" w:sz="0" w:space="0" w:color="auto"/>
      </w:divBdr>
    </w:div>
    <w:div w:id="397747115">
      <w:bodyDiv w:val="1"/>
      <w:marLeft w:val="0"/>
      <w:marRight w:val="0"/>
      <w:marTop w:val="0"/>
      <w:marBottom w:val="0"/>
      <w:divBdr>
        <w:top w:val="none" w:sz="0" w:space="0" w:color="auto"/>
        <w:left w:val="none" w:sz="0" w:space="0" w:color="auto"/>
        <w:bottom w:val="none" w:sz="0" w:space="0" w:color="auto"/>
        <w:right w:val="none" w:sz="0" w:space="0" w:color="auto"/>
      </w:divBdr>
    </w:div>
    <w:div w:id="402604680">
      <w:bodyDiv w:val="1"/>
      <w:marLeft w:val="0"/>
      <w:marRight w:val="0"/>
      <w:marTop w:val="0"/>
      <w:marBottom w:val="0"/>
      <w:divBdr>
        <w:top w:val="none" w:sz="0" w:space="0" w:color="auto"/>
        <w:left w:val="none" w:sz="0" w:space="0" w:color="auto"/>
        <w:bottom w:val="none" w:sz="0" w:space="0" w:color="auto"/>
        <w:right w:val="none" w:sz="0" w:space="0" w:color="auto"/>
      </w:divBdr>
    </w:div>
    <w:div w:id="402718984">
      <w:bodyDiv w:val="1"/>
      <w:marLeft w:val="0"/>
      <w:marRight w:val="0"/>
      <w:marTop w:val="0"/>
      <w:marBottom w:val="0"/>
      <w:divBdr>
        <w:top w:val="none" w:sz="0" w:space="0" w:color="auto"/>
        <w:left w:val="none" w:sz="0" w:space="0" w:color="auto"/>
        <w:bottom w:val="none" w:sz="0" w:space="0" w:color="auto"/>
        <w:right w:val="none" w:sz="0" w:space="0" w:color="auto"/>
      </w:divBdr>
    </w:div>
    <w:div w:id="403338051">
      <w:bodyDiv w:val="1"/>
      <w:marLeft w:val="0"/>
      <w:marRight w:val="0"/>
      <w:marTop w:val="0"/>
      <w:marBottom w:val="0"/>
      <w:divBdr>
        <w:top w:val="none" w:sz="0" w:space="0" w:color="auto"/>
        <w:left w:val="none" w:sz="0" w:space="0" w:color="auto"/>
        <w:bottom w:val="none" w:sz="0" w:space="0" w:color="auto"/>
        <w:right w:val="none" w:sz="0" w:space="0" w:color="auto"/>
      </w:divBdr>
    </w:div>
    <w:div w:id="403916678">
      <w:bodyDiv w:val="1"/>
      <w:marLeft w:val="0"/>
      <w:marRight w:val="0"/>
      <w:marTop w:val="0"/>
      <w:marBottom w:val="0"/>
      <w:divBdr>
        <w:top w:val="none" w:sz="0" w:space="0" w:color="auto"/>
        <w:left w:val="none" w:sz="0" w:space="0" w:color="auto"/>
        <w:bottom w:val="none" w:sz="0" w:space="0" w:color="auto"/>
        <w:right w:val="none" w:sz="0" w:space="0" w:color="auto"/>
      </w:divBdr>
    </w:div>
    <w:div w:id="405614844">
      <w:bodyDiv w:val="1"/>
      <w:marLeft w:val="0"/>
      <w:marRight w:val="0"/>
      <w:marTop w:val="0"/>
      <w:marBottom w:val="0"/>
      <w:divBdr>
        <w:top w:val="none" w:sz="0" w:space="0" w:color="auto"/>
        <w:left w:val="none" w:sz="0" w:space="0" w:color="auto"/>
        <w:bottom w:val="none" w:sz="0" w:space="0" w:color="auto"/>
        <w:right w:val="none" w:sz="0" w:space="0" w:color="auto"/>
      </w:divBdr>
    </w:div>
    <w:div w:id="411701119">
      <w:bodyDiv w:val="1"/>
      <w:marLeft w:val="0"/>
      <w:marRight w:val="0"/>
      <w:marTop w:val="0"/>
      <w:marBottom w:val="0"/>
      <w:divBdr>
        <w:top w:val="none" w:sz="0" w:space="0" w:color="auto"/>
        <w:left w:val="none" w:sz="0" w:space="0" w:color="auto"/>
        <w:bottom w:val="none" w:sz="0" w:space="0" w:color="auto"/>
        <w:right w:val="none" w:sz="0" w:space="0" w:color="auto"/>
      </w:divBdr>
    </w:div>
    <w:div w:id="411900488">
      <w:bodyDiv w:val="1"/>
      <w:marLeft w:val="0"/>
      <w:marRight w:val="0"/>
      <w:marTop w:val="0"/>
      <w:marBottom w:val="0"/>
      <w:divBdr>
        <w:top w:val="none" w:sz="0" w:space="0" w:color="auto"/>
        <w:left w:val="none" w:sz="0" w:space="0" w:color="auto"/>
        <w:bottom w:val="none" w:sz="0" w:space="0" w:color="auto"/>
        <w:right w:val="none" w:sz="0" w:space="0" w:color="auto"/>
      </w:divBdr>
    </w:div>
    <w:div w:id="413623355">
      <w:bodyDiv w:val="1"/>
      <w:marLeft w:val="0"/>
      <w:marRight w:val="0"/>
      <w:marTop w:val="0"/>
      <w:marBottom w:val="0"/>
      <w:divBdr>
        <w:top w:val="none" w:sz="0" w:space="0" w:color="auto"/>
        <w:left w:val="none" w:sz="0" w:space="0" w:color="auto"/>
        <w:bottom w:val="none" w:sz="0" w:space="0" w:color="auto"/>
        <w:right w:val="none" w:sz="0" w:space="0" w:color="auto"/>
      </w:divBdr>
    </w:div>
    <w:div w:id="414282678">
      <w:bodyDiv w:val="1"/>
      <w:marLeft w:val="0"/>
      <w:marRight w:val="0"/>
      <w:marTop w:val="0"/>
      <w:marBottom w:val="0"/>
      <w:divBdr>
        <w:top w:val="none" w:sz="0" w:space="0" w:color="auto"/>
        <w:left w:val="none" w:sz="0" w:space="0" w:color="auto"/>
        <w:bottom w:val="none" w:sz="0" w:space="0" w:color="auto"/>
        <w:right w:val="none" w:sz="0" w:space="0" w:color="auto"/>
      </w:divBdr>
    </w:div>
    <w:div w:id="414397490">
      <w:bodyDiv w:val="1"/>
      <w:marLeft w:val="0"/>
      <w:marRight w:val="0"/>
      <w:marTop w:val="0"/>
      <w:marBottom w:val="0"/>
      <w:divBdr>
        <w:top w:val="none" w:sz="0" w:space="0" w:color="auto"/>
        <w:left w:val="none" w:sz="0" w:space="0" w:color="auto"/>
        <w:bottom w:val="none" w:sz="0" w:space="0" w:color="auto"/>
        <w:right w:val="none" w:sz="0" w:space="0" w:color="auto"/>
      </w:divBdr>
    </w:div>
    <w:div w:id="415564654">
      <w:bodyDiv w:val="1"/>
      <w:marLeft w:val="0"/>
      <w:marRight w:val="0"/>
      <w:marTop w:val="0"/>
      <w:marBottom w:val="0"/>
      <w:divBdr>
        <w:top w:val="none" w:sz="0" w:space="0" w:color="auto"/>
        <w:left w:val="none" w:sz="0" w:space="0" w:color="auto"/>
        <w:bottom w:val="none" w:sz="0" w:space="0" w:color="auto"/>
        <w:right w:val="none" w:sz="0" w:space="0" w:color="auto"/>
      </w:divBdr>
    </w:div>
    <w:div w:id="418331488">
      <w:bodyDiv w:val="1"/>
      <w:marLeft w:val="0"/>
      <w:marRight w:val="0"/>
      <w:marTop w:val="0"/>
      <w:marBottom w:val="0"/>
      <w:divBdr>
        <w:top w:val="none" w:sz="0" w:space="0" w:color="auto"/>
        <w:left w:val="none" w:sz="0" w:space="0" w:color="auto"/>
        <w:bottom w:val="none" w:sz="0" w:space="0" w:color="auto"/>
        <w:right w:val="none" w:sz="0" w:space="0" w:color="auto"/>
      </w:divBdr>
    </w:div>
    <w:div w:id="418985275">
      <w:bodyDiv w:val="1"/>
      <w:marLeft w:val="0"/>
      <w:marRight w:val="0"/>
      <w:marTop w:val="0"/>
      <w:marBottom w:val="0"/>
      <w:divBdr>
        <w:top w:val="none" w:sz="0" w:space="0" w:color="auto"/>
        <w:left w:val="none" w:sz="0" w:space="0" w:color="auto"/>
        <w:bottom w:val="none" w:sz="0" w:space="0" w:color="auto"/>
        <w:right w:val="none" w:sz="0" w:space="0" w:color="auto"/>
      </w:divBdr>
    </w:div>
    <w:div w:id="419259753">
      <w:bodyDiv w:val="1"/>
      <w:marLeft w:val="0"/>
      <w:marRight w:val="0"/>
      <w:marTop w:val="0"/>
      <w:marBottom w:val="0"/>
      <w:divBdr>
        <w:top w:val="none" w:sz="0" w:space="0" w:color="auto"/>
        <w:left w:val="none" w:sz="0" w:space="0" w:color="auto"/>
        <w:bottom w:val="none" w:sz="0" w:space="0" w:color="auto"/>
        <w:right w:val="none" w:sz="0" w:space="0" w:color="auto"/>
      </w:divBdr>
    </w:div>
    <w:div w:id="420295171">
      <w:bodyDiv w:val="1"/>
      <w:marLeft w:val="0"/>
      <w:marRight w:val="0"/>
      <w:marTop w:val="0"/>
      <w:marBottom w:val="0"/>
      <w:divBdr>
        <w:top w:val="none" w:sz="0" w:space="0" w:color="auto"/>
        <w:left w:val="none" w:sz="0" w:space="0" w:color="auto"/>
        <w:bottom w:val="none" w:sz="0" w:space="0" w:color="auto"/>
        <w:right w:val="none" w:sz="0" w:space="0" w:color="auto"/>
      </w:divBdr>
    </w:div>
    <w:div w:id="424424959">
      <w:bodyDiv w:val="1"/>
      <w:marLeft w:val="0"/>
      <w:marRight w:val="0"/>
      <w:marTop w:val="0"/>
      <w:marBottom w:val="0"/>
      <w:divBdr>
        <w:top w:val="none" w:sz="0" w:space="0" w:color="auto"/>
        <w:left w:val="none" w:sz="0" w:space="0" w:color="auto"/>
        <w:bottom w:val="none" w:sz="0" w:space="0" w:color="auto"/>
        <w:right w:val="none" w:sz="0" w:space="0" w:color="auto"/>
      </w:divBdr>
    </w:div>
    <w:div w:id="427848699">
      <w:bodyDiv w:val="1"/>
      <w:marLeft w:val="0"/>
      <w:marRight w:val="0"/>
      <w:marTop w:val="0"/>
      <w:marBottom w:val="0"/>
      <w:divBdr>
        <w:top w:val="none" w:sz="0" w:space="0" w:color="auto"/>
        <w:left w:val="none" w:sz="0" w:space="0" w:color="auto"/>
        <w:bottom w:val="none" w:sz="0" w:space="0" w:color="auto"/>
        <w:right w:val="none" w:sz="0" w:space="0" w:color="auto"/>
      </w:divBdr>
    </w:div>
    <w:div w:id="429013704">
      <w:bodyDiv w:val="1"/>
      <w:marLeft w:val="0"/>
      <w:marRight w:val="0"/>
      <w:marTop w:val="0"/>
      <w:marBottom w:val="0"/>
      <w:divBdr>
        <w:top w:val="none" w:sz="0" w:space="0" w:color="auto"/>
        <w:left w:val="none" w:sz="0" w:space="0" w:color="auto"/>
        <w:bottom w:val="none" w:sz="0" w:space="0" w:color="auto"/>
        <w:right w:val="none" w:sz="0" w:space="0" w:color="auto"/>
      </w:divBdr>
    </w:div>
    <w:div w:id="433940717">
      <w:bodyDiv w:val="1"/>
      <w:marLeft w:val="0"/>
      <w:marRight w:val="0"/>
      <w:marTop w:val="0"/>
      <w:marBottom w:val="0"/>
      <w:divBdr>
        <w:top w:val="none" w:sz="0" w:space="0" w:color="auto"/>
        <w:left w:val="none" w:sz="0" w:space="0" w:color="auto"/>
        <w:bottom w:val="none" w:sz="0" w:space="0" w:color="auto"/>
        <w:right w:val="none" w:sz="0" w:space="0" w:color="auto"/>
      </w:divBdr>
    </w:div>
    <w:div w:id="434634993">
      <w:bodyDiv w:val="1"/>
      <w:marLeft w:val="0"/>
      <w:marRight w:val="0"/>
      <w:marTop w:val="0"/>
      <w:marBottom w:val="0"/>
      <w:divBdr>
        <w:top w:val="none" w:sz="0" w:space="0" w:color="auto"/>
        <w:left w:val="none" w:sz="0" w:space="0" w:color="auto"/>
        <w:bottom w:val="none" w:sz="0" w:space="0" w:color="auto"/>
        <w:right w:val="none" w:sz="0" w:space="0" w:color="auto"/>
      </w:divBdr>
    </w:div>
    <w:div w:id="436025227">
      <w:bodyDiv w:val="1"/>
      <w:marLeft w:val="0"/>
      <w:marRight w:val="0"/>
      <w:marTop w:val="0"/>
      <w:marBottom w:val="0"/>
      <w:divBdr>
        <w:top w:val="none" w:sz="0" w:space="0" w:color="auto"/>
        <w:left w:val="none" w:sz="0" w:space="0" w:color="auto"/>
        <w:bottom w:val="none" w:sz="0" w:space="0" w:color="auto"/>
        <w:right w:val="none" w:sz="0" w:space="0" w:color="auto"/>
      </w:divBdr>
    </w:div>
    <w:div w:id="437484805">
      <w:bodyDiv w:val="1"/>
      <w:marLeft w:val="0"/>
      <w:marRight w:val="0"/>
      <w:marTop w:val="0"/>
      <w:marBottom w:val="0"/>
      <w:divBdr>
        <w:top w:val="none" w:sz="0" w:space="0" w:color="auto"/>
        <w:left w:val="none" w:sz="0" w:space="0" w:color="auto"/>
        <w:bottom w:val="none" w:sz="0" w:space="0" w:color="auto"/>
        <w:right w:val="none" w:sz="0" w:space="0" w:color="auto"/>
      </w:divBdr>
    </w:div>
    <w:div w:id="440533564">
      <w:bodyDiv w:val="1"/>
      <w:marLeft w:val="0"/>
      <w:marRight w:val="0"/>
      <w:marTop w:val="0"/>
      <w:marBottom w:val="0"/>
      <w:divBdr>
        <w:top w:val="none" w:sz="0" w:space="0" w:color="auto"/>
        <w:left w:val="none" w:sz="0" w:space="0" w:color="auto"/>
        <w:bottom w:val="none" w:sz="0" w:space="0" w:color="auto"/>
        <w:right w:val="none" w:sz="0" w:space="0" w:color="auto"/>
      </w:divBdr>
    </w:div>
    <w:div w:id="444472302">
      <w:bodyDiv w:val="1"/>
      <w:marLeft w:val="0"/>
      <w:marRight w:val="0"/>
      <w:marTop w:val="0"/>
      <w:marBottom w:val="0"/>
      <w:divBdr>
        <w:top w:val="none" w:sz="0" w:space="0" w:color="auto"/>
        <w:left w:val="none" w:sz="0" w:space="0" w:color="auto"/>
        <w:bottom w:val="none" w:sz="0" w:space="0" w:color="auto"/>
        <w:right w:val="none" w:sz="0" w:space="0" w:color="auto"/>
      </w:divBdr>
    </w:div>
    <w:div w:id="449670166">
      <w:bodyDiv w:val="1"/>
      <w:marLeft w:val="0"/>
      <w:marRight w:val="0"/>
      <w:marTop w:val="0"/>
      <w:marBottom w:val="0"/>
      <w:divBdr>
        <w:top w:val="none" w:sz="0" w:space="0" w:color="auto"/>
        <w:left w:val="none" w:sz="0" w:space="0" w:color="auto"/>
        <w:bottom w:val="none" w:sz="0" w:space="0" w:color="auto"/>
        <w:right w:val="none" w:sz="0" w:space="0" w:color="auto"/>
      </w:divBdr>
    </w:div>
    <w:div w:id="453132785">
      <w:bodyDiv w:val="1"/>
      <w:marLeft w:val="0"/>
      <w:marRight w:val="0"/>
      <w:marTop w:val="0"/>
      <w:marBottom w:val="0"/>
      <w:divBdr>
        <w:top w:val="none" w:sz="0" w:space="0" w:color="auto"/>
        <w:left w:val="none" w:sz="0" w:space="0" w:color="auto"/>
        <w:bottom w:val="none" w:sz="0" w:space="0" w:color="auto"/>
        <w:right w:val="none" w:sz="0" w:space="0" w:color="auto"/>
      </w:divBdr>
    </w:div>
    <w:div w:id="456726641">
      <w:bodyDiv w:val="1"/>
      <w:marLeft w:val="0"/>
      <w:marRight w:val="0"/>
      <w:marTop w:val="0"/>
      <w:marBottom w:val="0"/>
      <w:divBdr>
        <w:top w:val="none" w:sz="0" w:space="0" w:color="auto"/>
        <w:left w:val="none" w:sz="0" w:space="0" w:color="auto"/>
        <w:bottom w:val="none" w:sz="0" w:space="0" w:color="auto"/>
        <w:right w:val="none" w:sz="0" w:space="0" w:color="auto"/>
      </w:divBdr>
    </w:div>
    <w:div w:id="456876595">
      <w:bodyDiv w:val="1"/>
      <w:marLeft w:val="0"/>
      <w:marRight w:val="0"/>
      <w:marTop w:val="0"/>
      <w:marBottom w:val="0"/>
      <w:divBdr>
        <w:top w:val="none" w:sz="0" w:space="0" w:color="auto"/>
        <w:left w:val="none" w:sz="0" w:space="0" w:color="auto"/>
        <w:bottom w:val="none" w:sz="0" w:space="0" w:color="auto"/>
        <w:right w:val="none" w:sz="0" w:space="0" w:color="auto"/>
      </w:divBdr>
    </w:div>
    <w:div w:id="457068099">
      <w:bodyDiv w:val="1"/>
      <w:marLeft w:val="0"/>
      <w:marRight w:val="0"/>
      <w:marTop w:val="0"/>
      <w:marBottom w:val="0"/>
      <w:divBdr>
        <w:top w:val="none" w:sz="0" w:space="0" w:color="auto"/>
        <w:left w:val="none" w:sz="0" w:space="0" w:color="auto"/>
        <w:bottom w:val="none" w:sz="0" w:space="0" w:color="auto"/>
        <w:right w:val="none" w:sz="0" w:space="0" w:color="auto"/>
      </w:divBdr>
    </w:div>
    <w:div w:id="460155947">
      <w:bodyDiv w:val="1"/>
      <w:marLeft w:val="0"/>
      <w:marRight w:val="0"/>
      <w:marTop w:val="0"/>
      <w:marBottom w:val="0"/>
      <w:divBdr>
        <w:top w:val="none" w:sz="0" w:space="0" w:color="auto"/>
        <w:left w:val="none" w:sz="0" w:space="0" w:color="auto"/>
        <w:bottom w:val="none" w:sz="0" w:space="0" w:color="auto"/>
        <w:right w:val="none" w:sz="0" w:space="0" w:color="auto"/>
      </w:divBdr>
    </w:div>
    <w:div w:id="462581060">
      <w:bodyDiv w:val="1"/>
      <w:marLeft w:val="0"/>
      <w:marRight w:val="0"/>
      <w:marTop w:val="0"/>
      <w:marBottom w:val="0"/>
      <w:divBdr>
        <w:top w:val="none" w:sz="0" w:space="0" w:color="auto"/>
        <w:left w:val="none" w:sz="0" w:space="0" w:color="auto"/>
        <w:bottom w:val="none" w:sz="0" w:space="0" w:color="auto"/>
        <w:right w:val="none" w:sz="0" w:space="0" w:color="auto"/>
      </w:divBdr>
    </w:div>
    <w:div w:id="463348638">
      <w:bodyDiv w:val="1"/>
      <w:marLeft w:val="0"/>
      <w:marRight w:val="0"/>
      <w:marTop w:val="0"/>
      <w:marBottom w:val="0"/>
      <w:divBdr>
        <w:top w:val="none" w:sz="0" w:space="0" w:color="auto"/>
        <w:left w:val="none" w:sz="0" w:space="0" w:color="auto"/>
        <w:bottom w:val="none" w:sz="0" w:space="0" w:color="auto"/>
        <w:right w:val="none" w:sz="0" w:space="0" w:color="auto"/>
      </w:divBdr>
    </w:div>
    <w:div w:id="463740730">
      <w:bodyDiv w:val="1"/>
      <w:marLeft w:val="0"/>
      <w:marRight w:val="0"/>
      <w:marTop w:val="0"/>
      <w:marBottom w:val="0"/>
      <w:divBdr>
        <w:top w:val="none" w:sz="0" w:space="0" w:color="auto"/>
        <w:left w:val="none" w:sz="0" w:space="0" w:color="auto"/>
        <w:bottom w:val="none" w:sz="0" w:space="0" w:color="auto"/>
        <w:right w:val="none" w:sz="0" w:space="0" w:color="auto"/>
      </w:divBdr>
    </w:div>
    <w:div w:id="464355220">
      <w:bodyDiv w:val="1"/>
      <w:marLeft w:val="0"/>
      <w:marRight w:val="0"/>
      <w:marTop w:val="0"/>
      <w:marBottom w:val="0"/>
      <w:divBdr>
        <w:top w:val="none" w:sz="0" w:space="0" w:color="auto"/>
        <w:left w:val="none" w:sz="0" w:space="0" w:color="auto"/>
        <w:bottom w:val="none" w:sz="0" w:space="0" w:color="auto"/>
        <w:right w:val="none" w:sz="0" w:space="0" w:color="auto"/>
      </w:divBdr>
    </w:div>
    <w:div w:id="465321042">
      <w:bodyDiv w:val="1"/>
      <w:marLeft w:val="0"/>
      <w:marRight w:val="0"/>
      <w:marTop w:val="0"/>
      <w:marBottom w:val="0"/>
      <w:divBdr>
        <w:top w:val="none" w:sz="0" w:space="0" w:color="auto"/>
        <w:left w:val="none" w:sz="0" w:space="0" w:color="auto"/>
        <w:bottom w:val="none" w:sz="0" w:space="0" w:color="auto"/>
        <w:right w:val="none" w:sz="0" w:space="0" w:color="auto"/>
      </w:divBdr>
    </w:div>
    <w:div w:id="471019829">
      <w:bodyDiv w:val="1"/>
      <w:marLeft w:val="0"/>
      <w:marRight w:val="0"/>
      <w:marTop w:val="0"/>
      <w:marBottom w:val="0"/>
      <w:divBdr>
        <w:top w:val="none" w:sz="0" w:space="0" w:color="auto"/>
        <w:left w:val="none" w:sz="0" w:space="0" w:color="auto"/>
        <w:bottom w:val="none" w:sz="0" w:space="0" w:color="auto"/>
        <w:right w:val="none" w:sz="0" w:space="0" w:color="auto"/>
      </w:divBdr>
    </w:div>
    <w:div w:id="477843196">
      <w:bodyDiv w:val="1"/>
      <w:marLeft w:val="0"/>
      <w:marRight w:val="0"/>
      <w:marTop w:val="0"/>
      <w:marBottom w:val="0"/>
      <w:divBdr>
        <w:top w:val="none" w:sz="0" w:space="0" w:color="auto"/>
        <w:left w:val="none" w:sz="0" w:space="0" w:color="auto"/>
        <w:bottom w:val="none" w:sz="0" w:space="0" w:color="auto"/>
        <w:right w:val="none" w:sz="0" w:space="0" w:color="auto"/>
      </w:divBdr>
    </w:div>
    <w:div w:id="480002854">
      <w:bodyDiv w:val="1"/>
      <w:marLeft w:val="0"/>
      <w:marRight w:val="0"/>
      <w:marTop w:val="0"/>
      <w:marBottom w:val="0"/>
      <w:divBdr>
        <w:top w:val="none" w:sz="0" w:space="0" w:color="auto"/>
        <w:left w:val="none" w:sz="0" w:space="0" w:color="auto"/>
        <w:bottom w:val="none" w:sz="0" w:space="0" w:color="auto"/>
        <w:right w:val="none" w:sz="0" w:space="0" w:color="auto"/>
      </w:divBdr>
    </w:div>
    <w:div w:id="484514319">
      <w:bodyDiv w:val="1"/>
      <w:marLeft w:val="0"/>
      <w:marRight w:val="0"/>
      <w:marTop w:val="0"/>
      <w:marBottom w:val="0"/>
      <w:divBdr>
        <w:top w:val="none" w:sz="0" w:space="0" w:color="auto"/>
        <w:left w:val="none" w:sz="0" w:space="0" w:color="auto"/>
        <w:bottom w:val="none" w:sz="0" w:space="0" w:color="auto"/>
        <w:right w:val="none" w:sz="0" w:space="0" w:color="auto"/>
      </w:divBdr>
    </w:div>
    <w:div w:id="486360578">
      <w:bodyDiv w:val="1"/>
      <w:marLeft w:val="0"/>
      <w:marRight w:val="0"/>
      <w:marTop w:val="0"/>
      <w:marBottom w:val="0"/>
      <w:divBdr>
        <w:top w:val="none" w:sz="0" w:space="0" w:color="auto"/>
        <w:left w:val="none" w:sz="0" w:space="0" w:color="auto"/>
        <w:bottom w:val="none" w:sz="0" w:space="0" w:color="auto"/>
        <w:right w:val="none" w:sz="0" w:space="0" w:color="auto"/>
      </w:divBdr>
    </w:div>
    <w:div w:id="486820440">
      <w:bodyDiv w:val="1"/>
      <w:marLeft w:val="0"/>
      <w:marRight w:val="0"/>
      <w:marTop w:val="0"/>
      <w:marBottom w:val="0"/>
      <w:divBdr>
        <w:top w:val="none" w:sz="0" w:space="0" w:color="auto"/>
        <w:left w:val="none" w:sz="0" w:space="0" w:color="auto"/>
        <w:bottom w:val="none" w:sz="0" w:space="0" w:color="auto"/>
        <w:right w:val="none" w:sz="0" w:space="0" w:color="auto"/>
      </w:divBdr>
    </w:div>
    <w:div w:id="487019238">
      <w:bodyDiv w:val="1"/>
      <w:marLeft w:val="0"/>
      <w:marRight w:val="0"/>
      <w:marTop w:val="0"/>
      <w:marBottom w:val="0"/>
      <w:divBdr>
        <w:top w:val="none" w:sz="0" w:space="0" w:color="auto"/>
        <w:left w:val="none" w:sz="0" w:space="0" w:color="auto"/>
        <w:bottom w:val="none" w:sz="0" w:space="0" w:color="auto"/>
        <w:right w:val="none" w:sz="0" w:space="0" w:color="auto"/>
      </w:divBdr>
    </w:div>
    <w:div w:id="488059120">
      <w:bodyDiv w:val="1"/>
      <w:marLeft w:val="0"/>
      <w:marRight w:val="0"/>
      <w:marTop w:val="0"/>
      <w:marBottom w:val="0"/>
      <w:divBdr>
        <w:top w:val="none" w:sz="0" w:space="0" w:color="auto"/>
        <w:left w:val="none" w:sz="0" w:space="0" w:color="auto"/>
        <w:bottom w:val="none" w:sz="0" w:space="0" w:color="auto"/>
        <w:right w:val="none" w:sz="0" w:space="0" w:color="auto"/>
      </w:divBdr>
    </w:div>
    <w:div w:id="488719051">
      <w:bodyDiv w:val="1"/>
      <w:marLeft w:val="0"/>
      <w:marRight w:val="0"/>
      <w:marTop w:val="0"/>
      <w:marBottom w:val="0"/>
      <w:divBdr>
        <w:top w:val="none" w:sz="0" w:space="0" w:color="auto"/>
        <w:left w:val="none" w:sz="0" w:space="0" w:color="auto"/>
        <w:bottom w:val="none" w:sz="0" w:space="0" w:color="auto"/>
        <w:right w:val="none" w:sz="0" w:space="0" w:color="auto"/>
      </w:divBdr>
    </w:div>
    <w:div w:id="490948520">
      <w:bodyDiv w:val="1"/>
      <w:marLeft w:val="0"/>
      <w:marRight w:val="0"/>
      <w:marTop w:val="0"/>
      <w:marBottom w:val="0"/>
      <w:divBdr>
        <w:top w:val="none" w:sz="0" w:space="0" w:color="auto"/>
        <w:left w:val="none" w:sz="0" w:space="0" w:color="auto"/>
        <w:bottom w:val="none" w:sz="0" w:space="0" w:color="auto"/>
        <w:right w:val="none" w:sz="0" w:space="0" w:color="auto"/>
      </w:divBdr>
    </w:div>
    <w:div w:id="499348904">
      <w:bodyDiv w:val="1"/>
      <w:marLeft w:val="0"/>
      <w:marRight w:val="0"/>
      <w:marTop w:val="0"/>
      <w:marBottom w:val="0"/>
      <w:divBdr>
        <w:top w:val="none" w:sz="0" w:space="0" w:color="auto"/>
        <w:left w:val="none" w:sz="0" w:space="0" w:color="auto"/>
        <w:bottom w:val="none" w:sz="0" w:space="0" w:color="auto"/>
        <w:right w:val="none" w:sz="0" w:space="0" w:color="auto"/>
      </w:divBdr>
    </w:div>
    <w:div w:id="500438802">
      <w:bodyDiv w:val="1"/>
      <w:marLeft w:val="0"/>
      <w:marRight w:val="0"/>
      <w:marTop w:val="0"/>
      <w:marBottom w:val="0"/>
      <w:divBdr>
        <w:top w:val="none" w:sz="0" w:space="0" w:color="auto"/>
        <w:left w:val="none" w:sz="0" w:space="0" w:color="auto"/>
        <w:bottom w:val="none" w:sz="0" w:space="0" w:color="auto"/>
        <w:right w:val="none" w:sz="0" w:space="0" w:color="auto"/>
      </w:divBdr>
    </w:div>
    <w:div w:id="502942021">
      <w:bodyDiv w:val="1"/>
      <w:marLeft w:val="0"/>
      <w:marRight w:val="0"/>
      <w:marTop w:val="0"/>
      <w:marBottom w:val="0"/>
      <w:divBdr>
        <w:top w:val="none" w:sz="0" w:space="0" w:color="auto"/>
        <w:left w:val="none" w:sz="0" w:space="0" w:color="auto"/>
        <w:bottom w:val="none" w:sz="0" w:space="0" w:color="auto"/>
        <w:right w:val="none" w:sz="0" w:space="0" w:color="auto"/>
      </w:divBdr>
    </w:div>
    <w:div w:id="503588437">
      <w:bodyDiv w:val="1"/>
      <w:marLeft w:val="0"/>
      <w:marRight w:val="0"/>
      <w:marTop w:val="0"/>
      <w:marBottom w:val="0"/>
      <w:divBdr>
        <w:top w:val="none" w:sz="0" w:space="0" w:color="auto"/>
        <w:left w:val="none" w:sz="0" w:space="0" w:color="auto"/>
        <w:bottom w:val="none" w:sz="0" w:space="0" w:color="auto"/>
        <w:right w:val="none" w:sz="0" w:space="0" w:color="auto"/>
      </w:divBdr>
    </w:div>
    <w:div w:id="505023302">
      <w:bodyDiv w:val="1"/>
      <w:marLeft w:val="0"/>
      <w:marRight w:val="0"/>
      <w:marTop w:val="0"/>
      <w:marBottom w:val="0"/>
      <w:divBdr>
        <w:top w:val="none" w:sz="0" w:space="0" w:color="auto"/>
        <w:left w:val="none" w:sz="0" w:space="0" w:color="auto"/>
        <w:bottom w:val="none" w:sz="0" w:space="0" w:color="auto"/>
        <w:right w:val="none" w:sz="0" w:space="0" w:color="auto"/>
      </w:divBdr>
    </w:div>
    <w:div w:id="514274853">
      <w:bodyDiv w:val="1"/>
      <w:marLeft w:val="0"/>
      <w:marRight w:val="0"/>
      <w:marTop w:val="0"/>
      <w:marBottom w:val="0"/>
      <w:divBdr>
        <w:top w:val="none" w:sz="0" w:space="0" w:color="auto"/>
        <w:left w:val="none" w:sz="0" w:space="0" w:color="auto"/>
        <w:bottom w:val="none" w:sz="0" w:space="0" w:color="auto"/>
        <w:right w:val="none" w:sz="0" w:space="0" w:color="auto"/>
      </w:divBdr>
    </w:div>
    <w:div w:id="514998931">
      <w:bodyDiv w:val="1"/>
      <w:marLeft w:val="0"/>
      <w:marRight w:val="0"/>
      <w:marTop w:val="0"/>
      <w:marBottom w:val="0"/>
      <w:divBdr>
        <w:top w:val="none" w:sz="0" w:space="0" w:color="auto"/>
        <w:left w:val="none" w:sz="0" w:space="0" w:color="auto"/>
        <w:bottom w:val="none" w:sz="0" w:space="0" w:color="auto"/>
        <w:right w:val="none" w:sz="0" w:space="0" w:color="auto"/>
      </w:divBdr>
    </w:div>
    <w:div w:id="515461369">
      <w:bodyDiv w:val="1"/>
      <w:marLeft w:val="0"/>
      <w:marRight w:val="0"/>
      <w:marTop w:val="0"/>
      <w:marBottom w:val="0"/>
      <w:divBdr>
        <w:top w:val="none" w:sz="0" w:space="0" w:color="auto"/>
        <w:left w:val="none" w:sz="0" w:space="0" w:color="auto"/>
        <w:bottom w:val="none" w:sz="0" w:space="0" w:color="auto"/>
        <w:right w:val="none" w:sz="0" w:space="0" w:color="auto"/>
      </w:divBdr>
    </w:div>
    <w:div w:id="519247480">
      <w:bodyDiv w:val="1"/>
      <w:marLeft w:val="0"/>
      <w:marRight w:val="0"/>
      <w:marTop w:val="0"/>
      <w:marBottom w:val="0"/>
      <w:divBdr>
        <w:top w:val="none" w:sz="0" w:space="0" w:color="auto"/>
        <w:left w:val="none" w:sz="0" w:space="0" w:color="auto"/>
        <w:bottom w:val="none" w:sz="0" w:space="0" w:color="auto"/>
        <w:right w:val="none" w:sz="0" w:space="0" w:color="auto"/>
      </w:divBdr>
    </w:div>
    <w:div w:id="521823328">
      <w:bodyDiv w:val="1"/>
      <w:marLeft w:val="0"/>
      <w:marRight w:val="0"/>
      <w:marTop w:val="0"/>
      <w:marBottom w:val="0"/>
      <w:divBdr>
        <w:top w:val="none" w:sz="0" w:space="0" w:color="auto"/>
        <w:left w:val="none" w:sz="0" w:space="0" w:color="auto"/>
        <w:bottom w:val="none" w:sz="0" w:space="0" w:color="auto"/>
        <w:right w:val="none" w:sz="0" w:space="0" w:color="auto"/>
      </w:divBdr>
    </w:div>
    <w:div w:id="523250889">
      <w:bodyDiv w:val="1"/>
      <w:marLeft w:val="0"/>
      <w:marRight w:val="0"/>
      <w:marTop w:val="0"/>
      <w:marBottom w:val="0"/>
      <w:divBdr>
        <w:top w:val="none" w:sz="0" w:space="0" w:color="auto"/>
        <w:left w:val="none" w:sz="0" w:space="0" w:color="auto"/>
        <w:bottom w:val="none" w:sz="0" w:space="0" w:color="auto"/>
        <w:right w:val="none" w:sz="0" w:space="0" w:color="auto"/>
      </w:divBdr>
    </w:div>
    <w:div w:id="529034460">
      <w:bodyDiv w:val="1"/>
      <w:marLeft w:val="0"/>
      <w:marRight w:val="0"/>
      <w:marTop w:val="0"/>
      <w:marBottom w:val="0"/>
      <w:divBdr>
        <w:top w:val="none" w:sz="0" w:space="0" w:color="auto"/>
        <w:left w:val="none" w:sz="0" w:space="0" w:color="auto"/>
        <w:bottom w:val="none" w:sz="0" w:space="0" w:color="auto"/>
        <w:right w:val="none" w:sz="0" w:space="0" w:color="auto"/>
      </w:divBdr>
    </w:div>
    <w:div w:id="530533746">
      <w:bodyDiv w:val="1"/>
      <w:marLeft w:val="0"/>
      <w:marRight w:val="0"/>
      <w:marTop w:val="0"/>
      <w:marBottom w:val="0"/>
      <w:divBdr>
        <w:top w:val="none" w:sz="0" w:space="0" w:color="auto"/>
        <w:left w:val="none" w:sz="0" w:space="0" w:color="auto"/>
        <w:bottom w:val="none" w:sz="0" w:space="0" w:color="auto"/>
        <w:right w:val="none" w:sz="0" w:space="0" w:color="auto"/>
      </w:divBdr>
    </w:div>
    <w:div w:id="530535162">
      <w:bodyDiv w:val="1"/>
      <w:marLeft w:val="0"/>
      <w:marRight w:val="0"/>
      <w:marTop w:val="0"/>
      <w:marBottom w:val="0"/>
      <w:divBdr>
        <w:top w:val="none" w:sz="0" w:space="0" w:color="auto"/>
        <w:left w:val="none" w:sz="0" w:space="0" w:color="auto"/>
        <w:bottom w:val="none" w:sz="0" w:space="0" w:color="auto"/>
        <w:right w:val="none" w:sz="0" w:space="0" w:color="auto"/>
      </w:divBdr>
    </w:div>
    <w:div w:id="533621181">
      <w:bodyDiv w:val="1"/>
      <w:marLeft w:val="0"/>
      <w:marRight w:val="0"/>
      <w:marTop w:val="0"/>
      <w:marBottom w:val="0"/>
      <w:divBdr>
        <w:top w:val="none" w:sz="0" w:space="0" w:color="auto"/>
        <w:left w:val="none" w:sz="0" w:space="0" w:color="auto"/>
        <w:bottom w:val="none" w:sz="0" w:space="0" w:color="auto"/>
        <w:right w:val="none" w:sz="0" w:space="0" w:color="auto"/>
      </w:divBdr>
    </w:div>
    <w:div w:id="534150127">
      <w:bodyDiv w:val="1"/>
      <w:marLeft w:val="0"/>
      <w:marRight w:val="0"/>
      <w:marTop w:val="0"/>
      <w:marBottom w:val="0"/>
      <w:divBdr>
        <w:top w:val="none" w:sz="0" w:space="0" w:color="auto"/>
        <w:left w:val="none" w:sz="0" w:space="0" w:color="auto"/>
        <w:bottom w:val="none" w:sz="0" w:space="0" w:color="auto"/>
        <w:right w:val="none" w:sz="0" w:space="0" w:color="auto"/>
      </w:divBdr>
    </w:div>
    <w:div w:id="537814304">
      <w:bodyDiv w:val="1"/>
      <w:marLeft w:val="0"/>
      <w:marRight w:val="0"/>
      <w:marTop w:val="0"/>
      <w:marBottom w:val="0"/>
      <w:divBdr>
        <w:top w:val="none" w:sz="0" w:space="0" w:color="auto"/>
        <w:left w:val="none" w:sz="0" w:space="0" w:color="auto"/>
        <w:bottom w:val="none" w:sz="0" w:space="0" w:color="auto"/>
        <w:right w:val="none" w:sz="0" w:space="0" w:color="auto"/>
      </w:divBdr>
    </w:div>
    <w:div w:id="539321075">
      <w:bodyDiv w:val="1"/>
      <w:marLeft w:val="0"/>
      <w:marRight w:val="0"/>
      <w:marTop w:val="0"/>
      <w:marBottom w:val="0"/>
      <w:divBdr>
        <w:top w:val="none" w:sz="0" w:space="0" w:color="auto"/>
        <w:left w:val="none" w:sz="0" w:space="0" w:color="auto"/>
        <w:bottom w:val="none" w:sz="0" w:space="0" w:color="auto"/>
        <w:right w:val="none" w:sz="0" w:space="0" w:color="auto"/>
      </w:divBdr>
    </w:div>
    <w:div w:id="541481956">
      <w:bodyDiv w:val="1"/>
      <w:marLeft w:val="0"/>
      <w:marRight w:val="0"/>
      <w:marTop w:val="0"/>
      <w:marBottom w:val="0"/>
      <w:divBdr>
        <w:top w:val="none" w:sz="0" w:space="0" w:color="auto"/>
        <w:left w:val="none" w:sz="0" w:space="0" w:color="auto"/>
        <w:bottom w:val="none" w:sz="0" w:space="0" w:color="auto"/>
        <w:right w:val="none" w:sz="0" w:space="0" w:color="auto"/>
      </w:divBdr>
    </w:div>
    <w:div w:id="546189741">
      <w:bodyDiv w:val="1"/>
      <w:marLeft w:val="0"/>
      <w:marRight w:val="0"/>
      <w:marTop w:val="0"/>
      <w:marBottom w:val="0"/>
      <w:divBdr>
        <w:top w:val="none" w:sz="0" w:space="0" w:color="auto"/>
        <w:left w:val="none" w:sz="0" w:space="0" w:color="auto"/>
        <w:bottom w:val="none" w:sz="0" w:space="0" w:color="auto"/>
        <w:right w:val="none" w:sz="0" w:space="0" w:color="auto"/>
      </w:divBdr>
    </w:div>
    <w:div w:id="550503208">
      <w:bodyDiv w:val="1"/>
      <w:marLeft w:val="0"/>
      <w:marRight w:val="0"/>
      <w:marTop w:val="0"/>
      <w:marBottom w:val="0"/>
      <w:divBdr>
        <w:top w:val="none" w:sz="0" w:space="0" w:color="auto"/>
        <w:left w:val="none" w:sz="0" w:space="0" w:color="auto"/>
        <w:bottom w:val="none" w:sz="0" w:space="0" w:color="auto"/>
        <w:right w:val="none" w:sz="0" w:space="0" w:color="auto"/>
      </w:divBdr>
    </w:div>
    <w:div w:id="550504042">
      <w:bodyDiv w:val="1"/>
      <w:marLeft w:val="0"/>
      <w:marRight w:val="0"/>
      <w:marTop w:val="0"/>
      <w:marBottom w:val="0"/>
      <w:divBdr>
        <w:top w:val="none" w:sz="0" w:space="0" w:color="auto"/>
        <w:left w:val="none" w:sz="0" w:space="0" w:color="auto"/>
        <w:bottom w:val="none" w:sz="0" w:space="0" w:color="auto"/>
        <w:right w:val="none" w:sz="0" w:space="0" w:color="auto"/>
      </w:divBdr>
    </w:div>
    <w:div w:id="552470507">
      <w:bodyDiv w:val="1"/>
      <w:marLeft w:val="0"/>
      <w:marRight w:val="0"/>
      <w:marTop w:val="0"/>
      <w:marBottom w:val="0"/>
      <w:divBdr>
        <w:top w:val="none" w:sz="0" w:space="0" w:color="auto"/>
        <w:left w:val="none" w:sz="0" w:space="0" w:color="auto"/>
        <w:bottom w:val="none" w:sz="0" w:space="0" w:color="auto"/>
        <w:right w:val="none" w:sz="0" w:space="0" w:color="auto"/>
      </w:divBdr>
    </w:div>
    <w:div w:id="553590695">
      <w:bodyDiv w:val="1"/>
      <w:marLeft w:val="0"/>
      <w:marRight w:val="0"/>
      <w:marTop w:val="0"/>
      <w:marBottom w:val="0"/>
      <w:divBdr>
        <w:top w:val="none" w:sz="0" w:space="0" w:color="auto"/>
        <w:left w:val="none" w:sz="0" w:space="0" w:color="auto"/>
        <w:bottom w:val="none" w:sz="0" w:space="0" w:color="auto"/>
        <w:right w:val="none" w:sz="0" w:space="0" w:color="auto"/>
      </w:divBdr>
    </w:div>
    <w:div w:id="560560179">
      <w:bodyDiv w:val="1"/>
      <w:marLeft w:val="0"/>
      <w:marRight w:val="0"/>
      <w:marTop w:val="0"/>
      <w:marBottom w:val="0"/>
      <w:divBdr>
        <w:top w:val="none" w:sz="0" w:space="0" w:color="auto"/>
        <w:left w:val="none" w:sz="0" w:space="0" w:color="auto"/>
        <w:bottom w:val="none" w:sz="0" w:space="0" w:color="auto"/>
        <w:right w:val="none" w:sz="0" w:space="0" w:color="auto"/>
      </w:divBdr>
    </w:div>
    <w:div w:id="561210935">
      <w:bodyDiv w:val="1"/>
      <w:marLeft w:val="0"/>
      <w:marRight w:val="0"/>
      <w:marTop w:val="0"/>
      <w:marBottom w:val="0"/>
      <w:divBdr>
        <w:top w:val="none" w:sz="0" w:space="0" w:color="auto"/>
        <w:left w:val="none" w:sz="0" w:space="0" w:color="auto"/>
        <w:bottom w:val="none" w:sz="0" w:space="0" w:color="auto"/>
        <w:right w:val="none" w:sz="0" w:space="0" w:color="auto"/>
      </w:divBdr>
    </w:div>
    <w:div w:id="565267222">
      <w:bodyDiv w:val="1"/>
      <w:marLeft w:val="0"/>
      <w:marRight w:val="0"/>
      <w:marTop w:val="0"/>
      <w:marBottom w:val="0"/>
      <w:divBdr>
        <w:top w:val="none" w:sz="0" w:space="0" w:color="auto"/>
        <w:left w:val="none" w:sz="0" w:space="0" w:color="auto"/>
        <w:bottom w:val="none" w:sz="0" w:space="0" w:color="auto"/>
        <w:right w:val="none" w:sz="0" w:space="0" w:color="auto"/>
      </w:divBdr>
    </w:div>
    <w:div w:id="568881132">
      <w:bodyDiv w:val="1"/>
      <w:marLeft w:val="0"/>
      <w:marRight w:val="0"/>
      <w:marTop w:val="0"/>
      <w:marBottom w:val="0"/>
      <w:divBdr>
        <w:top w:val="none" w:sz="0" w:space="0" w:color="auto"/>
        <w:left w:val="none" w:sz="0" w:space="0" w:color="auto"/>
        <w:bottom w:val="none" w:sz="0" w:space="0" w:color="auto"/>
        <w:right w:val="none" w:sz="0" w:space="0" w:color="auto"/>
      </w:divBdr>
    </w:div>
    <w:div w:id="574507940">
      <w:bodyDiv w:val="1"/>
      <w:marLeft w:val="0"/>
      <w:marRight w:val="0"/>
      <w:marTop w:val="0"/>
      <w:marBottom w:val="0"/>
      <w:divBdr>
        <w:top w:val="none" w:sz="0" w:space="0" w:color="auto"/>
        <w:left w:val="none" w:sz="0" w:space="0" w:color="auto"/>
        <w:bottom w:val="none" w:sz="0" w:space="0" w:color="auto"/>
        <w:right w:val="none" w:sz="0" w:space="0" w:color="auto"/>
      </w:divBdr>
    </w:div>
    <w:div w:id="579675600">
      <w:bodyDiv w:val="1"/>
      <w:marLeft w:val="0"/>
      <w:marRight w:val="0"/>
      <w:marTop w:val="0"/>
      <w:marBottom w:val="0"/>
      <w:divBdr>
        <w:top w:val="none" w:sz="0" w:space="0" w:color="auto"/>
        <w:left w:val="none" w:sz="0" w:space="0" w:color="auto"/>
        <w:bottom w:val="none" w:sz="0" w:space="0" w:color="auto"/>
        <w:right w:val="none" w:sz="0" w:space="0" w:color="auto"/>
      </w:divBdr>
    </w:div>
    <w:div w:id="580019816">
      <w:bodyDiv w:val="1"/>
      <w:marLeft w:val="0"/>
      <w:marRight w:val="0"/>
      <w:marTop w:val="0"/>
      <w:marBottom w:val="0"/>
      <w:divBdr>
        <w:top w:val="none" w:sz="0" w:space="0" w:color="auto"/>
        <w:left w:val="none" w:sz="0" w:space="0" w:color="auto"/>
        <w:bottom w:val="none" w:sz="0" w:space="0" w:color="auto"/>
        <w:right w:val="none" w:sz="0" w:space="0" w:color="auto"/>
      </w:divBdr>
    </w:div>
    <w:div w:id="581184946">
      <w:bodyDiv w:val="1"/>
      <w:marLeft w:val="0"/>
      <w:marRight w:val="0"/>
      <w:marTop w:val="0"/>
      <w:marBottom w:val="0"/>
      <w:divBdr>
        <w:top w:val="none" w:sz="0" w:space="0" w:color="auto"/>
        <w:left w:val="none" w:sz="0" w:space="0" w:color="auto"/>
        <w:bottom w:val="none" w:sz="0" w:space="0" w:color="auto"/>
        <w:right w:val="none" w:sz="0" w:space="0" w:color="auto"/>
      </w:divBdr>
    </w:div>
    <w:div w:id="581256895">
      <w:bodyDiv w:val="1"/>
      <w:marLeft w:val="0"/>
      <w:marRight w:val="0"/>
      <w:marTop w:val="0"/>
      <w:marBottom w:val="0"/>
      <w:divBdr>
        <w:top w:val="none" w:sz="0" w:space="0" w:color="auto"/>
        <w:left w:val="none" w:sz="0" w:space="0" w:color="auto"/>
        <w:bottom w:val="none" w:sz="0" w:space="0" w:color="auto"/>
        <w:right w:val="none" w:sz="0" w:space="0" w:color="auto"/>
      </w:divBdr>
    </w:div>
    <w:div w:id="583078360">
      <w:bodyDiv w:val="1"/>
      <w:marLeft w:val="0"/>
      <w:marRight w:val="0"/>
      <w:marTop w:val="0"/>
      <w:marBottom w:val="0"/>
      <w:divBdr>
        <w:top w:val="none" w:sz="0" w:space="0" w:color="auto"/>
        <w:left w:val="none" w:sz="0" w:space="0" w:color="auto"/>
        <w:bottom w:val="none" w:sz="0" w:space="0" w:color="auto"/>
        <w:right w:val="none" w:sz="0" w:space="0" w:color="auto"/>
      </w:divBdr>
    </w:div>
    <w:div w:id="587272809">
      <w:bodyDiv w:val="1"/>
      <w:marLeft w:val="0"/>
      <w:marRight w:val="0"/>
      <w:marTop w:val="0"/>
      <w:marBottom w:val="0"/>
      <w:divBdr>
        <w:top w:val="none" w:sz="0" w:space="0" w:color="auto"/>
        <w:left w:val="none" w:sz="0" w:space="0" w:color="auto"/>
        <w:bottom w:val="none" w:sz="0" w:space="0" w:color="auto"/>
        <w:right w:val="none" w:sz="0" w:space="0" w:color="auto"/>
      </w:divBdr>
    </w:div>
    <w:div w:id="591277276">
      <w:bodyDiv w:val="1"/>
      <w:marLeft w:val="0"/>
      <w:marRight w:val="0"/>
      <w:marTop w:val="0"/>
      <w:marBottom w:val="0"/>
      <w:divBdr>
        <w:top w:val="none" w:sz="0" w:space="0" w:color="auto"/>
        <w:left w:val="none" w:sz="0" w:space="0" w:color="auto"/>
        <w:bottom w:val="none" w:sz="0" w:space="0" w:color="auto"/>
        <w:right w:val="none" w:sz="0" w:space="0" w:color="auto"/>
      </w:divBdr>
    </w:div>
    <w:div w:id="592470622">
      <w:bodyDiv w:val="1"/>
      <w:marLeft w:val="0"/>
      <w:marRight w:val="0"/>
      <w:marTop w:val="0"/>
      <w:marBottom w:val="0"/>
      <w:divBdr>
        <w:top w:val="none" w:sz="0" w:space="0" w:color="auto"/>
        <w:left w:val="none" w:sz="0" w:space="0" w:color="auto"/>
        <w:bottom w:val="none" w:sz="0" w:space="0" w:color="auto"/>
        <w:right w:val="none" w:sz="0" w:space="0" w:color="auto"/>
      </w:divBdr>
    </w:div>
    <w:div w:id="598222979">
      <w:bodyDiv w:val="1"/>
      <w:marLeft w:val="0"/>
      <w:marRight w:val="0"/>
      <w:marTop w:val="0"/>
      <w:marBottom w:val="0"/>
      <w:divBdr>
        <w:top w:val="none" w:sz="0" w:space="0" w:color="auto"/>
        <w:left w:val="none" w:sz="0" w:space="0" w:color="auto"/>
        <w:bottom w:val="none" w:sz="0" w:space="0" w:color="auto"/>
        <w:right w:val="none" w:sz="0" w:space="0" w:color="auto"/>
      </w:divBdr>
    </w:div>
    <w:div w:id="601307273">
      <w:bodyDiv w:val="1"/>
      <w:marLeft w:val="0"/>
      <w:marRight w:val="0"/>
      <w:marTop w:val="0"/>
      <w:marBottom w:val="0"/>
      <w:divBdr>
        <w:top w:val="none" w:sz="0" w:space="0" w:color="auto"/>
        <w:left w:val="none" w:sz="0" w:space="0" w:color="auto"/>
        <w:bottom w:val="none" w:sz="0" w:space="0" w:color="auto"/>
        <w:right w:val="none" w:sz="0" w:space="0" w:color="auto"/>
      </w:divBdr>
    </w:div>
    <w:div w:id="609240348">
      <w:bodyDiv w:val="1"/>
      <w:marLeft w:val="0"/>
      <w:marRight w:val="0"/>
      <w:marTop w:val="0"/>
      <w:marBottom w:val="0"/>
      <w:divBdr>
        <w:top w:val="none" w:sz="0" w:space="0" w:color="auto"/>
        <w:left w:val="none" w:sz="0" w:space="0" w:color="auto"/>
        <w:bottom w:val="none" w:sz="0" w:space="0" w:color="auto"/>
        <w:right w:val="none" w:sz="0" w:space="0" w:color="auto"/>
      </w:divBdr>
    </w:div>
    <w:div w:id="609895734">
      <w:bodyDiv w:val="1"/>
      <w:marLeft w:val="0"/>
      <w:marRight w:val="0"/>
      <w:marTop w:val="0"/>
      <w:marBottom w:val="0"/>
      <w:divBdr>
        <w:top w:val="none" w:sz="0" w:space="0" w:color="auto"/>
        <w:left w:val="none" w:sz="0" w:space="0" w:color="auto"/>
        <w:bottom w:val="none" w:sz="0" w:space="0" w:color="auto"/>
        <w:right w:val="none" w:sz="0" w:space="0" w:color="auto"/>
      </w:divBdr>
    </w:div>
    <w:div w:id="614409881">
      <w:bodyDiv w:val="1"/>
      <w:marLeft w:val="0"/>
      <w:marRight w:val="0"/>
      <w:marTop w:val="0"/>
      <w:marBottom w:val="0"/>
      <w:divBdr>
        <w:top w:val="none" w:sz="0" w:space="0" w:color="auto"/>
        <w:left w:val="none" w:sz="0" w:space="0" w:color="auto"/>
        <w:bottom w:val="none" w:sz="0" w:space="0" w:color="auto"/>
        <w:right w:val="none" w:sz="0" w:space="0" w:color="auto"/>
      </w:divBdr>
    </w:div>
    <w:div w:id="615022565">
      <w:bodyDiv w:val="1"/>
      <w:marLeft w:val="0"/>
      <w:marRight w:val="0"/>
      <w:marTop w:val="0"/>
      <w:marBottom w:val="0"/>
      <w:divBdr>
        <w:top w:val="none" w:sz="0" w:space="0" w:color="auto"/>
        <w:left w:val="none" w:sz="0" w:space="0" w:color="auto"/>
        <w:bottom w:val="none" w:sz="0" w:space="0" w:color="auto"/>
        <w:right w:val="none" w:sz="0" w:space="0" w:color="auto"/>
      </w:divBdr>
    </w:div>
    <w:div w:id="615873001">
      <w:bodyDiv w:val="1"/>
      <w:marLeft w:val="0"/>
      <w:marRight w:val="0"/>
      <w:marTop w:val="0"/>
      <w:marBottom w:val="0"/>
      <w:divBdr>
        <w:top w:val="none" w:sz="0" w:space="0" w:color="auto"/>
        <w:left w:val="none" w:sz="0" w:space="0" w:color="auto"/>
        <w:bottom w:val="none" w:sz="0" w:space="0" w:color="auto"/>
        <w:right w:val="none" w:sz="0" w:space="0" w:color="auto"/>
      </w:divBdr>
    </w:div>
    <w:div w:id="617295034">
      <w:bodyDiv w:val="1"/>
      <w:marLeft w:val="0"/>
      <w:marRight w:val="0"/>
      <w:marTop w:val="0"/>
      <w:marBottom w:val="0"/>
      <w:divBdr>
        <w:top w:val="none" w:sz="0" w:space="0" w:color="auto"/>
        <w:left w:val="none" w:sz="0" w:space="0" w:color="auto"/>
        <w:bottom w:val="none" w:sz="0" w:space="0" w:color="auto"/>
        <w:right w:val="none" w:sz="0" w:space="0" w:color="auto"/>
      </w:divBdr>
    </w:div>
    <w:div w:id="618805011">
      <w:bodyDiv w:val="1"/>
      <w:marLeft w:val="0"/>
      <w:marRight w:val="0"/>
      <w:marTop w:val="0"/>
      <w:marBottom w:val="0"/>
      <w:divBdr>
        <w:top w:val="none" w:sz="0" w:space="0" w:color="auto"/>
        <w:left w:val="none" w:sz="0" w:space="0" w:color="auto"/>
        <w:bottom w:val="none" w:sz="0" w:space="0" w:color="auto"/>
        <w:right w:val="none" w:sz="0" w:space="0" w:color="auto"/>
      </w:divBdr>
    </w:div>
    <w:div w:id="620693528">
      <w:bodyDiv w:val="1"/>
      <w:marLeft w:val="0"/>
      <w:marRight w:val="0"/>
      <w:marTop w:val="0"/>
      <w:marBottom w:val="0"/>
      <w:divBdr>
        <w:top w:val="none" w:sz="0" w:space="0" w:color="auto"/>
        <w:left w:val="none" w:sz="0" w:space="0" w:color="auto"/>
        <w:bottom w:val="none" w:sz="0" w:space="0" w:color="auto"/>
        <w:right w:val="none" w:sz="0" w:space="0" w:color="auto"/>
      </w:divBdr>
    </w:div>
    <w:div w:id="623541374">
      <w:bodyDiv w:val="1"/>
      <w:marLeft w:val="0"/>
      <w:marRight w:val="0"/>
      <w:marTop w:val="0"/>
      <w:marBottom w:val="0"/>
      <w:divBdr>
        <w:top w:val="none" w:sz="0" w:space="0" w:color="auto"/>
        <w:left w:val="none" w:sz="0" w:space="0" w:color="auto"/>
        <w:bottom w:val="none" w:sz="0" w:space="0" w:color="auto"/>
        <w:right w:val="none" w:sz="0" w:space="0" w:color="auto"/>
      </w:divBdr>
    </w:div>
    <w:div w:id="624581246">
      <w:bodyDiv w:val="1"/>
      <w:marLeft w:val="0"/>
      <w:marRight w:val="0"/>
      <w:marTop w:val="0"/>
      <w:marBottom w:val="0"/>
      <w:divBdr>
        <w:top w:val="none" w:sz="0" w:space="0" w:color="auto"/>
        <w:left w:val="none" w:sz="0" w:space="0" w:color="auto"/>
        <w:bottom w:val="none" w:sz="0" w:space="0" w:color="auto"/>
        <w:right w:val="none" w:sz="0" w:space="0" w:color="auto"/>
      </w:divBdr>
    </w:div>
    <w:div w:id="624585736">
      <w:bodyDiv w:val="1"/>
      <w:marLeft w:val="0"/>
      <w:marRight w:val="0"/>
      <w:marTop w:val="0"/>
      <w:marBottom w:val="0"/>
      <w:divBdr>
        <w:top w:val="none" w:sz="0" w:space="0" w:color="auto"/>
        <w:left w:val="none" w:sz="0" w:space="0" w:color="auto"/>
        <w:bottom w:val="none" w:sz="0" w:space="0" w:color="auto"/>
        <w:right w:val="none" w:sz="0" w:space="0" w:color="auto"/>
      </w:divBdr>
    </w:div>
    <w:div w:id="627856569">
      <w:bodyDiv w:val="1"/>
      <w:marLeft w:val="0"/>
      <w:marRight w:val="0"/>
      <w:marTop w:val="0"/>
      <w:marBottom w:val="0"/>
      <w:divBdr>
        <w:top w:val="none" w:sz="0" w:space="0" w:color="auto"/>
        <w:left w:val="none" w:sz="0" w:space="0" w:color="auto"/>
        <w:bottom w:val="none" w:sz="0" w:space="0" w:color="auto"/>
        <w:right w:val="none" w:sz="0" w:space="0" w:color="auto"/>
      </w:divBdr>
    </w:div>
    <w:div w:id="630138806">
      <w:bodyDiv w:val="1"/>
      <w:marLeft w:val="0"/>
      <w:marRight w:val="0"/>
      <w:marTop w:val="0"/>
      <w:marBottom w:val="0"/>
      <w:divBdr>
        <w:top w:val="none" w:sz="0" w:space="0" w:color="auto"/>
        <w:left w:val="none" w:sz="0" w:space="0" w:color="auto"/>
        <w:bottom w:val="none" w:sz="0" w:space="0" w:color="auto"/>
        <w:right w:val="none" w:sz="0" w:space="0" w:color="auto"/>
      </w:divBdr>
    </w:div>
    <w:div w:id="632954088">
      <w:bodyDiv w:val="1"/>
      <w:marLeft w:val="0"/>
      <w:marRight w:val="0"/>
      <w:marTop w:val="0"/>
      <w:marBottom w:val="0"/>
      <w:divBdr>
        <w:top w:val="none" w:sz="0" w:space="0" w:color="auto"/>
        <w:left w:val="none" w:sz="0" w:space="0" w:color="auto"/>
        <w:bottom w:val="none" w:sz="0" w:space="0" w:color="auto"/>
        <w:right w:val="none" w:sz="0" w:space="0" w:color="auto"/>
      </w:divBdr>
    </w:div>
    <w:div w:id="635453471">
      <w:bodyDiv w:val="1"/>
      <w:marLeft w:val="0"/>
      <w:marRight w:val="0"/>
      <w:marTop w:val="0"/>
      <w:marBottom w:val="0"/>
      <w:divBdr>
        <w:top w:val="none" w:sz="0" w:space="0" w:color="auto"/>
        <w:left w:val="none" w:sz="0" w:space="0" w:color="auto"/>
        <w:bottom w:val="none" w:sz="0" w:space="0" w:color="auto"/>
        <w:right w:val="none" w:sz="0" w:space="0" w:color="auto"/>
      </w:divBdr>
    </w:div>
    <w:div w:id="635531366">
      <w:bodyDiv w:val="1"/>
      <w:marLeft w:val="0"/>
      <w:marRight w:val="0"/>
      <w:marTop w:val="0"/>
      <w:marBottom w:val="0"/>
      <w:divBdr>
        <w:top w:val="none" w:sz="0" w:space="0" w:color="auto"/>
        <w:left w:val="none" w:sz="0" w:space="0" w:color="auto"/>
        <w:bottom w:val="none" w:sz="0" w:space="0" w:color="auto"/>
        <w:right w:val="none" w:sz="0" w:space="0" w:color="auto"/>
      </w:divBdr>
    </w:div>
    <w:div w:id="637416209">
      <w:bodyDiv w:val="1"/>
      <w:marLeft w:val="0"/>
      <w:marRight w:val="0"/>
      <w:marTop w:val="0"/>
      <w:marBottom w:val="0"/>
      <w:divBdr>
        <w:top w:val="none" w:sz="0" w:space="0" w:color="auto"/>
        <w:left w:val="none" w:sz="0" w:space="0" w:color="auto"/>
        <w:bottom w:val="none" w:sz="0" w:space="0" w:color="auto"/>
        <w:right w:val="none" w:sz="0" w:space="0" w:color="auto"/>
      </w:divBdr>
    </w:div>
    <w:div w:id="637803133">
      <w:bodyDiv w:val="1"/>
      <w:marLeft w:val="0"/>
      <w:marRight w:val="0"/>
      <w:marTop w:val="0"/>
      <w:marBottom w:val="0"/>
      <w:divBdr>
        <w:top w:val="none" w:sz="0" w:space="0" w:color="auto"/>
        <w:left w:val="none" w:sz="0" w:space="0" w:color="auto"/>
        <w:bottom w:val="none" w:sz="0" w:space="0" w:color="auto"/>
        <w:right w:val="none" w:sz="0" w:space="0" w:color="auto"/>
      </w:divBdr>
    </w:div>
    <w:div w:id="645014619">
      <w:bodyDiv w:val="1"/>
      <w:marLeft w:val="0"/>
      <w:marRight w:val="0"/>
      <w:marTop w:val="0"/>
      <w:marBottom w:val="0"/>
      <w:divBdr>
        <w:top w:val="none" w:sz="0" w:space="0" w:color="auto"/>
        <w:left w:val="none" w:sz="0" w:space="0" w:color="auto"/>
        <w:bottom w:val="none" w:sz="0" w:space="0" w:color="auto"/>
        <w:right w:val="none" w:sz="0" w:space="0" w:color="auto"/>
      </w:divBdr>
    </w:div>
    <w:div w:id="646711257">
      <w:bodyDiv w:val="1"/>
      <w:marLeft w:val="0"/>
      <w:marRight w:val="0"/>
      <w:marTop w:val="0"/>
      <w:marBottom w:val="0"/>
      <w:divBdr>
        <w:top w:val="none" w:sz="0" w:space="0" w:color="auto"/>
        <w:left w:val="none" w:sz="0" w:space="0" w:color="auto"/>
        <w:bottom w:val="none" w:sz="0" w:space="0" w:color="auto"/>
        <w:right w:val="none" w:sz="0" w:space="0" w:color="auto"/>
      </w:divBdr>
    </w:div>
    <w:div w:id="653610723">
      <w:bodyDiv w:val="1"/>
      <w:marLeft w:val="0"/>
      <w:marRight w:val="0"/>
      <w:marTop w:val="0"/>
      <w:marBottom w:val="0"/>
      <w:divBdr>
        <w:top w:val="none" w:sz="0" w:space="0" w:color="auto"/>
        <w:left w:val="none" w:sz="0" w:space="0" w:color="auto"/>
        <w:bottom w:val="none" w:sz="0" w:space="0" w:color="auto"/>
        <w:right w:val="none" w:sz="0" w:space="0" w:color="auto"/>
      </w:divBdr>
    </w:div>
    <w:div w:id="654408156">
      <w:bodyDiv w:val="1"/>
      <w:marLeft w:val="0"/>
      <w:marRight w:val="0"/>
      <w:marTop w:val="0"/>
      <w:marBottom w:val="0"/>
      <w:divBdr>
        <w:top w:val="none" w:sz="0" w:space="0" w:color="auto"/>
        <w:left w:val="none" w:sz="0" w:space="0" w:color="auto"/>
        <w:bottom w:val="none" w:sz="0" w:space="0" w:color="auto"/>
        <w:right w:val="none" w:sz="0" w:space="0" w:color="auto"/>
      </w:divBdr>
    </w:div>
    <w:div w:id="658777839">
      <w:bodyDiv w:val="1"/>
      <w:marLeft w:val="0"/>
      <w:marRight w:val="0"/>
      <w:marTop w:val="0"/>
      <w:marBottom w:val="0"/>
      <w:divBdr>
        <w:top w:val="none" w:sz="0" w:space="0" w:color="auto"/>
        <w:left w:val="none" w:sz="0" w:space="0" w:color="auto"/>
        <w:bottom w:val="none" w:sz="0" w:space="0" w:color="auto"/>
        <w:right w:val="none" w:sz="0" w:space="0" w:color="auto"/>
      </w:divBdr>
    </w:div>
    <w:div w:id="660281459">
      <w:bodyDiv w:val="1"/>
      <w:marLeft w:val="0"/>
      <w:marRight w:val="0"/>
      <w:marTop w:val="0"/>
      <w:marBottom w:val="0"/>
      <w:divBdr>
        <w:top w:val="none" w:sz="0" w:space="0" w:color="auto"/>
        <w:left w:val="none" w:sz="0" w:space="0" w:color="auto"/>
        <w:bottom w:val="none" w:sz="0" w:space="0" w:color="auto"/>
        <w:right w:val="none" w:sz="0" w:space="0" w:color="auto"/>
      </w:divBdr>
    </w:div>
    <w:div w:id="664285711">
      <w:bodyDiv w:val="1"/>
      <w:marLeft w:val="0"/>
      <w:marRight w:val="0"/>
      <w:marTop w:val="0"/>
      <w:marBottom w:val="0"/>
      <w:divBdr>
        <w:top w:val="none" w:sz="0" w:space="0" w:color="auto"/>
        <w:left w:val="none" w:sz="0" w:space="0" w:color="auto"/>
        <w:bottom w:val="none" w:sz="0" w:space="0" w:color="auto"/>
        <w:right w:val="none" w:sz="0" w:space="0" w:color="auto"/>
      </w:divBdr>
    </w:div>
    <w:div w:id="666129919">
      <w:bodyDiv w:val="1"/>
      <w:marLeft w:val="0"/>
      <w:marRight w:val="0"/>
      <w:marTop w:val="0"/>
      <w:marBottom w:val="0"/>
      <w:divBdr>
        <w:top w:val="none" w:sz="0" w:space="0" w:color="auto"/>
        <w:left w:val="none" w:sz="0" w:space="0" w:color="auto"/>
        <w:bottom w:val="none" w:sz="0" w:space="0" w:color="auto"/>
        <w:right w:val="none" w:sz="0" w:space="0" w:color="auto"/>
      </w:divBdr>
    </w:div>
    <w:div w:id="666789508">
      <w:bodyDiv w:val="1"/>
      <w:marLeft w:val="0"/>
      <w:marRight w:val="0"/>
      <w:marTop w:val="0"/>
      <w:marBottom w:val="0"/>
      <w:divBdr>
        <w:top w:val="none" w:sz="0" w:space="0" w:color="auto"/>
        <w:left w:val="none" w:sz="0" w:space="0" w:color="auto"/>
        <w:bottom w:val="none" w:sz="0" w:space="0" w:color="auto"/>
        <w:right w:val="none" w:sz="0" w:space="0" w:color="auto"/>
      </w:divBdr>
    </w:div>
    <w:div w:id="667951233">
      <w:bodyDiv w:val="1"/>
      <w:marLeft w:val="0"/>
      <w:marRight w:val="0"/>
      <w:marTop w:val="0"/>
      <w:marBottom w:val="0"/>
      <w:divBdr>
        <w:top w:val="none" w:sz="0" w:space="0" w:color="auto"/>
        <w:left w:val="none" w:sz="0" w:space="0" w:color="auto"/>
        <w:bottom w:val="none" w:sz="0" w:space="0" w:color="auto"/>
        <w:right w:val="none" w:sz="0" w:space="0" w:color="auto"/>
      </w:divBdr>
    </w:div>
    <w:div w:id="669219635">
      <w:bodyDiv w:val="1"/>
      <w:marLeft w:val="0"/>
      <w:marRight w:val="0"/>
      <w:marTop w:val="0"/>
      <w:marBottom w:val="0"/>
      <w:divBdr>
        <w:top w:val="none" w:sz="0" w:space="0" w:color="auto"/>
        <w:left w:val="none" w:sz="0" w:space="0" w:color="auto"/>
        <w:bottom w:val="none" w:sz="0" w:space="0" w:color="auto"/>
        <w:right w:val="none" w:sz="0" w:space="0" w:color="auto"/>
      </w:divBdr>
    </w:div>
    <w:div w:id="671104338">
      <w:bodyDiv w:val="1"/>
      <w:marLeft w:val="0"/>
      <w:marRight w:val="0"/>
      <w:marTop w:val="0"/>
      <w:marBottom w:val="0"/>
      <w:divBdr>
        <w:top w:val="none" w:sz="0" w:space="0" w:color="auto"/>
        <w:left w:val="none" w:sz="0" w:space="0" w:color="auto"/>
        <w:bottom w:val="none" w:sz="0" w:space="0" w:color="auto"/>
        <w:right w:val="none" w:sz="0" w:space="0" w:color="auto"/>
      </w:divBdr>
    </w:div>
    <w:div w:id="672613429">
      <w:bodyDiv w:val="1"/>
      <w:marLeft w:val="0"/>
      <w:marRight w:val="0"/>
      <w:marTop w:val="0"/>
      <w:marBottom w:val="0"/>
      <w:divBdr>
        <w:top w:val="none" w:sz="0" w:space="0" w:color="auto"/>
        <w:left w:val="none" w:sz="0" w:space="0" w:color="auto"/>
        <w:bottom w:val="none" w:sz="0" w:space="0" w:color="auto"/>
        <w:right w:val="none" w:sz="0" w:space="0" w:color="auto"/>
      </w:divBdr>
    </w:div>
    <w:div w:id="678627665">
      <w:bodyDiv w:val="1"/>
      <w:marLeft w:val="0"/>
      <w:marRight w:val="0"/>
      <w:marTop w:val="0"/>
      <w:marBottom w:val="0"/>
      <w:divBdr>
        <w:top w:val="none" w:sz="0" w:space="0" w:color="auto"/>
        <w:left w:val="none" w:sz="0" w:space="0" w:color="auto"/>
        <w:bottom w:val="none" w:sz="0" w:space="0" w:color="auto"/>
        <w:right w:val="none" w:sz="0" w:space="0" w:color="auto"/>
      </w:divBdr>
    </w:div>
    <w:div w:id="679506675">
      <w:bodyDiv w:val="1"/>
      <w:marLeft w:val="0"/>
      <w:marRight w:val="0"/>
      <w:marTop w:val="0"/>
      <w:marBottom w:val="0"/>
      <w:divBdr>
        <w:top w:val="none" w:sz="0" w:space="0" w:color="auto"/>
        <w:left w:val="none" w:sz="0" w:space="0" w:color="auto"/>
        <w:bottom w:val="none" w:sz="0" w:space="0" w:color="auto"/>
        <w:right w:val="none" w:sz="0" w:space="0" w:color="auto"/>
      </w:divBdr>
    </w:div>
    <w:div w:id="681857478">
      <w:bodyDiv w:val="1"/>
      <w:marLeft w:val="0"/>
      <w:marRight w:val="0"/>
      <w:marTop w:val="0"/>
      <w:marBottom w:val="0"/>
      <w:divBdr>
        <w:top w:val="none" w:sz="0" w:space="0" w:color="auto"/>
        <w:left w:val="none" w:sz="0" w:space="0" w:color="auto"/>
        <w:bottom w:val="none" w:sz="0" w:space="0" w:color="auto"/>
        <w:right w:val="none" w:sz="0" w:space="0" w:color="auto"/>
      </w:divBdr>
    </w:div>
    <w:div w:id="683213820">
      <w:bodyDiv w:val="1"/>
      <w:marLeft w:val="0"/>
      <w:marRight w:val="0"/>
      <w:marTop w:val="0"/>
      <w:marBottom w:val="0"/>
      <w:divBdr>
        <w:top w:val="none" w:sz="0" w:space="0" w:color="auto"/>
        <w:left w:val="none" w:sz="0" w:space="0" w:color="auto"/>
        <w:bottom w:val="none" w:sz="0" w:space="0" w:color="auto"/>
        <w:right w:val="none" w:sz="0" w:space="0" w:color="auto"/>
      </w:divBdr>
    </w:div>
    <w:div w:id="685794626">
      <w:bodyDiv w:val="1"/>
      <w:marLeft w:val="0"/>
      <w:marRight w:val="0"/>
      <w:marTop w:val="0"/>
      <w:marBottom w:val="0"/>
      <w:divBdr>
        <w:top w:val="none" w:sz="0" w:space="0" w:color="auto"/>
        <w:left w:val="none" w:sz="0" w:space="0" w:color="auto"/>
        <w:bottom w:val="none" w:sz="0" w:space="0" w:color="auto"/>
        <w:right w:val="none" w:sz="0" w:space="0" w:color="auto"/>
      </w:divBdr>
    </w:div>
    <w:div w:id="686180265">
      <w:bodyDiv w:val="1"/>
      <w:marLeft w:val="0"/>
      <w:marRight w:val="0"/>
      <w:marTop w:val="0"/>
      <w:marBottom w:val="0"/>
      <w:divBdr>
        <w:top w:val="none" w:sz="0" w:space="0" w:color="auto"/>
        <w:left w:val="none" w:sz="0" w:space="0" w:color="auto"/>
        <w:bottom w:val="none" w:sz="0" w:space="0" w:color="auto"/>
        <w:right w:val="none" w:sz="0" w:space="0" w:color="auto"/>
      </w:divBdr>
    </w:div>
    <w:div w:id="686836085">
      <w:bodyDiv w:val="1"/>
      <w:marLeft w:val="0"/>
      <w:marRight w:val="0"/>
      <w:marTop w:val="0"/>
      <w:marBottom w:val="0"/>
      <w:divBdr>
        <w:top w:val="none" w:sz="0" w:space="0" w:color="auto"/>
        <w:left w:val="none" w:sz="0" w:space="0" w:color="auto"/>
        <w:bottom w:val="none" w:sz="0" w:space="0" w:color="auto"/>
        <w:right w:val="none" w:sz="0" w:space="0" w:color="auto"/>
      </w:divBdr>
    </w:div>
    <w:div w:id="694888068">
      <w:bodyDiv w:val="1"/>
      <w:marLeft w:val="0"/>
      <w:marRight w:val="0"/>
      <w:marTop w:val="0"/>
      <w:marBottom w:val="0"/>
      <w:divBdr>
        <w:top w:val="none" w:sz="0" w:space="0" w:color="auto"/>
        <w:left w:val="none" w:sz="0" w:space="0" w:color="auto"/>
        <w:bottom w:val="none" w:sz="0" w:space="0" w:color="auto"/>
        <w:right w:val="none" w:sz="0" w:space="0" w:color="auto"/>
      </w:divBdr>
    </w:div>
    <w:div w:id="701980299">
      <w:bodyDiv w:val="1"/>
      <w:marLeft w:val="0"/>
      <w:marRight w:val="0"/>
      <w:marTop w:val="0"/>
      <w:marBottom w:val="0"/>
      <w:divBdr>
        <w:top w:val="none" w:sz="0" w:space="0" w:color="auto"/>
        <w:left w:val="none" w:sz="0" w:space="0" w:color="auto"/>
        <w:bottom w:val="none" w:sz="0" w:space="0" w:color="auto"/>
        <w:right w:val="none" w:sz="0" w:space="0" w:color="auto"/>
      </w:divBdr>
    </w:div>
    <w:div w:id="704453719">
      <w:bodyDiv w:val="1"/>
      <w:marLeft w:val="0"/>
      <w:marRight w:val="0"/>
      <w:marTop w:val="0"/>
      <w:marBottom w:val="0"/>
      <w:divBdr>
        <w:top w:val="none" w:sz="0" w:space="0" w:color="auto"/>
        <w:left w:val="none" w:sz="0" w:space="0" w:color="auto"/>
        <w:bottom w:val="none" w:sz="0" w:space="0" w:color="auto"/>
        <w:right w:val="none" w:sz="0" w:space="0" w:color="auto"/>
      </w:divBdr>
    </w:div>
    <w:div w:id="712001819">
      <w:bodyDiv w:val="1"/>
      <w:marLeft w:val="0"/>
      <w:marRight w:val="0"/>
      <w:marTop w:val="0"/>
      <w:marBottom w:val="0"/>
      <w:divBdr>
        <w:top w:val="none" w:sz="0" w:space="0" w:color="auto"/>
        <w:left w:val="none" w:sz="0" w:space="0" w:color="auto"/>
        <w:bottom w:val="none" w:sz="0" w:space="0" w:color="auto"/>
        <w:right w:val="none" w:sz="0" w:space="0" w:color="auto"/>
      </w:divBdr>
    </w:div>
    <w:div w:id="713240429">
      <w:bodyDiv w:val="1"/>
      <w:marLeft w:val="0"/>
      <w:marRight w:val="0"/>
      <w:marTop w:val="0"/>
      <w:marBottom w:val="0"/>
      <w:divBdr>
        <w:top w:val="none" w:sz="0" w:space="0" w:color="auto"/>
        <w:left w:val="none" w:sz="0" w:space="0" w:color="auto"/>
        <w:bottom w:val="none" w:sz="0" w:space="0" w:color="auto"/>
        <w:right w:val="none" w:sz="0" w:space="0" w:color="auto"/>
      </w:divBdr>
    </w:div>
    <w:div w:id="714813334">
      <w:bodyDiv w:val="1"/>
      <w:marLeft w:val="0"/>
      <w:marRight w:val="0"/>
      <w:marTop w:val="0"/>
      <w:marBottom w:val="0"/>
      <w:divBdr>
        <w:top w:val="none" w:sz="0" w:space="0" w:color="auto"/>
        <w:left w:val="none" w:sz="0" w:space="0" w:color="auto"/>
        <w:bottom w:val="none" w:sz="0" w:space="0" w:color="auto"/>
        <w:right w:val="none" w:sz="0" w:space="0" w:color="auto"/>
      </w:divBdr>
    </w:div>
    <w:div w:id="715204031">
      <w:bodyDiv w:val="1"/>
      <w:marLeft w:val="0"/>
      <w:marRight w:val="0"/>
      <w:marTop w:val="0"/>
      <w:marBottom w:val="0"/>
      <w:divBdr>
        <w:top w:val="none" w:sz="0" w:space="0" w:color="auto"/>
        <w:left w:val="none" w:sz="0" w:space="0" w:color="auto"/>
        <w:bottom w:val="none" w:sz="0" w:space="0" w:color="auto"/>
        <w:right w:val="none" w:sz="0" w:space="0" w:color="auto"/>
      </w:divBdr>
    </w:div>
    <w:div w:id="715739846">
      <w:bodyDiv w:val="1"/>
      <w:marLeft w:val="0"/>
      <w:marRight w:val="0"/>
      <w:marTop w:val="0"/>
      <w:marBottom w:val="0"/>
      <w:divBdr>
        <w:top w:val="none" w:sz="0" w:space="0" w:color="auto"/>
        <w:left w:val="none" w:sz="0" w:space="0" w:color="auto"/>
        <w:bottom w:val="none" w:sz="0" w:space="0" w:color="auto"/>
        <w:right w:val="none" w:sz="0" w:space="0" w:color="auto"/>
      </w:divBdr>
    </w:div>
    <w:div w:id="716928015">
      <w:bodyDiv w:val="1"/>
      <w:marLeft w:val="0"/>
      <w:marRight w:val="0"/>
      <w:marTop w:val="0"/>
      <w:marBottom w:val="0"/>
      <w:divBdr>
        <w:top w:val="none" w:sz="0" w:space="0" w:color="auto"/>
        <w:left w:val="none" w:sz="0" w:space="0" w:color="auto"/>
        <w:bottom w:val="none" w:sz="0" w:space="0" w:color="auto"/>
        <w:right w:val="none" w:sz="0" w:space="0" w:color="auto"/>
      </w:divBdr>
    </w:div>
    <w:div w:id="718360556">
      <w:bodyDiv w:val="1"/>
      <w:marLeft w:val="0"/>
      <w:marRight w:val="0"/>
      <w:marTop w:val="0"/>
      <w:marBottom w:val="0"/>
      <w:divBdr>
        <w:top w:val="none" w:sz="0" w:space="0" w:color="auto"/>
        <w:left w:val="none" w:sz="0" w:space="0" w:color="auto"/>
        <w:bottom w:val="none" w:sz="0" w:space="0" w:color="auto"/>
        <w:right w:val="none" w:sz="0" w:space="0" w:color="auto"/>
      </w:divBdr>
    </w:div>
    <w:div w:id="724455065">
      <w:bodyDiv w:val="1"/>
      <w:marLeft w:val="0"/>
      <w:marRight w:val="0"/>
      <w:marTop w:val="0"/>
      <w:marBottom w:val="0"/>
      <w:divBdr>
        <w:top w:val="none" w:sz="0" w:space="0" w:color="auto"/>
        <w:left w:val="none" w:sz="0" w:space="0" w:color="auto"/>
        <w:bottom w:val="none" w:sz="0" w:space="0" w:color="auto"/>
        <w:right w:val="none" w:sz="0" w:space="0" w:color="auto"/>
      </w:divBdr>
    </w:div>
    <w:div w:id="727387865">
      <w:bodyDiv w:val="1"/>
      <w:marLeft w:val="0"/>
      <w:marRight w:val="0"/>
      <w:marTop w:val="0"/>
      <w:marBottom w:val="0"/>
      <w:divBdr>
        <w:top w:val="none" w:sz="0" w:space="0" w:color="auto"/>
        <w:left w:val="none" w:sz="0" w:space="0" w:color="auto"/>
        <w:bottom w:val="none" w:sz="0" w:space="0" w:color="auto"/>
        <w:right w:val="none" w:sz="0" w:space="0" w:color="auto"/>
      </w:divBdr>
    </w:div>
    <w:div w:id="729380433">
      <w:bodyDiv w:val="1"/>
      <w:marLeft w:val="0"/>
      <w:marRight w:val="0"/>
      <w:marTop w:val="0"/>
      <w:marBottom w:val="0"/>
      <w:divBdr>
        <w:top w:val="none" w:sz="0" w:space="0" w:color="auto"/>
        <w:left w:val="none" w:sz="0" w:space="0" w:color="auto"/>
        <w:bottom w:val="none" w:sz="0" w:space="0" w:color="auto"/>
        <w:right w:val="none" w:sz="0" w:space="0" w:color="auto"/>
      </w:divBdr>
    </w:div>
    <w:div w:id="734157745">
      <w:bodyDiv w:val="1"/>
      <w:marLeft w:val="0"/>
      <w:marRight w:val="0"/>
      <w:marTop w:val="0"/>
      <w:marBottom w:val="0"/>
      <w:divBdr>
        <w:top w:val="none" w:sz="0" w:space="0" w:color="auto"/>
        <w:left w:val="none" w:sz="0" w:space="0" w:color="auto"/>
        <w:bottom w:val="none" w:sz="0" w:space="0" w:color="auto"/>
        <w:right w:val="none" w:sz="0" w:space="0" w:color="auto"/>
      </w:divBdr>
    </w:div>
    <w:div w:id="736052679">
      <w:bodyDiv w:val="1"/>
      <w:marLeft w:val="0"/>
      <w:marRight w:val="0"/>
      <w:marTop w:val="0"/>
      <w:marBottom w:val="0"/>
      <w:divBdr>
        <w:top w:val="none" w:sz="0" w:space="0" w:color="auto"/>
        <w:left w:val="none" w:sz="0" w:space="0" w:color="auto"/>
        <w:bottom w:val="none" w:sz="0" w:space="0" w:color="auto"/>
        <w:right w:val="none" w:sz="0" w:space="0" w:color="auto"/>
      </w:divBdr>
    </w:div>
    <w:div w:id="737366412">
      <w:bodyDiv w:val="1"/>
      <w:marLeft w:val="0"/>
      <w:marRight w:val="0"/>
      <w:marTop w:val="0"/>
      <w:marBottom w:val="0"/>
      <w:divBdr>
        <w:top w:val="none" w:sz="0" w:space="0" w:color="auto"/>
        <w:left w:val="none" w:sz="0" w:space="0" w:color="auto"/>
        <w:bottom w:val="none" w:sz="0" w:space="0" w:color="auto"/>
        <w:right w:val="none" w:sz="0" w:space="0" w:color="auto"/>
      </w:divBdr>
    </w:div>
    <w:div w:id="738553884">
      <w:bodyDiv w:val="1"/>
      <w:marLeft w:val="0"/>
      <w:marRight w:val="0"/>
      <w:marTop w:val="0"/>
      <w:marBottom w:val="0"/>
      <w:divBdr>
        <w:top w:val="none" w:sz="0" w:space="0" w:color="auto"/>
        <w:left w:val="none" w:sz="0" w:space="0" w:color="auto"/>
        <w:bottom w:val="none" w:sz="0" w:space="0" w:color="auto"/>
        <w:right w:val="none" w:sz="0" w:space="0" w:color="auto"/>
      </w:divBdr>
    </w:div>
    <w:div w:id="740568512">
      <w:bodyDiv w:val="1"/>
      <w:marLeft w:val="0"/>
      <w:marRight w:val="0"/>
      <w:marTop w:val="0"/>
      <w:marBottom w:val="0"/>
      <w:divBdr>
        <w:top w:val="none" w:sz="0" w:space="0" w:color="auto"/>
        <w:left w:val="none" w:sz="0" w:space="0" w:color="auto"/>
        <w:bottom w:val="none" w:sz="0" w:space="0" w:color="auto"/>
        <w:right w:val="none" w:sz="0" w:space="0" w:color="auto"/>
      </w:divBdr>
    </w:div>
    <w:div w:id="743143957">
      <w:bodyDiv w:val="1"/>
      <w:marLeft w:val="0"/>
      <w:marRight w:val="0"/>
      <w:marTop w:val="0"/>
      <w:marBottom w:val="0"/>
      <w:divBdr>
        <w:top w:val="none" w:sz="0" w:space="0" w:color="auto"/>
        <w:left w:val="none" w:sz="0" w:space="0" w:color="auto"/>
        <w:bottom w:val="none" w:sz="0" w:space="0" w:color="auto"/>
        <w:right w:val="none" w:sz="0" w:space="0" w:color="auto"/>
      </w:divBdr>
    </w:div>
    <w:div w:id="747576017">
      <w:bodyDiv w:val="1"/>
      <w:marLeft w:val="0"/>
      <w:marRight w:val="0"/>
      <w:marTop w:val="0"/>
      <w:marBottom w:val="0"/>
      <w:divBdr>
        <w:top w:val="none" w:sz="0" w:space="0" w:color="auto"/>
        <w:left w:val="none" w:sz="0" w:space="0" w:color="auto"/>
        <w:bottom w:val="none" w:sz="0" w:space="0" w:color="auto"/>
        <w:right w:val="none" w:sz="0" w:space="0" w:color="auto"/>
      </w:divBdr>
    </w:div>
    <w:div w:id="747918475">
      <w:bodyDiv w:val="1"/>
      <w:marLeft w:val="0"/>
      <w:marRight w:val="0"/>
      <w:marTop w:val="0"/>
      <w:marBottom w:val="0"/>
      <w:divBdr>
        <w:top w:val="none" w:sz="0" w:space="0" w:color="auto"/>
        <w:left w:val="none" w:sz="0" w:space="0" w:color="auto"/>
        <w:bottom w:val="none" w:sz="0" w:space="0" w:color="auto"/>
        <w:right w:val="none" w:sz="0" w:space="0" w:color="auto"/>
      </w:divBdr>
    </w:div>
    <w:div w:id="751001488">
      <w:bodyDiv w:val="1"/>
      <w:marLeft w:val="0"/>
      <w:marRight w:val="0"/>
      <w:marTop w:val="0"/>
      <w:marBottom w:val="0"/>
      <w:divBdr>
        <w:top w:val="none" w:sz="0" w:space="0" w:color="auto"/>
        <w:left w:val="none" w:sz="0" w:space="0" w:color="auto"/>
        <w:bottom w:val="none" w:sz="0" w:space="0" w:color="auto"/>
        <w:right w:val="none" w:sz="0" w:space="0" w:color="auto"/>
      </w:divBdr>
    </w:div>
    <w:div w:id="752623466">
      <w:bodyDiv w:val="1"/>
      <w:marLeft w:val="0"/>
      <w:marRight w:val="0"/>
      <w:marTop w:val="0"/>
      <w:marBottom w:val="0"/>
      <w:divBdr>
        <w:top w:val="none" w:sz="0" w:space="0" w:color="auto"/>
        <w:left w:val="none" w:sz="0" w:space="0" w:color="auto"/>
        <w:bottom w:val="none" w:sz="0" w:space="0" w:color="auto"/>
        <w:right w:val="none" w:sz="0" w:space="0" w:color="auto"/>
      </w:divBdr>
    </w:div>
    <w:div w:id="756287323">
      <w:bodyDiv w:val="1"/>
      <w:marLeft w:val="0"/>
      <w:marRight w:val="0"/>
      <w:marTop w:val="0"/>
      <w:marBottom w:val="0"/>
      <w:divBdr>
        <w:top w:val="none" w:sz="0" w:space="0" w:color="auto"/>
        <w:left w:val="none" w:sz="0" w:space="0" w:color="auto"/>
        <w:bottom w:val="none" w:sz="0" w:space="0" w:color="auto"/>
        <w:right w:val="none" w:sz="0" w:space="0" w:color="auto"/>
      </w:divBdr>
    </w:div>
    <w:div w:id="758791240">
      <w:bodyDiv w:val="1"/>
      <w:marLeft w:val="0"/>
      <w:marRight w:val="0"/>
      <w:marTop w:val="0"/>
      <w:marBottom w:val="0"/>
      <w:divBdr>
        <w:top w:val="none" w:sz="0" w:space="0" w:color="auto"/>
        <w:left w:val="none" w:sz="0" w:space="0" w:color="auto"/>
        <w:bottom w:val="none" w:sz="0" w:space="0" w:color="auto"/>
        <w:right w:val="none" w:sz="0" w:space="0" w:color="auto"/>
      </w:divBdr>
    </w:div>
    <w:div w:id="761996416">
      <w:bodyDiv w:val="1"/>
      <w:marLeft w:val="0"/>
      <w:marRight w:val="0"/>
      <w:marTop w:val="0"/>
      <w:marBottom w:val="0"/>
      <w:divBdr>
        <w:top w:val="none" w:sz="0" w:space="0" w:color="auto"/>
        <w:left w:val="none" w:sz="0" w:space="0" w:color="auto"/>
        <w:bottom w:val="none" w:sz="0" w:space="0" w:color="auto"/>
        <w:right w:val="none" w:sz="0" w:space="0" w:color="auto"/>
      </w:divBdr>
    </w:div>
    <w:div w:id="765537066">
      <w:bodyDiv w:val="1"/>
      <w:marLeft w:val="0"/>
      <w:marRight w:val="0"/>
      <w:marTop w:val="0"/>
      <w:marBottom w:val="0"/>
      <w:divBdr>
        <w:top w:val="none" w:sz="0" w:space="0" w:color="auto"/>
        <w:left w:val="none" w:sz="0" w:space="0" w:color="auto"/>
        <w:bottom w:val="none" w:sz="0" w:space="0" w:color="auto"/>
        <w:right w:val="none" w:sz="0" w:space="0" w:color="auto"/>
      </w:divBdr>
    </w:div>
    <w:div w:id="768159959">
      <w:bodyDiv w:val="1"/>
      <w:marLeft w:val="0"/>
      <w:marRight w:val="0"/>
      <w:marTop w:val="0"/>
      <w:marBottom w:val="0"/>
      <w:divBdr>
        <w:top w:val="none" w:sz="0" w:space="0" w:color="auto"/>
        <w:left w:val="none" w:sz="0" w:space="0" w:color="auto"/>
        <w:bottom w:val="none" w:sz="0" w:space="0" w:color="auto"/>
        <w:right w:val="none" w:sz="0" w:space="0" w:color="auto"/>
      </w:divBdr>
    </w:div>
    <w:div w:id="769546653">
      <w:bodyDiv w:val="1"/>
      <w:marLeft w:val="0"/>
      <w:marRight w:val="0"/>
      <w:marTop w:val="0"/>
      <w:marBottom w:val="0"/>
      <w:divBdr>
        <w:top w:val="none" w:sz="0" w:space="0" w:color="auto"/>
        <w:left w:val="none" w:sz="0" w:space="0" w:color="auto"/>
        <w:bottom w:val="none" w:sz="0" w:space="0" w:color="auto"/>
        <w:right w:val="none" w:sz="0" w:space="0" w:color="auto"/>
      </w:divBdr>
    </w:div>
    <w:div w:id="771584992">
      <w:bodyDiv w:val="1"/>
      <w:marLeft w:val="0"/>
      <w:marRight w:val="0"/>
      <w:marTop w:val="0"/>
      <w:marBottom w:val="0"/>
      <w:divBdr>
        <w:top w:val="none" w:sz="0" w:space="0" w:color="auto"/>
        <w:left w:val="none" w:sz="0" w:space="0" w:color="auto"/>
        <w:bottom w:val="none" w:sz="0" w:space="0" w:color="auto"/>
        <w:right w:val="none" w:sz="0" w:space="0" w:color="auto"/>
      </w:divBdr>
    </w:div>
    <w:div w:id="771973996">
      <w:bodyDiv w:val="1"/>
      <w:marLeft w:val="0"/>
      <w:marRight w:val="0"/>
      <w:marTop w:val="0"/>
      <w:marBottom w:val="0"/>
      <w:divBdr>
        <w:top w:val="none" w:sz="0" w:space="0" w:color="auto"/>
        <w:left w:val="none" w:sz="0" w:space="0" w:color="auto"/>
        <w:bottom w:val="none" w:sz="0" w:space="0" w:color="auto"/>
        <w:right w:val="none" w:sz="0" w:space="0" w:color="auto"/>
      </w:divBdr>
    </w:div>
    <w:div w:id="773132302">
      <w:bodyDiv w:val="1"/>
      <w:marLeft w:val="0"/>
      <w:marRight w:val="0"/>
      <w:marTop w:val="0"/>
      <w:marBottom w:val="0"/>
      <w:divBdr>
        <w:top w:val="none" w:sz="0" w:space="0" w:color="auto"/>
        <w:left w:val="none" w:sz="0" w:space="0" w:color="auto"/>
        <w:bottom w:val="none" w:sz="0" w:space="0" w:color="auto"/>
        <w:right w:val="none" w:sz="0" w:space="0" w:color="auto"/>
      </w:divBdr>
    </w:div>
    <w:div w:id="774401082">
      <w:bodyDiv w:val="1"/>
      <w:marLeft w:val="0"/>
      <w:marRight w:val="0"/>
      <w:marTop w:val="0"/>
      <w:marBottom w:val="0"/>
      <w:divBdr>
        <w:top w:val="none" w:sz="0" w:space="0" w:color="auto"/>
        <w:left w:val="none" w:sz="0" w:space="0" w:color="auto"/>
        <w:bottom w:val="none" w:sz="0" w:space="0" w:color="auto"/>
        <w:right w:val="none" w:sz="0" w:space="0" w:color="auto"/>
      </w:divBdr>
    </w:div>
    <w:div w:id="777140203">
      <w:bodyDiv w:val="1"/>
      <w:marLeft w:val="0"/>
      <w:marRight w:val="0"/>
      <w:marTop w:val="0"/>
      <w:marBottom w:val="0"/>
      <w:divBdr>
        <w:top w:val="none" w:sz="0" w:space="0" w:color="auto"/>
        <w:left w:val="none" w:sz="0" w:space="0" w:color="auto"/>
        <w:bottom w:val="none" w:sz="0" w:space="0" w:color="auto"/>
        <w:right w:val="none" w:sz="0" w:space="0" w:color="auto"/>
      </w:divBdr>
    </w:div>
    <w:div w:id="777456796">
      <w:bodyDiv w:val="1"/>
      <w:marLeft w:val="0"/>
      <w:marRight w:val="0"/>
      <w:marTop w:val="0"/>
      <w:marBottom w:val="0"/>
      <w:divBdr>
        <w:top w:val="none" w:sz="0" w:space="0" w:color="auto"/>
        <w:left w:val="none" w:sz="0" w:space="0" w:color="auto"/>
        <w:bottom w:val="none" w:sz="0" w:space="0" w:color="auto"/>
        <w:right w:val="none" w:sz="0" w:space="0" w:color="auto"/>
      </w:divBdr>
    </w:div>
    <w:div w:id="781001340">
      <w:bodyDiv w:val="1"/>
      <w:marLeft w:val="0"/>
      <w:marRight w:val="0"/>
      <w:marTop w:val="0"/>
      <w:marBottom w:val="0"/>
      <w:divBdr>
        <w:top w:val="none" w:sz="0" w:space="0" w:color="auto"/>
        <w:left w:val="none" w:sz="0" w:space="0" w:color="auto"/>
        <w:bottom w:val="none" w:sz="0" w:space="0" w:color="auto"/>
        <w:right w:val="none" w:sz="0" w:space="0" w:color="auto"/>
      </w:divBdr>
    </w:div>
    <w:div w:id="782765321">
      <w:bodyDiv w:val="1"/>
      <w:marLeft w:val="0"/>
      <w:marRight w:val="0"/>
      <w:marTop w:val="0"/>
      <w:marBottom w:val="0"/>
      <w:divBdr>
        <w:top w:val="none" w:sz="0" w:space="0" w:color="auto"/>
        <w:left w:val="none" w:sz="0" w:space="0" w:color="auto"/>
        <w:bottom w:val="none" w:sz="0" w:space="0" w:color="auto"/>
        <w:right w:val="none" w:sz="0" w:space="0" w:color="auto"/>
      </w:divBdr>
    </w:div>
    <w:div w:id="785663044">
      <w:bodyDiv w:val="1"/>
      <w:marLeft w:val="0"/>
      <w:marRight w:val="0"/>
      <w:marTop w:val="0"/>
      <w:marBottom w:val="0"/>
      <w:divBdr>
        <w:top w:val="none" w:sz="0" w:space="0" w:color="auto"/>
        <w:left w:val="none" w:sz="0" w:space="0" w:color="auto"/>
        <w:bottom w:val="none" w:sz="0" w:space="0" w:color="auto"/>
        <w:right w:val="none" w:sz="0" w:space="0" w:color="auto"/>
      </w:divBdr>
    </w:div>
    <w:div w:id="786849845">
      <w:bodyDiv w:val="1"/>
      <w:marLeft w:val="0"/>
      <w:marRight w:val="0"/>
      <w:marTop w:val="0"/>
      <w:marBottom w:val="0"/>
      <w:divBdr>
        <w:top w:val="none" w:sz="0" w:space="0" w:color="auto"/>
        <w:left w:val="none" w:sz="0" w:space="0" w:color="auto"/>
        <w:bottom w:val="none" w:sz="0" w:space="0" w:color="auto"/>
        <w:right w:val="none" w:sz="0" w:space="0" w:color="auto"/>
      </w:divBdr>
    </w:div>
    <w:div w:id="793065857">
      <w:bodyDiv w:val="1"/>
      <w:marLeft w:val="0"/>
      <w:marRight w:val="0"/>
      <w:marTop w:val="0"/>
      <w:marBottom w:val="0"/>
      <w:divBdr>
        <w:top w:val="none" w:sz="0" w:space="0" w:color="auto"/>
        <w:left w:val="none" w:sz="0" w:space="0" w:color="auto"/>
        <w:bottom w:val="none" w:sz="0" w:space="0" w:color="auto"/>
        <w:right w:val="none" w:sz="0" w:space="0" w:color="auto"/>
      </w:divBdr>
    </w:div>
    <w:div w:id="793131860">
      <w:bodyDiv w:val="1"/>
      <w:marLeft w:val="0"/>
      <w:marRight w:val="0"/>
      <w:marTop w:val="0"/>
      <w:marBottom w:val="0"/>
      <w:divBdr>
        <w:top w:val="none" w:sz="0" w:space="0" w:color="auto"/>
        <w:left w:val="none" w:sz="0" w:space="0" w:color="auto"/>
        <w:bottom w:val="none" w:sz="0" w:space="0" w:color="auto"/>
        <w:right w:val="none" w:sz="0" w:space="0" w:color="auto"/>
      </w:divBdr>
    </w:div>
    <w:div w:id="795029039">
      <w:bodyDiv w:val="1"/>
      <w:marLeft w:val="0"/>
      <w:marRight w:val="0"/>
      <w:marTop w:val="0"/>
      <w:marBottom w:val="0"/>
      <w:divBdr>
        <w:top w:val="none" w:sz="0" w:space="0" w:color="auto"/>
        <w:left w:val="none" w:sz="0" w:space="0" w:color="auto"/>
        <w:bottom w:val="none" w:sz="0" w:space="0" w:color="auto"/>
        <w:right w:val="none" w:sz="0" w:space="0" w:color="auto"/>
      </w:divBdr>
    </w:div>
    <w:div w:id="796681781">
      <w:bodyDiv w:val="1"/>
      <w:marLeft w:val="0"/>
      <w:marRight w:val="0"/>
      <w:marTop w:val="0"/>
      <w:marBottom w:val="0"/>
      <w:divBdr>
        <w:top w:val="none" w:sz="0" w:space="0" w:color="auto"/>
        <w:left w:val="none" w:sz="0" w:space="0" w:color="auto"/>
        <w:bottom w:val="none" w:sz="0" w:space="0" w:color="auto"/>
        <w:right w:val="none" w:sz="0" w:space="0" w:color="auto"/>
      </w:divBdr>
    </w:div>
    <w:div w:id="806047066">
      <w:bodyDiv w:val="1"/>
      <w:marLeft w:val="0"/>
      <w:marRight w:val="0"/>
      <w:marTop w:val="0"/>
      <w:marBottom w:val="0"/>
      <w:divBdr>
        <w:top w:val="none" w:sz="0" w:space="0" w:color="auto"/>
        <w:left w:val="none" w:sz="0" w:space="0" w:color="auto"/>
        <w:bottom w:val="none" w:sz="0" w:space="0" w:color="auto"/>
        <w:right w:val="none" w:sz="0" w:space="0" w:color="auto"/>
      </w:divBdr>
    </w:div>
    <w:div w:id="809128448">
      <w:bodyDiv w:val="1"/>
      <w:marLeft w:val="0"/>
      <w:marRight w:val="0"/>
      <w:marTop w:val="0"/>
      <w:marBottom w:val="0"/>
      <w:divBdr>
        <w:top w:val="none" w:sz="0" w:space="0" w:color="auto"/>
        <w:left w:val="none" w:sz="0" w:space="0" w:color="auto"/>
        <w:bottom w:val="none" w:sz="0" w:space="0" w:color="auto"/>
        <w:right w:val="none" w:sz="0" w:space="0" w:color="auto"/>
      </w:divBdr>
    </w:div>
    <w:div w:id="811941052">
      <w:bodyDiv w:val="1"/>
      <w:marLeft w:val="0"/>
      <w:marRight w:val="0"/>
      <w:marTop w:val="0"/>
      <w:marBottom w:val="0"/>
      <w:divBdr>
        <w:top w:val="none" w:sz="0" w:space="0" w:color="auto"/>
        <w:left w:val="none" w:sz="0" w:space="0" w:color="auto"/>
        <w:bottom w:val="none" w:sz="0" w:space="0" w:color="auto"/>
        <w:right w:val="none" w:sz="0" w:space="0" w:color="auto"/>
      </w:divBdr>
    </w:div>
    <w:div w:id="812985213">
      <w:bodyDiv w:val="1"/>
      <w:marLeft w:val="0"/>
      <w:marRight w:val="0"/>
      <w:marTop w:val="0"/>
      <w:marBottom w:val="0"/>
      <w:divBdr>
        <w:top w:val="none" w:sz="0" w:space="0" w:color="auto"/>
        <w:left w:val="none" w:sz="0" w:space="0" w:color="auto"/>
        <w:bottom w:val="none" w:sz="0" w:space="0" w:color="auto"/>
        <w:right w:val="none" w:sz="0" w:space="0" w:color="auto"/>
      </w:divBdr>
    </w:div>
    <w:div w:id="813714494">
      <w:bodyDiv w:val="1"/>
      <w:marLeft w:val="0"/>
      <w:marRight w:val="0"/>
      <w:marTop w:val="0"/>
      <w:marBottom w:val="0"/>
      <w:divBdr>
        <w:top w:val="none" w:sz="0" w:space="0" w:color="auto"/>
        <w:left w:val="none" w:sz="0" w:space="0" w:color="auto"/>
        <w:bottom w:val="none" w:sz="0" w:space="0" w:color="auto"/>
        <w:right w:val="none" w:sz="0" w:space="0" w:color="auto"/>
      </w:divBdr>
    </w:div>
    <w:div w:id="821653646">
      <w:bodyDiv w:val="1"/>
      <w:marLeft w:val="0"/>
      <w:marRight w:val="0"/>
      <w:marTop w:val="0"/>
      <w:marBottom w:val="0"/>
      <w:divBdr>
        <w:top w:val="none" w:sz="0" w:space="0" w:color="auto"/>
        <w:left w:val="none" w:sz="0" w:space="0" w:color="auto"/>
        <w:bottom w:val="none" w:sz="0" w:space="0" w:color="auto"/>
        <w:right w:val="none" w:sz="0" w:space="0" w:color="auto"/>
      </w:divBdr>
    </w:div>
    <w:div w:id="823593569">
      <w:bodyDiv w:val="1"/>
      <w:marLeft w:val="0"/>
      <w:marRight w:val="0"/>
      <w:marTop w:val="0"/>
      <w:marBottom w:val="0"/>
      <w:divBdr>
        <w:top w:val="none" w:sz="0" w:space="0" w:color="auto"/>
        <w:left w:val="none" w:sz="0" w:space="0" w:color="auto"/>
        <w:bottom w:val="none" w:sz="0" w:space="0" w:color="auto"/>
        <w:right w:val="none" w:sz="0" w:space="0" w:color="auto"/>
      </w:divBdr>
    </w:div>
    <w:div w:id="826559210">
      <w:bodyDiv w:val="1"/>
      <w:marLeft w:val="0"/>
      <w:marRight w:val="0"/>
      <w:marTop w:val="0"/>
      <w:marBottom w:val="0"/>
      <w:divBdr>
        <w:top w:val="none" w:sz="0" w:space="0" w:color="auto"/>
        <w:left w:val="none" w:sz="0" w:space="0" w:color="auto"/>
        <w:bottom w:val="none" w:sz="0" w:space="0" w:color="auto"/>
        <w:right w:val="none" w:sz="0" w:space="0" w:color="auto"/>
      </w:divBdr>
    </w:div>
    <w:div w:id="831606145">
      <w:bodyDiv w:val="1"/>
      <w:marLeft w:val="0"/>
      <w:marRight w:val="0"/>
      <w:marTop w:val="0"/>
      <w:marBottom w:val="0"/>
      <w:divBdr>
        <w:top w:val="none" w:sz="0" w:space="0" w:color="auto"/>
        <w:left w:val="none" w:sz="0" w:space="0" w:color="auto"/>
        <w:bottom w:val="none" w:sz="0" w:space="0" w:color="auto"/>
        <w:right w:val="none" w:sz="0" w:space="0" w:color="auto"/>
      </w:divBdr>
    </w:div>
    <w:div w:id="832571473">
      <w:bodyDiv w:val="1"/>
      <w:marLeft w:val="0"/>
      <w:marRight w:val="0"/>
      <w:marTop w:val="0"/>
      <w:marBottom w:val="0"/>
      <w:divBdr>
        <w:top w:val="none" w:sz="0" w:space="0" w:color="auto"/>
        <w:left w:val="none" w:sz="0" w:space="0" w:color="auto"/>
        <w:bottom w:val="none" w:sz="0" w:space="0" w:color="auto"/>
        <w:right w:val="none" w:sz="0" w:space="0" w:color="auto"/>
      </w:divBdr>
    </w:div>
    <w:div w:id="832910565">
      <w:bodyDiv w:val="1"/>
      <w:marLeft w:val="0"/>
      <w:marRight w:val="0"/>
      <w:marTop w:val="0"/>
      <w:marBottom w:val="0"/>
      <w:divBdr>
        <w:top w:val="none" w:sz="0" w:space="0" w:color="auto"/>
        <w:left w:val="none" w:sz="0" w:space="0" w:color="auto"/>
        <w:bottom w:val="none" w:sz="0" w:space="0" w:color="auto"/>
        <w:right w:val="none" w:sz="0" w:space="0" w:color="auto"/>
      </w:divBdr>
    </w:div>
    <w:div w:id="838619288">
      <w:bodyDiv w:val="1"/>
      <w:marLeft w:val="0"/>
      <w:marRight w:val="0"/>
      <w:marTop w:val="0"/>
      <w:marBottom w:val="0"/>
      <w:divBdr>
        <w:top w:val="none" w:sz="0" w:space="0" w:color="auto"/>
        <w:left w:val="none" w:sz="0" w:space="0" w:color="auto"/>
        <w:bottom w:val="none" w:sz="0" w:space="0" w:color="auto"/>
        <w:right w:val="none" w:sz="0" w:space="0" w:color="auto"/>
      </w:divBdr>
    </w:div>
    <w:div w:id="839589456">
      <w:bodyDiv w:val="1"/>
      <w:marLeft w:val="0"/>
      <w:marRight w:val="0"/>
      <w:marTop w:val="0"/>
      <w:marBottom w:val="0"/>
      <w:divBdr>
        <w:top w:val="none" w:sz="0" w:space="0" w:color="auto"/>
        <w:left w:val="none" w:sz="0" w:space="0" w:color="auto"/>
        <w:bottom w:val="none" w:sz="0" w:space="0" w:color="auto"/>
        <w:right w:val="none" w:sz="0" w:space="0" w:color="auto"/>
      </w:divBdr>
    </w:div>
    <w:div w:id="840855261">
      <w:bodyDiv w:val="1"/>
      <w:marLeft w:val="0"/>
      <w:marRight w:val="0"/>
      <w:marTop w:val="0"/>
      <w:marBottom w:val="0"/>
      <w:divBdr>
        <w:top w:val="none" w:sz="0" w:space="0" w:color="auto"/>
        <w:left w:val="none" w:sz="0" w:space="0" w:color="auto"/>
        <w:bottom w:val="none" w:sz="0" w:space="0" w:color="auto"/>
        <w:right w:val="none" w:sz="0" w:space="0" w:color="auto"/>
      </w:divBdr>
    </w:div>
    <w:div w:id="843398656">
      <w:bodyDiv w:val="1"/>
      <w:marLeft w:val="0"/>
      <w:marRight w:val="0"/>
      <w:marTop w:val="0"/>
      <w:marBottom w:val="0"/>
      <w:divBdr>
        <w:top w:val="none" w:sz="0" w:space="0" w:color="auto"/>
        <w:left w:val="none" w:sz="0" w:space="0" w:color="auto"/>
        <w:bottom w:val="none" w:sz="0" w:space="0" w:color="auto"/>
        <w:right w:val="none" w:sz="0" w:space="0" w:color="auto"/>
      </w:divBdr>
    </w:div>
    <w:div w:id="845170079">
      <w:bodyDiv w:val="1"/>
      <w:marLeft w:val="0"/>
      <w:marRight w:val="0"/>
      <w:marTop w:val="0"/>
      <w:marBottom w:val="0"/>
      <w:divBdr>
        <w:top w:val="none" w:sz="0" w:space="0" w:color="auto"/>
        <w:left w:val="none" w:sz="0" w:space="0" w:color="auto"/>
        <w:bottom w:val="none" w:sz="0" w:space="0" w:color="auto"/>
        <w:right w:val="none" w:sz="0" w:space="0" w:color="auto"/>
      </w:divBdr>
    </w:div>
    <w:div w:id="845486834">
      <w:bodyDiv w:val="1"/>
      <w:marLeft w:val="0"/>
      <w:marRight w:val="0"/>
      <w:marTop w:val="0"/>
      <w:marBottom w:val="0"/>
      <w:divBdr>
        <w:top w:val="none" w:sz="0" w:space="0" w:color="auto"/>
        <w:left w:val="none" w:sz="0" w:space="0" w:color="auto"/>
        <w:bottom w:val="none" w:sz="0" w:space="0" w:color="auto"/>
        <w:right w:val="none" w:sz="0" w:space="0" w:color="auto"/>
      </w:divBdr>
    </w:div>
    <w:div w:id="846290606">
      <w:bodyDiv w:val="1"/>
      <w:marLeft w:val="0"/>
      <w:marRight w:val="0"/>
      <w:marTop w:val="0"/>
      <w:marBottom w:val="0"/>
      <w:divBdr>
        <w:top w:val="none" w:sz="0" w:space="0" w:color="auto"/>
        <w:left w:val="none" w:sz="0" w:space="0" w:color="auto"/>
        <w:bottom w:val="none" w:sz="0" w:space="0" w:color="auto"/>
        <w:right w:val="none" w:sz="0" w:space="0" w:color="auto"/>
      </w:divBdr>
    </w:div>
    <w:div w:id="846478764">
      <w:bodyDiv w:val="1"/>
      <w:marLeft w:val="0"/>
      <w:marRight w:val="0"/>
      <w:marTop w:val="0"/>
      <w:marBottom w:val="0"/>
      <w:divBdr>
        <w:top w:val="none" w:sz="0" w:space="0" w:color="auto"/>
        <w:left w:val="none" w:sz="0" w:space="0" w:color="auto"/>
        <w:bottom w:val="none" w:sz="0" w:space="0" w:color="auto"/>
        <w:right w:val="none" w:sz="0" w:space="0" w:color="auto"/>
      </w:divBdr>
    </w:div>
    <w:div w:id="848645094">
      <w:bodyDiv w:val="1"/>
      <w:marLeft w:val="0"/>
      <w:marRight w:val="0"/>
      <w:marTop w:val="0"/>
      <w:marBottom w:val="0"/>
      <w:divBdr>
        <w:top w:val="none" w:sz="0" w:space="0" w:color="auto"/>
        <w:left w:val="none" w:sz="0" w:space="0" w:color="auto"/>
        <w:bottom w:val="none" w:sz="0" w:space="0" w:color="auto"/>
        <w:right w:val="none" w:sz="0" w:space="0" w:color="auto"/>
      </w:divBdr>
    </w:div>
    <w:div w:id="848906488">
      <w:bodyDiv w:val="1"/>
      <w:marLeft w:val="0"/>
      <w:marRight w:val="0"/>
      <w:marTop w:val="0"/>
      <w:marBottom w:val="0"/>
      <w:divBdr>
        <w:top w:val="none" w:sz="0" w:space="0" w:color="auto"/>
        <w:left w:val="none" w:sz="0" w:space="0" w:color="auto"/>
        <w:bottom w:val="none" w:sz="0" w:space="0" w:color="auto"/>
        <w:right w:val="none" w:sz="0" w:space="0" w:color="auto"/>
      </w:divBdr>
    </w:div>
    <w:div w:id="854079901">
      <w:bodyDiv w:val="1"/>
      <w:marLeft w:val="0"/>
      <w:marRight w:val="0"/>
      <w:marTop w:val="0"/>
      <w:marBottom w:val="0"/>
      <w:divBdr>
        <w:top w:val="none" w:sz="0" w:space="0" w:color="auto"/>
        <w:left w:val="none" w:sz="0" w:space="0" w:color="auto"/>
        <w:bottom w:val="none" w:sz="0" w:space="0" w:color="auto"/>
        <w:right w:val="none" w:sz="0" w:space="0" w:color="auto"/>
      </w:divBdr>
    </w:div>
    <w:div w:id="855074682">
      <w:bodyDiv w:val="1"/>
      <w:marLeft w:val="0"/>
      <w:marRight w:val="0"/>
      <w:marTop w:val="0"/>
      <w:marBottom w:val="0"/>
      <w:divBdr>
        <w:top w:val="none" w:sz="0" w:space="0" w:color="auto"/>
        <w:left w:val="none" w:sz="0" w:space="0" w:color="auto"/>
        <w:bottom w:val="none" w:sz="0" w:space="0" w:color="auto"/>
        <w:right w:val="none" w:sz="0" w:space="0" w:color="auto"/>
      </w:divBdr>
    </w:div>
    <w:div w:id="855271443">
      <w:bodyDiv w:val="1"/>
      <w:marLeft w:val="0"/>
      <w:marRight w:val="0"/>
      <w:marTop w:val="0"/>
      <w:marBottom w:val="0"/>
      <w:divBdr>
        <w:top w:val="none" w:sz="0" w:space="0" w:color="auto"/>
        <w:left w:val="none" w:sz="0" w:space="0" w:color="auto"/>
        <w:bottom w:val="none" w:sz="0" w:space="0" w:color="auto"/>
        <w:right w:val="none" w:sz="0" w:space="0" w:color="auto"/>
      </w:divBdr>
    </w:div>
    <w:div w:id="857038882">
      <w:bodyDiv w:val="1"/>
      <w:marLeft w:val="0"/>
      <w:marRight w:val="0"/>
      <w:marTop w:val="0"/>
      <w:marBottom w:val="0"/>
      <w:divBdr>
        <w:top w:val="none" w:sz="0" w:space="0" w:color="auto"/>
        <w:left w:val="none" w:sz="0" w:space="0" w:color="auto"/>
        <w:bottom w:val="none" w:sz="0" w:space="0" w:color="auto"/>
        <w:right w:val="none" w:sz="0" w:space="0" w:color="auto"/>
      </w:divBdr>
    </w:div>
    <w:div w:id="857619482">
      <w:bodyDiv w:val="1"/>
      <w:marLeft w:val="0"/>
      <w:marRight w:val="0"/>
      <w:marTop w:val="0"/>
      <w:marBottom w:val="0"/>
      <w:divBdr>
        <w:top w:val="none" w:sz="0" w:space="0" w:color="auto"/>
        <w:left w:val="none" w:sz="0" w:space="0" w:color="auto"/>
        <w:bottom w:val="none" w:sz="0" w:space="0" w:color="auto"/>
        <w:right w:val="none" w:sz="0" w:space="0" w:color="auto"/>
      </w:divBdr>
    </w:div>
    <w:div w:id="860513070">
      <w:bodyDiv w:val="1"/>
      <w:marLeft w:val="0"/>
      <w:marRight w:val="0"/>
      <w:marTop w:val="0"/>
      <w:marBottom w:val="0"/>
      <w:divBdr>
        <w:top w:val="none" w:sz="0" w:space="0" w:color="auto"/>
        <w:left w:val="none" w:sz="0" w:space="0" w:color="auto"/>
        <w:bottom w:val="none" w:sz="0" w:space="0" w:color="auto"/>
        <w:right w:val="none" w:sz="0" w:space="0" w:color="auto"/>
      </w:divBdr>
    </w:div>
    <w:div w:id="861892270">
      <w:bodyDiv w:val="1"/>
      <w:marLeft w:val="0"/>
      <w:marRight w:val="0"/>
      <w:marTop w:val="0"/>
      <w:marBottom w:val="0"/>
      <w:divBdr>
        <w:top w:val="none" w:sz="0" w:space="0" w:color="auto"/>
        <w:left w:val="none" w:sz="0" w:space="0" w:color="auto"/>
        <w:bottom w:val="none" w:sz="0" w:space="0" w:color="auto"/>
        <w:right w:val="none" w:sz="0" w:space="0" w:color="auto"/>
      </w:divBdr>
    </w:div>
    <w:div w:id="862330897">
      <w:bodyDiv w:val="1"/>
      <w:marLeft w:val="0"/>
      <w:marRight w:val="0"/>
      <w:marTop w:val="0"/>
      <w:marBottom w:val="0"/>
      <w:divBdr>
        <w:top w:val="none" w:sz="0" w:space="0" w:color="auto"/>
        <w:left w:val="none" w:sz="0" w:space="0" w:color="auto"/>
        <w:bottom w:val="none" w:sz="0" w:space="0" w:color="auto"/>
        <w:right w:val="none" w:sz="0" w:space="0" w:color="auto"/>
      </w:divBdr>
    </w:div>
    <w:div w:id="869880343">
      <w:bodyDiv w:val="1"/>
      <w:marLeft w:val="0"/>
      <w:marRight w:val="0"/>
      <w:marTop w:val="0"/>
      <w:marBottom w:val="0"/>
      <w:divBdr>
        <w:top w:val="none" w:sz="0" w:space="0" w:color="auto"/>
        <w:left w:val="none" w:sz="0" w:space="0" w:color="auto"/>
        <w:bottom w:val="none" w:sz="0" w:space="0" w:color="auto"/>
        <w:right w:val="none" w:sz="0" w:space="0" w:color="auto"/>
      </w:divBdr>
    </w:div>
    <w:div w:id="876701942">
      <w:bodyDiv w:val="1"/>
      <w:marLeft w:val="0"/>
      <w:marRight w:val="0"/>
      <w:marTop w:val="0"/>
      <w:marBottom w:val="0"/>
      <w:divBdr>
        <w:top w:val="none" w:sz="0" w:space="0" w:color="auto"/>
        <w:left w:val="none" w:sz="0" w:space="0" w:color="auto"/>
        <w:bottom w:val="none" w:sz="0" w:space="0" w:color="auto"/>
        <w:right w:val="none" w:sz="0" w:space="0" w:color="auto"/>
      </w:divBdr>
    </w:div>
    <w:div w:id="877595118">
      <w:bodyDiv w:val="1"/>
      <w:marLeft w:val="0"/>
      <w:marRight w:val="0"/>
      <w:marTop w:val="0"/>
      <w:marBottom w:val="0"/>
      <w:divBdr>
        <w:top w:val="none" w:sz="0" w:space="0" w:color="auto"/>
        <w:left w:val="none" w:sz="0" w:space="0" w:color="auto"/>
        <w:bottom w:val="none" w:sz="0" w:space="0" w:color="auto"/>
        <w:right w:val="none" w:sz="0" w:space="0" w:color="auto"/>
      </w:divBdr>
    </w:div>
    <w:div w:id="879629189">
      <w:bodyDiv w:val="1"/>
      <w:marLeft w:val="0"/>
      <w:marRight w:val="0"/>
      <w:marTop w:val="0"/>
      <w:marBottom w:val="0"/>
      <w:divBdr>
        <w:top w:val="none" w:sz="0" w:space="0" w:color="auto"/>
        <w:left w:val="none" w:sz="0" w:space="0" w:color="auto"/>
        <w:bottom w:val="none" w:sz="0" w:space="0" w:color="auto"/>
        <w:right w:val="none" w:sz="0" w:space="0" w:color="auto"/>
      </w:divBdr>
    </w:div>
    <w:div w:id="881214749">
      <w:bodyDiv w:val="1"/>
      <w:marLeft w:val="0"/>
      <w:marRight w:val="0"/>
      <w:marTop w:val="0"/>
      <w:marBottom w:val="0"/>
      <w:divBdr>
        <w:top w:val="none" w:sz="0" w:space="0" w:color="auto"/>
        <w:left w:val="none" w:sz="0" w:space="0" w:color="auto"/>
        <w:bottom w:val="none" w:sz="0" w:space="0" w:color="auto"/>
        <w:right w:val="none" w:sz="0" w:space="0" w:color="auto"/>
      </w:divBdr>
    </w:div>
    <w:div w:id="882717958">
      <w:bodyDiv w:val="1"/>
      <w:marLeft w:val="0"/>
      <w:marRight w:val="0"/>
      <w:marTop w:val="0"/>
      <w:marBottom w:val="0"/>
      <w:divBdr>
        <w:top w:val="none" w:sz="0" w:space="0" w:color="auto"/>
        <w:left w:val="none" w:sz="0" w:space="0" w:color="auto"/>
        <w:bottom w:val="none" w:sz="0" w:space="0" w:color="auto"/>
        <w:right w:val="none" w:sz="0" w:space="0" w:color="auto"/>
      </w:divBdr>
    </w:div>
    <w:div w:id="883715028">
      <w:bodyDiv w:val="1"/>
      <w:marLeft w:val="0"/>
      <w:marRight w:val="0"/>
      <w:marTop w:val="0"/>
      <w:marBottom w:val="0"/>
      <w:divBdr>
        <w:top w:val="none" w:sz="0" w:space="0" w:color="auto"/>
        <w:left w:val="none" w:sz="0" w:space="0" w:color="auto"/>
        <w:bottom w:val="none" w:sz="0" w:space="0" w:color="auto"/>
        <w:right w:val="none" w:sz="0" w:space="0" w:color="auto"/>
      </w:divBdr>
    </w:div>
    <w:div w:id="884104432">
      <w:bodyDiv w:val="1"/>
      <w:marLeft w:val="0"/>
      <w:marRight w:val="0"/>
      <w:marTop w:val="0"/>
      <w:marBottom w:val="0"/>
      <w:divBdr>
        <w:top w:val="none" w:sz="0" w:space="0" w:color="auto"/>
        <w:left w:val="none" w:sz="0" w:space="0" w:color="auto"/>
        <w:bottom w:val="none" w:sz="0" w:space="0" w:color="auto"/>
        <w:right w:val="none" w:sz="0" w:space="0" w:color="auto"/>
      </w:divBdr>
    </w:div>
    <w:div w:id="891698022">
      <w:bodyDiv w:val="1"/>
      <w:marLeft w:val="0"/>
      <w:marRight w:val="0"/>
      <w:marTop w:val="0"/>
      <w:marBottom w:val="0"/>
      <w:divBdr>
        <w:top w:val="none" w:sz="0" w:space="0" w:color="auto"/>
        <w:left w:val="none" w:sz="0" w:space="0" w:color="auto"/>
        <w:bottom w:val="none" w:sz="0" w:space="0" w:color="auto"/>
        <w:right w:val="none" w:sz="0" w:space="0" w:color="auto"/>
      </w:divBdr>
    </w:div>
    <w:div w:id="897085475">
      <w:bodyDiv w:val="1"/>
      <w:marLeft w:val="0"/>
      <w:marRight w:val="0"/>
      <w:marTop w:val="0"/>
      <w:marBottom w:val="0"/>
      <w:divBdr>
        <w:top w:val="none" w:sz="0" w:space="0" w:color="auto"/>
        <w:left w:val="none" w:sz="0" w:space="0" w:color="auto"/>
        <w:bottom w:val="none" w:sz="0" w:space="0" w:color="auto"/>
        <w:right w:val="none" w:sz="0" w:space="0" w:color="auto"/>
      </w:divBdr>
    </w:div>
    <w:div w:id="898518831">
      <w:bodyDiv w:val="1"/>
      <w:marLeft w:val="0"/>
      <w:marRight w:val="0"/>
      <w:marTop w:val="0"/>
      <w:marBottom w:val="0"/>
      <w:divBdr>
        <w:top w:val="none" w:sz="0" w:space="0" w:color="auto"/>
        <w:left w:val="none" w:sz="0" w:space="0" w:color="auto"/>
        <w:bottom w:val="none" w:sz="0" w:space="0" w:color="auto"/>
        <w:right w:val="none" w:sz="0" w:space="0" w:color="auto"/>
      </w:divBdr>
    </w:div>
    <w:div w:id="900600311">
      <w:bodyDiv w:val="1"/>
      <w:marLeft w:val="0"/>
      <w:marRight w:val="0"/>
      <w:marTop w:val="0"/>
      <w:marBottom w:val="0"/>
      <w:divBdr>
        <w:top w:val="none" w:sz="0" w:space="0" w:color="auto"/>
        <w:left w:val="none" w:sz="0" w:space="0" w:color="auto"/>
        <w:bottom w:val="none" w:sz="0" w:space="0" w:color="auto"/>
        <w:right w:val="none" w:sz="0" w:space="0" w:color="auto"/>
      </w:divBdr>
    </w:div>
    <w:div w:id="904221882">
      <w:bodyDiv w:val="1"/>
      <w:marLeft w:val="0"/>
      <w:marRight w:val="0"/>
      <w:marTop w:val="0"/>
      <w:marBottom w:val="0"/>
      <w:divBdr>
        <w:top w:val="none" w:sz="0" w:space="0" w:color="auto"/>
        <w:left w:val="none" w:sz="0" w:space="0" w:color="auto"/>
        <w:bottom w:val="none" w:sz="0" w:space="0" w:color="auto"/>
        <w:right w:val="none" w:sz="0" w:space="0" w:color="auto"/>
      </w:divBdr>
    </w:div>
    <w:div w:id="907223765">
      <w:bodyDiv w:val="1"/>
      <w:marLeft w:val="0"/>
      <w:marRight w:val="0"/>
      <w:marTop w:val="0"/>
      <w:marBottom w:val="0"/>
      <w:divBdr>
        <w:top w:val="none" w:sz="0" w:space="0" w:color="auto"/>
        <w:left w:val="none" w:sz="0" w:space="0" w:color="auto"/>
        <w:bottom w:val="none" w:sz="0" w:space="0" w:color="auto"/>
        <w:right w:val="none" w:sz="0" w:space="0" w:color="auto"/>
      </w:divBdr>
    </w:div>
    <w:div w:id="908348439">
      <w:bodyDiv w:val="1"/>
      <w:marLeft w:val="0"/>
      <w:marRight w:val="0"/>
      <w:marTop w:val="0"/>
      <w:marBottom w:val="0"/>
      <w:divBdr>
        <w:top w:val="none" w:sz="0" w:space="0" w:color="auto"/>
        <w:left w:val="none" w:sz="0" w:space="0" w:color="auto"/>
        <w:bottom w:val="none" w:sz="0" w:space="0" w:color="auto"/>
        <w:right w:val="none" w:sz="0" w:space="0" w:color="auto"/>
      </w:divBdr>
    </w:div>
    <w:div w:id="908614471">
      <w:bodyDiv w:val="1"/>
      <w:marLeft w:val="0"/>
      <w:marRight w:val="0"/>
      <w:marTop w:val="0"/>
      <w:marBottom w:val="0"/>
      <w:divBdr>
        <w:top w:val="none" w:sz="0" w:space="0" w:color="auto"/>
        <w:left w:val="none" w:sz="0" w:space="0" w:color="auto"/>
        <w:bottom w:val="none" w:sz="0" w:space="0" w:color="auto"/>
        <w:right w:val="none" w:sz="0" w:space="0" w:color="auto"/>
      </w:divBdr>
    </w:div>
    <w:div w:id="909005416">
      <w:bodyDiv w:val="1"/>
      <w:marLeft w:val="0"/>
      <w:marRight w:val="0"/>
      <w:marTop w:val="0"/>
      <w:marBottom w:val="0"/>
      <w:divBdr>
        <w:top w:val="none" w:sz="0" w:space="0" w:color="auto"/>
        <w:left w:val="none" w:sz="0" w:space="0" w:color="auto"/>
        <w:bottom w:val="none" w:sz="0" w:space="0" w:color="auto"/>
        <w:right w:val="none" w:sz="0" w:space="0" w:color="auto"/>
      </w:divBdr>
    </w:div>
    <w:div w:id="909383630">
      <w:bodyDiv w:val="1"/>
      <w:marLeft w:val="0"/>
      <w:marRight w:val="0"/>
      <w:marTop w:val="0"/>
      <w:marBottom w:val="0"/>
      <w:divBdr>
        <w:top w:val="none" w:sz="0" w:space="0" w:color="auto"/>
        <w:left w:val="none" w:sz="0" w:space="0" w:color="auto"/>
        <w:bottom w:val="none" w:sz="0" w:space="0" w:color="auto"/>
        <w:right w:val="none" w:sz="0" w:space="0" w:color="auto"/>
      </w:divBdr>
    </w:div>
    <w:div w:id="909774635">
      <w:bodyDiv w:val="1"/>
      <w:marLeft w:val="0"/>
      <w:marRight w:val="0"/>
      <w:marTop w:val="0"/>
      <w:marBottom w:val="0"/>
      <w:divBdr>
        <w:top w:val="none" w:sz="0" w:space="0" w:color="auto"/>
        <w:left w:val="none" w:sz="0" w:space="0" w:color="auto"/>
        <w:bottom w:val="none" w:sz="0" w:space="0" w:color="auto"/>
        <w:right w:val="none" w:sz="0" w:space="0" w:color="auto"/>
      </w:divBdr>
    </w:div>
    <w:div w:id="913394782">
      <w:bodyDiv w:val="1"/>
      <w:marLeft w:val="0"/>
      <w:marRight w:val="0"/>
      <w:marTop w:val="0"/>
      <w:marBottom w:val="0"/>
      <w:divBdr>
        <w:top w:val="none" w:sz="0" w:space="0" w:color="auto"/>
        <w:left w:val="none" w:sz="0" w:space="0" w:color="auto"/>
        <w:bottom w:val="none" w:sz="0" w:space="0" w:color="auto"/>
        <w:right w:val="none" w:sz="0" w:space="0" w:color="auto"/>
      </w:divBdr>
    </w:div>
    <w:div w:id="914096887">
      <w:bodyDiv w:val="1"/>
      <w:marLeft w:val="0"/>
      <w:marRight w:val="0"/>
      <w:marTop w:val="0"/>
      <w:marBottom w:val="0"/>
      <w:divBdr>
        <w:top w:val="none" w:sz="0" w:space="0" w:color="auto"/>
        <w:left w:val="none" w:sz="0" w:space="0" w:color="auto"/>
        <w:bottom w:val="none" w:sz="0" w:space="0" w:color="auto"/>
        <w:right w:val="none" w:sz="0" w:space="0" w:color="auto"/>
      </w:divBdr>
    </w:div>
    <w:div w:id="919368244">
      <w:bodyDiv w:val="1"/>
      <w:marLeft w:val="0"/>
      <w:marRight w:val="0"/>
      <w:marTop w:val="0"/>
      <w:marBottom w:val="0"/>
      <w:divBdr>
        <w:top w:val="none" w:sz="0" w:space="0" w:color="auto"/>
        <w:left w:val="none" w:sz="0" w:space="0" w:color="auto"/>
        <w:bottom w:val="none" w:sz="0" w:space="0" w:color="auto"/>
        <w:right w:val="none" w:sz="0" w:space="0" w:color="auto"/>
      </w:divBdr>
    </w:div>
    <w:div w:id="923030094">
      <w:bodyDiv w:val="1"/>
      <w:marLeft w:val="0"/>
      <w:marRight w:val="0"/>
      <w:marTop w:val="0"/>
      <w:marBottom w:val="0"/>
      <w:divBdr>
        <w:top w:val="none" w:sz="0" w:space="0" w:color="auto"/>
        <w:left w:val="none" w:sz="0" w:space="0" w:color="auto"/>
        <w:bottom w:val="none" w:sz="0" w:space="0" w:color="auto"/>
        <w:right w:val="none" w:sz="0" w:space="0" w:color="auto"/>
      </w:divBdr>
    </w:div>
    <w:div w:id="925923642">
      <w:bodyDiv w:val="1"/>
      <w:marLeft w:val="0"/>
      <w:marRight w:val="0"/>
      <w:marTop w:val="0"/>
      <w:marBottom w:val="0"/>
      <w:divBdr>
        <w:top w:val="none" w:sz="0" w:space="0" w:color="auto"/>
        <w:left w:val="none" w:sz="0" w:space="0" w:color="auto"/>
        <w:bottom w:val="none" w:sz="0" w:space="0" w:color="auto"/>
        <w:right w:val="none" w:sz="0" w:space="0" w:color="auto"/>
      </w:divBdr>
    </w:div>
    <w:div w:id="931351101">
      <w:bodyDiv w:val="1"/>
      <w:marLeft w:val="0"/>
      <w:marRight w:val="0"/>
      <w:marTop w:val="0"/>
      <w:marBottom w:val="0"/>
      <w:divBdr>
        <w:top w:val="none" w:sz="0" w:space="0" w:color="auto"/>
        <w:left w:val="none" w:sz="0" w:space="0" w:color="auto"/>
        <w:bottom w:val="none" w:sz="0" w:space="0" w:color="auto"/>
        <w:right w:val="none" w:sz="0" w:space="0" w:color="auto"/>
      </w:divBdr>
    </w:div>
    <w:div w:id="931472829">
      <w:bodyDiv w:val="1"/>
      <w:marLeft w:val="0"/>
      <w:marRight w:val="0"/>
      <w:marTop w:val="0"/>
      <w:marBottom w:val="0"/>
      <w:divBdr>
        <w:top w:val="none" w:sz="0" w:space="0" w:color="auto"/>
        <w:left w:val="none" w:sz="0" w:space="0" w:color="auto"/>
        <w:bottom w:val="none" w:sz="0" w:space="0" w:color="auto"/>
        <w:right w:val="none" w:sz="0" w:space="0" w:color="auto"/>
      </w:divBdr>
    </w:div>
    <w:div w:id="931552284">
      <w:bodyDiv w:val="1"/>
      <w:marLeft w:val="0"/>
      <w:marRight w:val="0"/>
      <w:marTop w:val="0"/>
      <w:marBottom w:val="0"/>
      <w:divBdr>
        <w:top w:val="none" w:sz="0" w:space="0" w:color="auto"/>
        <w:left w:val="none" w:sz="0" w:space="0" w:color="auto"/>
        <w:bottom w:val="none" w:sz="0" w:space="0" w:color="auto"/>
        <w:right w:val="none" w:sz="0" w:space="0" w:color="auto"/>
      </w:divBdr>
    </w:div>
    <w:div w:id="932015239">
      <w:bodyDiv w:val="1"/>
      <w:marLeft w:val="0"/>
      <w:marRight w:val="0"/>
      <w:marTop w:val="0"/>
      <w:marBottom w:val="0"/>
      <w:divBdr>
        <w:top w:val="none" w:sz="0" w:space="0" w:color="auto"/>
        <w:left w:val="none" w:sz="0" w:space="0" w:color="auto"/>
        <w:bottom w:val="none" w:sz="0" w:space="0" w:color="auto"/>
        <w:right w:val="none" w:sz="0" w:space="0" w:color="auto"/>
      </w:divBdr>
    </w:div>
    <w:div w:id="932710650">
      <w:bodyDiv w:val="1"/>
      <w:marLeft w:val="0"/>
      <w:marRight w:val="0"/>
      <w:marTop w:val="0"/>
      <w:marBottom w:val="0"/>
      <w:divBdr>
        <w:top w:val="none" w:sz="0" w:space="0" w:color="auto"/>
        <w:left w:val="none" w:sz="0" w:space="0" w:color="auto"/>
        <w:bottom w:val="none" w:sz="0" w:space="0" w:color="auto"/>
        <w:right w:val="none" w:sz="0" w:space="0" w:color="auto"/>
      </w:divBdr>
    </w:div>
    <w:div w:id="934940800">
      <w:bodyDiv w:val="1"/>
      <w:marLeft w:val="0"/>
      <w:marRight w:val="0"/>
      <w:marTop w:val="0"/>
      <w:marBottom w:val="0"/>
      <w:divBdr>
        <w:top w:val="none" w:sz="0" w:space="0" w:color="auto"/>
        <w:left w:val="none" w:sz="0" w:space="0" w:color="auto"/>
        <w:bottom w:val="none" w:sz="0" w:space="0" w:color="auto"/>
        <w:right w:val="none" w:sz="0" w:space="0" w:color="auto"/>
      </w:divBdr>
    </w:div>
    <w:div w:id="935986866">
      <w:bodyDiv w:val="1"/>
      <w:marLeft w:val="0"/>
      <w:marRight w:val="0"/>
      <w:marTop w:val="0"/>
      <w:marBottom w:val="0"/>
      <w:divBdr>
        <w:top w:val="none" w:sz="0" w:space="0" w:color="auto"/>
        <w:left w:val="none" w:sz="0" w:space="0" w:color="auto"/>
        <w:bottom w:val="none" w:sz="0" w:space="0" w:color="auto"/>
        <w:right w:val="none" w:sz="0" w:space="0" w:color="auto"/>
      </w:divBdr>
    </w:div>
    <w:div w:id="938371155">
      <w:bodyDiv w:val="1"/>
      <w:marLeft w:val="0"/>
      <w:marRight w:val="0"/>
      <w:marTop w:val="0"/>
      <w:marBottom w:val="0"/>
      <w:divBdr>
        <w:top w:val="none" w:sz="0" w:space="0" w:color="auto"/>
        <w:left w:val="none" w:sz="0" w:space="0" w:color="auto"/>
        <w:bottom w:val="none" w:sz="0" w:space="0" w:color="auto"/>
        <w:right w:val="none" w:sz="0" w:space="0" w:color="auto"/>
      </w:divBdr>
    </w:div>
    <w:div w:id="938946528">
      <w:bodyDiv w:val="1"/>
      <w:marLeft w:val="0"/>
      <w:marRight w:val="0"/>
      <w:marTop w:val="0"/>
      <w:marBottom w:val="0"/>
      <w:divBdr>
        <w:top w:val="none" w:sz="0" w:space="0" w:color="auto"/>
        <w:left w:val="none" w:sz="0" w:space="0" w:color="auto"/>
        <w:bottom w:val="none" w:sz="0" w:space="0" w:color="auto"/>
        <w:right w:val="none" w:sz="0" w:space="0" w:color="auto"/>
      </w:divBdr>
    </w:div>
    <w:div w:id="945424930">
      <w:bodyDiv w:val="1"/>
      <w:marLeft w:val="0"/>
      <w:marRight w:val="0"/>
      <w:marTop w:val="0"/>
      <w:marBottom w:val="0"/>
      <w:divBdr>
        <w:top w:val="none" w:sz="0" w:space="0" w:color="auto"/>
        <w:left w:val="none" w:sz="0" w:space="0" w:color="auto"/>
        <w:bottom w:val="none" w:sz="0" w:space="0" w:color="auto"/>
        <w:right w:val="none" w:sz="0" w:space="0" w:color="auto"/>
      </w:divBdr>
    </w:div>
    <w:div w:id="950208173">
      <w:bodyDiv w:val="1"/>
      <w:marLeft w:val="0"/>
      <w:marRight w:val="0"/>
      <w:marTop w:val="0"/>
      <w:marBottom w:val="0"/>
      <w:divBdr>
        <w:top w:val="none" w:sz="0" w:space="0" w:color="auto"/>
        <w:left w:val="none" w:sz="0" w:space="0" w:color="auto"/>
        <w:bottom w:val="none" w:sz="0" w:space="0" w:color="auto"/>
        <w:right w:val="none" w:sz="0" w:space="0" w:color="auto"/>
      </w:divBdr>
    </w:div>
    <w:div w:id="960960388">
      <w:bodyDiv w:val="1"/>
      <w:marLeft w:val="0"/>
      <w:marRight w:val="0"/>
      <w:marTop w:val="0"/>
      <w:marBottom w:val="0"/>
      <w:divBdr>
        <w:top w:val="none" w:sz="0" w:space="0" w:color="auto"/>
        <w:left w:val="none" w:sz="0" w:space="0" w:color="auto"/>
        <w:bottom w:val="none" w:sz="0" w:space="0" w:color="auto"/>
        <w:right w:val="none" w:sz="0" w:space="0" w:color="auto"/>
      </w:divBdr>
    </w:div>
    <w:div w:id="971786387">
      <w:bodyDiv w:val="1"/>
      <w:marLeft w:val="0"/>
      <w:marRight w:val="0"/>
      <w:marTop w:val="0"/>
      <w:marBottom w:val="0"/>
      <w:divBdr>
        <w:top w:val="none" w:sz="0" w:space="0" w:color="auto"/>
        <w:left w:val="none" w:sz="0" w:space="0" w:color="auto"/>
        <w:bottom w:val="none" w:sz="0" w:space="0" w:color="auto"/>
        <w:right w:val="none" w:sz="0" w:space="0" w:color="auto"/>
      </w:divBdr>
    </w:div>
    <w:div w:id="972979128">
      <w:bodyDiv w:val="1"/>
      <w:marLeft w:val="0"/>
      <w:marRight w:val="0"/>
      <w:marTop w:val="0"/>
      <w:marBottom w:val="0"/>
      <w:divBdr>
        <w:top w:val="none" w:sz="0" w:space="0" w:color="auto"/>
        <w:left w:val="none" w:sz="0" w:space="0" w:color="auto"/>
        <w:bottom w:val="none" w:sz="0" w:space="0" w:color="auto"/>
        <w:right w:val="none" w:sz="0" w:space="0" w:color="auto"/>
      </w:divBdr>
    </w:div>
    <w:div w:id="974870103">
      <w:bodyDiv w:val="1"/>
      <w:marLeft w:val="0"/>
      <w:marRight w:val="0"/>
      <w:marTop w:val="0"/>
      <w:marBottom w:val="0"/>
      <w:divBdr>
        <w:top w:val="none" w:sz="0" w:space="0" w:color="auto"/>
        <w:left w:val="none" w:sz="0" w:space="0" w:color="auto"/>
        <w:bottom w:val="none" w:sz="0" w:space="0" w:color="auto"/>
        <w:right w:val="none" w:sz="0" w:space="0" w:color="auto"/>
      </w:divBdr>
    </w:div>
    <w:div w:id="975529732">
      <w:bodyDiv w:val="1"/>
      <w:marLeft w:val="0"/>
      <w:marRight w:val="0"/>
      <w:marTop w:val="0"/>
      <w:marBottom w:val="0"/>
      <w:divBdr>
        <w:top w:val="none" w:sz="0" w:space="0" w:color="auto"/>
        <w:left w:val="none" w:sz="0" w:space="0" w:color="auto"/>
        <w:bottom w:val="none" w:sz="0" w:space="0" w:color="auto"/>
        <w:right w:val="none" w:sz="0" w:space="0" w:color="auto"/>
      </w:divBdr>
    </w:div>
    <w:div w:id="978345418">
      <w:bodyDiv w:val="1"/>
      <w:marLeft w:val="0"/>
      <w:marRight w:val="0"/>
      <w:marTop w:val="0"/>
      <w:marBottom w:val="0"/>
      <w:divBdr>
        <w:top w:val="none" w:sz="0" w:space="0" w:color="auto"/>
        <w:left w:val="none" w:sz="0" w:space="0" w:color="auto"/>
        <w:bottom w:val="none" w:sz="0" w:space="0" w:color="auto"/>
        <w:right w:val="none" w:sz="0" w:space="0" w:color="auto"/>
      </w:divBdr>
    </w:div>
    <w:div w:id="978606441">
      <w:bodyDiv w:val="1"/>
      <w:marLeft w:val="0"/>
      <w:marRight w:val="0"/>
      <w:marTop w:val="0"/>
      <w:marBottom w:val="0"/>
      <w:divBdr>
        <w:top w:val="none" w:sz="0" w:space="0" w:color="auto"/>
        <w:left w:val="none" w:sz="0" w:space="0" w:color="auto"/>
        <w:bottom w:val="none" w:sz="0" w:space="0" w:color="auto"/>
        <w:right w:val="none" w:sz="0" w:space="0" w:color="auto"/>
      </w:divBdr>
    </w:div>
    <w:div w:id="980695274">
      <w:bodyDiv w:val="1"/>
      <w:marLeft w:val="0"/>
      <w:marRight w:val="0"/>
      <w:marTop w:val="0"/>
      <w:marBottom w:val="0"/>
      <w:divBdr>
        <w:top w:val="none" w:sz="0" w:space="0" w:color="auto"/>
        <w:left w:val="none" w:sz="0" w:space="0" w:color="auto"/>
        <w:bottom w:val="none" w:sz="0" w:space="0" w:color="auto"/>
        <w:right w:val="none" w:sz="0" w:space="0" w:color="auto"/>
      </w:divBdr>
    </w:div>
    <w:div w:id="984357640">
      <w:bodyDiv w:val="1"/>
      <w:marLeft w:val="0"/>
      <w:marRight w:val="0"/>
      <w:marTop w:val="0"/>
      <w:marBottom w:val="0"/>
      <w:divBdr>
        <w:top w:val="none" w:sz="0" w:space="0" w:color="auto"/>
        <w:left w:val="none" w:sz="0" w:space="0" w:color="auto"/>
        <w:bottom w:val="none" w:sz="0" w:space="0" w:color="auto"/>
        <w:right w:val="none" w:sz="0" w:space="0" w:color="auto"/>
      </w:divBdr>
    </w:div>
    <w:div w:id="986326025">
      <w:bodyDiv w:val="1"/>
      <w:marLeft w:val="0"/>
      <w:marRight w:val="0"/>
      <w:marTop w:val="0"/>
      <w:marBottom w:val="0"/>
      <w:divBdr>
        <w:top w:val="none" w:sz="0" w:space="0" w:color="auto"/>
        <w:left w:val="none" w:sz="0" w:space="0" w:color="auto"/>
        <w:bottom w:val="none" w:sz="0" w:space="0" w:color="auto"/>
        <w:right w:val="none" w:sz="0" w:space="0" w:color="auto"/>
      </w:divBdr>
    </w:div>
    <w:div w:id="988631616">
      <w:bodyDiv w:val="1"/>
      <w:marLeft w:val="0"/>
      <w:marRight w:val="0"/>
      <w:marTop w:val="0"/>
      <w:marBottom w:val="0"/>
      <w:divBdr>
        <w:top w:val="none" w:sz="0" w:space="0" w:color="auto"/>
        <w:left w:val="none" w:sz="0" w:space="0" w:color="auto"/>
        <w:bottom w:val="none" w:sz="0" w:space="0" w:color="auto"/>
        <w:right w:val="none" w:sz="0" w:space="0" w:color="auto"/>
      </w:divBdr>
    </w:div>
    <w:div w:id="989285313">
      <w:bodyDiv w:val="1"/>
      <w:marLeft w:val="0"/>
      <w:marRight w:val="0"/>
      <w:marTop w:val="0"/>
      <w:marBottom w:val="0"/>
      <w:divBdr>
        <w:top w:val="none" w:sz="0" w:space="0" w:color="auto"/>
        <w:left w:val="none" w:sz="0" w:space="0" w:color="auto"/>
        <w:bottom w:val="none" w:sz="0" w:space="0" w:color="auto"/>
        <w:right w:val="none" w:sz="0" w:space="0" w:color="auto"/>
      </w:divBdr>
    </w:div>
    <w:div w:id="989558425">
      <w:bodyDiv w:val="1"/>
      <w:marLeft w:val="0"/>
      <w:marRight w:val="0"/>
      <w:marTop w:val="0"/>
      <w:marBottom w:val="0"/>
      <w:divBdr>
        <w:top w:val="none" w:sz="0" w:space="0" w:color="auto"/>
        <w:left w:val="none" w:sz="0" w:space="0" w:color="auto"/>
        <w:bottom w:val="none" w:sz="0" w:space="0" w:color="auto"/>
        <w:right w:val="none" w:sz="0" w:space="0" w:color="auto"/>
      </w:divBdr>
    </w:div>
    <w:div w:id="991107277">
      <w:bodyDiv w:val="1"/>
      <w:marLeft w:val="0"/>
      <w:marRight w:val="0"/>
      <w:marTop w:val="0"/>
      <w:marBottom w:val="0"/>
      <w:divBdr>
        <w:top w:val="none" w:sz="0" w:space="0" w:color="auto"/>
        <w:left w:val="none" w:sz="0" w:space="0" w:color="auto"/>
        <w:bottom w:val="none" w:sz="0" w:space="0" w:color="auto"/>
        <w:right w:val="none" w:sz="0" w:space="0" w:color="auto"/>
      </w:divBdr>
    </w:div>
    <w:div w:id="996298236">
      <w:bodyDiv w:val="1"/>
      <w:marLeft w:val="0"/>
      <w:marRight w:val="0"/>
      <w:marTop w:val="0"/>
      <w:marBottom w:val="0"/>
      <w:divBdr>
        <w:top w:val="none" w:sz="0" w:space="0" w:color="auto"/>
        <w:left w:val="none" w:sz="0" w:space="0" w:color="auto"/>
        <w:bottom w:val="none" w:sz="0" w:space="0" w:color="auto"/>
        <w:right w:val="none" w:sz="0" w:space="0" w:color="auto"/>
      </w:divBdr>
    </w:div>
    <w:div w:id="1004473986">
      <w:bodyDiv w:val="1"/>
      <w:marLeft w:val="0"/>
      <w:marRight w:val="0"/>
      <w:marTop w:val="0"/>
      <w:marBottom w:val="0"/>
      <w:divBdr>
        <w:top w:val="none" w:sz="0" w:space="0" w:color="auto"/>
        <w:left w:val="none" w:sz="0" w:space="0" w:color="auto"/>
        <w:bottom w:val="none" w:sz="0" w:space="0" w:color="auto"/>
        <w:right w:val="none" w:sz="0" w:space="0" w:color="auto"/>
      </w:divBdr>
    </w:div>
    <w:div w:id="1005668418">
      <w:bodyDiv w:val="1"/>
      <w:marLeft w:val="0"/>
      <w:marRight w:val="0"/>
      <w:marTop w:val="0"/>
      <w:marBottom w:val="0"/>
      <w:divBdr>
        <w:top w:val="none" w:sz="0" w:space="0" w:color="auto"/>
        <w:left w:val="none" w:sz="0" w:space="0" w:color="auto"/>
        <w:bottom w:val="none" w:sz="0" w:space="0" w:color="auto"/>
        <w:right w:val="none" w:sz="0" w:space="0" w:color="auto"/>
      </w:divBdr>
    </w:div>
    <w:div w:id="1009061546">
      <w:bodyDiv w:val="1"/>
      <w:marLeft w:val="0"/>
      <w:marRight w:val="0"/>
      <w:marTop w:val="0"/>
      <w:marBottom w:val="0"/>
      <w:divBdr>
        <w:top w:val="none" w:sz="0" w:space="0" w:color="auto"/>
        <w:left w:val="none" w:sz="0" w:space="0" w:color="auto"/>
        <w:bottom w:val="none" w:sz="0" w:space="0" w:color="auto"/>
        <w:right w:val="none" w:sz="0" w:space="0" w:color="auto"/>
      </w:divBdr>
    </w:div>
    <w:div w:id="1009791819">
      <w:bodyDiv w:val="1"/>
      <w:marLeft w:val="0"/>
      <w:marRight w:val="0"/>
      <w:marTop w:val="0"/>
      <w:marBottom w:val="0"/>
      <w:divBdr>
        <w:top w:val="none" w:sz="0" w:space="0" w:color="auto"/>
        <w:left w:val="none" w:sz="0" w:space="0" w:color="auto"/>
        <w:bottom w:val="none" w:sz="0" w:space="0" w:color="auto"/>
        <w:right w:val="none" w:sz="0" w:space="0" w:color="auto"/>
      </w:divBdr>
    </w:div>
    <w:div w:id="1010571614">
      <w:bodyDiv w:val="1"/>
      <w:marLeft w:val="0"/>
      <w:marRight w:val="0"/>
      <w:marTop w:val="0"/>
      <w:marBottom w:val="0"/>
      <w:divBdr>
        <w:top w:val="none" w:sz="0" w:space="0" w:color="auto"/>
        <w:left w:val="none" w:sz="0" w:space="0" w:color="auto"/>
        <w:bottom w:val="none" w:sz="0" w:space="0" w:color="auto"/>
        <w:right w:val="none" w:sz="0" w:space="0" w:color="auto"/>
      </w:divBdr>
    </w:div>
    <w:div w:id="1012561702">
      <w:bodyDiv w:val="1"/>
      <w:marLeft w:val="0"/>
      <w:marRight w:val="0"/>
      <w:marTop w:val="0"/>
      <w:marBottom w:val="0"/>
      <w:divBdr>
        <w:top w:val="none" w:sz="0" w:space="0" w:color="auto"/>
        <w:left w:val="none" w:sz="0" w:space="0" w:color="auto"/>
        <w:bottom w:val="none" w:sz="0" w:space="0" w:color="auto"/>
        <w:right w:val="none" w:sz="0" w:space="0" w:color="auto"/>
      </w:divBdr>
    </w:div>
    <w:div w:id="1014573841">
      <w:bodyDiv w:val="1"/>
      <w:marLeft w:val="0"/>
      <w:marRight w:val="0"/>
      <w:marTop w:val="0"/>
      <w:marBottom w:val="0"/>
      <w:divBdr>
        <w:top w:val="none" w:sz="0" w:space="0" w:color="auto"/>
        <w:left w:val="none" w:sz="0" w:space="0" w:color="auto"/>
        <w:bottom w:val="none" w:sz="0" w:space="0" w:color="auto"/>
        <w:right w:val="none" w:sz="0" w:space="0" w:color="auto"/>
      </w:divBdr>
    </w:div>
    <w:div w:id="1016886703">
      <w:bodyDiv w:val="1"/>
      <w:marLeft w:val="0"/>
      <w:marRight w:val="0"/>
      <w:marTop w:val="0"/>
      <w:marBottom w:val="0"/>
      <w:divBdr>
        <w:top w:val="none" w:sz="0" w:space="0" w:color="auto"/>
        <w:left w:val="none" w:sz="0" w:space="0" w:color="auto"/>
        <w:bottom w:val="none" w:sz="0" w:space="0" w:color="auto"/>
        <w:right w:val="none" w:sz="0" w:space="0" w:color="auto"/>
      </w:divBdr>
      <w:divsChild>
        <w:div w:id="888032868">
          <w:marLeft w:val="0"/>
          <w:marRight w:val="0"/>
          <w:marTop w:val="0"/>
          <w:marBottom w:val="0"/>
          <w:divBdr>
            <w:top w:val="none" w:sz="0" w:space="0" w:color="auto"/>
            <w:left w:val="none" w:sz="0" w:space="0" w:color="auto"/>
            <w:bottom w:val="none" w:sz="0" w:space="0" w:color="auto"/>
            <w:right w:val="none" w:sz="0" w:space="0" w:color="auto"/>
          </w:divBdr>
          <w:divsChild>
            <w:div w:id="1896620286">
              <w:marLeft w:val="0"/>
              <w:marRight w:val="0"/>
              <w:marTop w:val="0"/>
              <w:marBottom w:val="0"/>
              <w:divBdr>
                <w:top w:val="none" w:sz="0" w:space="0" w:color="auto"/>
                <w:left w:val="none" w:sz="0" w:space="0" w:color="auto"/>
                <w:bottom w:val="none" w:sz="0" w:space="0" w:color="auto"/>
                <w:right w:val="none" w:sz="0" w:space="0" w:color="auto"/>
              </w:divBdr>
              <w:divsChild>
                <w:div w:id="1544825235">
                  <w:marLeft w:val="0"/>
                  <w:marRight w:val="0"/>
                  <w:marTop w:val="0"/>
                  <w:marBottom w:val="0"/>
                  <w:divBdr>
                    <w:top w:val="none" w:sz="0" w:space="0" w:color="auto"/>
                    <w:left w:val="none" w:sz="0" w:space="0" w:color="auto"/>
                    <w:bottom w:val="none" w:sz="0" w:space="0" w:color="auto"/>
                    <w:right w:val="none" w:sz="0" w:space="0" w:color="auto"/>
                  </w:divBdr>
                  <w:divsChild>
                    <w:div w:id="276984730">
                      <w:marLeft w:val="0"/>
                      <w:marRight w:val="0"/>
                      <w:marTop w:val="0"/>
                      <w:marBottom w:val="0"/>
                      <w:divBdr>
                        <w:top w:val="none" w:sz="0" w:space="0" w:color="auto"/>
                        <w:left w:val="none" w:sz="0" w:space="0" w:color="auto"/>
                        <w:bottom w:val="none" w:sz="0" w:space="0" w:color="auto"/>
                        <w:right w:val="none" w:sz="0" w:space="0" w:color="auto"/>
                      </w:divBdr>
                      <w:divsChild>
                        <w:div w:id="856970">
                          <w:marLeft w:val="0"/>
                          <w:marRight w:val="0"/>
                          <w:marTop w:val="0"/>
                          <w:marBottom w:val="0"/>
                          <w:divBdr>
                            <w:top w:val="none" w:sz="0" w:space="0" w:color="auto"/>
                            <w:left w:val="none" w:sz="0" w:space="0" w:color="auto"/>
                            <w:bottom w:val="none" w:sz="0" w:space="0" w:color="auto"/>
                            <w:right w:val="none" w:sz="0" w:space="0" w:color="auto"/>
                          </w:divBdr>
                          <w:divsChild>
                            <w:div w:id="1835414058">
                              <w:marLeft w:val="0"/>
                              <w:marRight w:val="0"/>
                              <w:marTop w:val="0"/>
                              <w:marBottom w:val="0"/>
                              <w:divBdr>
                                <w:top w:val="none" w:sz="0" w:space="0" w:color="auto"/>
                                <w:left w:val="none" w:sz="0" w:space="0" w:color="auto"/>
                                <w:bottom w:val="none" w:sz="0" w:space="0" w:color="auto"/>
                                <w:right w:val="none" w:sz="0" w:space="0" w:color="auto"/>
                              </w:divBdr>
                            </w:div>
                          </w:divsChild>
                        </w:div>
                        <w:div w:id="1455948474">
                          <w:marLeft w:val="0"/>
                          <w:marRight w:val="0"/>
                          <w:marTop w:val="0"/>
                          <w:marBottom w:val="0"/>
                          <w:divBdr>
                            <w:top w:val="none" w:sz="0" w:space="0" w:color="auto"/>
                            <w:left w:val="none" w:sz="0" w:space="0" w:color="auto"/>
                            <w:bottom w:val="none" w:sz="0" w:space="0" w:color="auto"/>
                            <w:right w:val="none" w:sz="0" w:space="0" w:color="auto"/>
                          </w:divBdr>
                          <w:divsChild>
                            <w:div w:id="2024086245">
                              <w:marLeft w:val="0"/>
                              <w:marRight w:val="0"/>
                              <w:marTop w:val="0"/>
                              <w:marBottom w:val="0"/>
                              <w:divBdr>
                                <w:top w:val="none" w:sz="0" w:space="0" w:color="auto"/>
                                <w:left w:val="none" w:sz="0" w:space="0" w:color="auto"/>
                                <w:bottom w:val="none" w:sz="0" w:space="0" w:color="auto"/>
                                <w:right w:val="none" w:sz="0" w:space="0" w:color="auto"/>
                              </w:divBdr>
                              <w:divsChild>
                                <w:div w:id="1531919526">
                                  <w:marLeft w:val="0"/>
                                  <w:marRight w:val="0"/>
                                  <w:marTop w:val="0"/>
                                  <w:marBottom w:val="0"/>
                                  <w:divBdr>
                                    <w:top w:val="none" w:sz="0" w:space="0" w:color="auto"/>
                                    <w:left w:val="none" w:sz="0" w:space="0" w:color="auto"/>
                                    <w:bottom w:val="none" w:sz="0" w:space="0" w:color="auto"/>
                                    <w:right w:val="none" w:sz="0" w:space="0" w:color="auto"/>
                                  </w:divBdr>
                                  <w:divsChild>
                                    <w:div w:id="859439276">
                                      <w:marLeft w:val="0"/>
                                      <w:marRight w:val="0"/>
                                      <w:marTop w:val="0"/>
                                      <w:marBottom w:val="0"/>
                                      <w:divBdr>
                                        <w:top w:val="none" w:sz="0" w:space="0" w:color="auto"/>
                                        <w:left w:val="none" w:sz="0" w:space="0" w:color="auto"/>
                                        <w:bottom w:val="none" w:sz="0" w:space="0" w:color="auto"/>
                                        <w:right w:val="none" w:sz="0" w:space="0" w:color="auto"/>
                                      </w:divBdr>
                                      <w:divsChild>
                                        <w:div w:id="4518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4204">
                                  <w:marLeft w:val="0"/>
                                  <w:marRight w:val="0"/>
                                  <w:marTop w:val="0"/>
                                  <w:marBottom w:val="0"/>
                                  <w:divBdr>
                                    <w:top w:val="none" w:sz="0" w:space="0" w:color="auto"/>
                                    <w:left w:val="none" w:sz="0" w:space="0" w:color="auto"/>
                                    <w:bottom w:val="none" w:sz="0" w:space="0" w:color="auto"/>
                                    <w:right w:val="none" w:sz="0" w:space="0" w:color="auto"/>
                                  </w:divBdr>
                                  <w:divsChild>
                                    <w:div w:id="294533146">
                                      <w:marLeft w:val="0"/>
                                      <w:marRight w:val="0"/>
                                      <w:marTop w:val="0"/>
                                      <w:marBottom w:val="0"/>
                                      <w:divBdr>
                                        <w:top w:val="none" w:sz="0" w:space="0" w:color="auto"/>
                                        <w:left w:val="none" w:sz="0" w:space="0" w:color="auto"/>
                                        <w:bottom w:val="none" w:sz="0" w:space="0" w:color="auto"/>
                                        <w:right w:val="none" w:sz="0" w:space="0" w:color="auto"/>
                                      </w:divBdr>
                                      <w:divsChild>
                                        <w:div w:id="286132358">
                                          <w:marLeft w:val="0"/>
                                          <w:marRight w:val="0"/>
                                          <w:marTop w:val="0"/>
                                          <w:marBottom w:val="0"/>
                                          <w:divBdr>
                                            <w:top w:val="none" w:sz="0" w:space="0" w:color="auto"/>
                                            <w:left w:val="none" w:sz="0" w:space="0" w:color="auto"/>
                                            <w:bottom w:val="none" w:sz="0" w:space="0" w:color="auto"/>
                                            <w:right w:val="none" w:sz="0" w:space="0" w:color="auto"/>
                                          </w:divBdr>
                                          <w:divsChild>
                                            <w:div w:id="17085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3108">
                                  <w:marLeft w:val="0"/>
                                  <w:marRight w:val="0"/>
                                  <w:marTop w:val="0"/>
                                  <w:marBottom w:val="0"/>
                                  <w:divBdr>
                                    <w:top w:val="none" w:sz="0" w:space="0" w:color="auto"/>
                                    <w:left w:val="none" w:sz="0" w:space="0" w:color="auto"/>
                                    <w:bottom w:val="none" w:sz="0" w:space="0" w:color="auto"/>
                                    <w:right w:val="none" w:sz="0" w:space="0" w:color="auto"/>
                                  </w:divBdr>
                                  <w:divsChild>
                                    <w:div w:id="793644556">
                                      <w:marLeft w:val="0"/>
                                      <w:marRight w:val="0"/>
                                      <w:marTop w:val="0"/>
                                      <w:marBottom w:val="0"/>
                                      <w:divBdr>
                                        <w:top w:val="none" w:sz="0" w:space="0" w:color="auto"/>
                                        <w:left w:val="none" w:sz="0" w:space="0" w:color="auto"/>
                                        <w:bottom w:val="none" w:sz="0" w:space="0" w:color="auto"/>
                                        <w:right w:val="none" w:sz="0" w:space="0" w:color="auto"/>
                                      </w:divBdr>
                                      <w:divsChild>
                                        <w:div w:id="253322432">
                                          <w:marLeft w:val="840"/>
                                          <w:marRight w:val="1440"/>
                                          <w:marTop w:val="0"/>
                                          <w:marBottom w:val="0"/>
                                          <w:divBdr>
                                            <w:top w:val="none" w:sz="0" w:space="0" w:color="auto"/>
                                            <w:left w:val="none" w:sz="0" w:space="0" w:color="auto"/>
                                            <w:bottom w:val="none" w:sz="0" w:space="0" w:color="auto"/>
                                            <w:right w:val="none" w:sz="0" w:space="0" w:color="auto"/>
                                          </w:divBdr>
                                          <w:divsChild>
                                            <w:div w:id="13770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19118">
                      <w:marLeft w:val="0"/>
                      <w:marRight w:val="0"/>
                      <w:marTop w:val="0"/>
                      <w:marBottom w:val="0"/>
                      <w:divBdr>
                        <w:top w:val="none" w:sz="0" w:space="0" w:color="auto"/>
                        <w:left w:val="none" w:sz="0" w:space="0" w:color="auto"/>
                        <w:bottom w:val="none" w:sz="0" w:space="0" w:color="auto"/>
                        <w:right w:val="none" w:sz="0" w:space="0" w:color="auto"/>
                      </w:divBdr>
                      <w:divsChild>
                        <w:div w:id="2046981018">
                          <w:marLeft w:val="0"/>
                          <w:marRight w:val="0"/>
                          <w:marTop w:val="0"/>
                          <w:marBottom w:val="0"/>
                          <w:divBdr>
                            <w:top w:val="none" w:sz="0" w:space="0" w:color="auto"/>
                            <w:left w:val="none" w:sz="0" w:space="0" w:color="auto"/>
                            <w:bottom w:val="none" w:sz="0" w:space="0" w:color="auto"/>
                            <w:right w:val="none" w:sz="0" w:space="0" w:color="auto"/>
                          </w:divBdr>
                          <w:divsChild>
                            <w:div w:id="726996266">
                              <w:marLeft w:val="1080"/>
                              <w:marRight w:val="0"/>
                              <w:marTop w:val="0"/>
                              <w:marBottom w:val="0"/>
                              <w:divBdr>
                                <w:top w:val="none" w:sz="0" w:space="0" w:color="auto"/>
                                <w:left w:val="none" w:sz="0" w:space="0" w:color="auto"/>
                                <w:bottom w:val="none" w:sz="0" w:space="0" w:color="auto"/>
                                <w:right w:val="none" w:sz="0" w:space="0" w:color="auto"/>
                              </w:divBdr>
                              <w:divsChild>
                                <w:div w:id="255483508">
                                  <w:marLeft w:val="0"/>
                                  <w:marRight w:val="0"/>
                                  <w:marTop w:val="0"/>
                                  <w:marBottom w:val="0"/>
                                  <w:divBdr>
                                    <w:top w:val="none" w:sz="0" w:space="0" w:color="auto"/>
                                    <w:left w:val="none" w:sz="0" w:space="0" w:color="auto"/>
                                    <w:bottom w:val="none" w:sz="0" w:space="0" w:color="auto"/>
                                    <w:right w:val="none" w:sz="0" w:space="0" w:color="auto"/>
                                  </w:divBdr>
                                  <w:divsChild>
                                    <w:div w:id="1011756626">
                                      <w:marLeft w:val="0"/>
                                      <w:marRight w:val="0"/>
                                      <w:marTop w:val="0"/>
                                      <w:marBottom w:val="0"/>
                                      <w:divBdr>
                                        <w:top w:val="none" w:sz="0" w:space="0" w:color="auto"/>
                                        <w:left w:val="none" w:sz="0" w:space="0" w:color="auto"/>
                                        <w:bottom w:val="none" w:sz="0" w:space="0" w:color="auto"/>
                                        <w:right w:val="none" w:sz="0" w:space="0" w:color="auto"/>
                                      </w:divBdr>
                                      <w:divsChild>
                                        <w:div w:id="831486532">
                                          <w:marLeft w:val="0"/>
                                          <w:marRight w:val="0"/>
                                          <w:marTop w:val="0"/>
                                          <w:marBottom w:val="0"/>
                                          <w:divBdr>
                                            <w:top w:val="none" w:sz="0" w:space="0" w:color="auto"/>
                                            <w:left w:val="none" w:sz="0" w:space="0" w:color="auto"/>
                                            <w:bottom w:val="none" w:sz="0" w:space="0" w:color="auto"/>
                                            <w:right w:val="none" w:sz="0" w:space="0" w:color="auto"/>
                                          </w:divBdr>
                                          <w:divsChild>
                                            <w:div w:id="267615802">
                                              <w:marLeft w:val="0"/>
                                              <w:marRight w:val="0"/>
                                              <w:marTop w:val="0"/>
                                              <w:marBottom w:val="0"/>
                                              <w:divBdr>
                                                <w:top w:val="none" w:sz="0" w:space="0" w:color="auto"/>
                                                <w:left w:val="none" w:sz="0" w:space="0" w:color="auto"/>
                                                <w:bottom w:val="none" w:sz="0" w:space="0" w:color="auto"/>
                                                <w:right w:val="none" w:sz="0" w:space="0" w:color="auto"/>
                                              </w:divBdr>
                                              <w:divsChild>
                                                <w:div w:id="181549721">
                                                  <w:marLeft w:val="0"/>
                                                  <w:marRight w:val="0"/>
                                                  <w:marTop w:val="0"/>
                                                  <w:marBottom w:val="0"/>
                                                  <w:divBdr>
                                                    <w:top w:val="none" w:sz="0" w:space="0" w:color="auto"/>
                                                    <w:left w:val="none" w:sz="0" w:space="0" w:color="auto"/>
                                                    <w:bottom w:val="none" w:sz="0" w:space="0" w:color="auto"/>
                                                    <w:right w:val="none" w:sz="0" w:space="0" w:color="auto"/>
                                                  </w:divBdr>
                                                  <w:divsChild>
                                                    <w:div w:id="1722243405">
                                                      <w:marLeft w:val="0"/>
                                                      <w:marRight w:val="0"/>
                                                      <w:marTop w:val="0"/>
                                                      <w:marBottom w:val="0"/>
                                                      <w:divBdr>
                                                        <w:top w:val="none" w:sz="0" w:space="0" w:color="auto"/>
                                                        <w:left w:val="none" w:sz="0" w:space="0" w:color="auto"/>
                                                        <w:bottom w:val="none" w:sz="0" w:space="0" w:color="auto"/>
                                                        <w:right w:val="none" w:sz="0" w:space="0" w:color="auto"/>
                                                      </w:divBdr>
                                                      <w:divsChild>
                                                        <w:div w:id="418872608">
                                                          <w:marLeft w:val="0"/>
                                                          <w:marRight w:val="0"/>
                                                          <w:marTop w:val="0"/>
                                                          <w:marBottom w:val="0"/>
                                                          <w:divBdr>
                                                            <w:top w:val="none" w:sz="0" w:space="0" w:color="auto"/>
                                                            <w:left w:val="none" w:sz="0" w:space="0" w:color="auto"/>
                                                            <w:bottom w:val="none" w:sz="0" w:space="0" w:color="auto"/>
                                                            <w:right w:val="none" w:sz="0" w:space="0" w:color="auto"/>
                                                          </w:divBdr>
                                                          <w:divsChild>
                                                            <w:div w:id="1177577186">
                                                              <w:marLeft w:val="0"/>
                                                              <w:marRight w:val="0"/>
                                                              <w:marTop w:val="0"/>
                                                              <w:marBottom w:val="0"/>
                                                              <w:divBdr>
                                                                <w:top w:val="none" w:sz="0" w:space="0" w:color="auto"/>
                                                                <w:left w:val="none" w:sz="0" w:space="0" w:color="auto"/>
                                                                <w:bottom w:val="none" w:sz="0" w:space="0" w:color="auto"/>
                                                                <w:right w:val="none" w:sz="0" w:space="0" w:color="auto"/>
                                                              </w:divBdr>
                                                              <w:divsChild>
                                                                <w:div w:id="2026516392">
                                                                  <w:marLeft w:val="0"/>
                                                                  <w:marRight w:val="0"/>
                                                                  <w:marTop w:val="0"/>
                                                                  <w:marBottom w:val="0"/>
                                                                  <w:divBdr>
                                                                    <w:top w:val="none" w:sz="0" w:space="0" w:color="auto"/>
                                                                    <w:left w:val="none" w:sz="0" w:space="0" w:color="auto"/>
                                                                    <w:bottom w:val="none" w:sz="0" w:space="0" w:color="auto"/>
                                                                    <w:right w:val="none" w:sz="0" w:space="0" w:color="auto"/>
                                                                  </w:divBdr>
                                                                  <w:divsChild>
                                                                    <w:div w:id="314342252">
                                                                      <w:marLeft w:val="0"/>
                                                                      <w:marRight w:val="0"/>
                                                                      <w:marTop w:val="0"/>
                                                                      <w:marBottom w:val="0"/>
                                                                      <w:divBdr>
                                                                        <w:top w:val="none" w:sz="0" w:space="0" w:color="auto"/>
                                                                        <w:left w:val="none" w:sz="0" w:space="0" w:color="auto"/>
                                                                        <w:bottom w:val="none" w:sz="0" w:space="0" w:color="auto"/>
                                                                        <w:right w:val="none" w:sz="0" w:space="0" w:color="auto"/>
                                                                      </w:divBdr>
                                                                      <w:divsChild>
                                                                        <w:div w:id="472792313">
                                                                          <w:marLeft w:val="0"/>
                                                                          <w:marRight w:val="240"/>
                                                                          <w:marTop w:val="0"/>
                                                                          <w:marBottom w:val="0"/>
                                                                          <w:divBdr>
                                                                            <w:top w:val="none" w:sz="0" w:space="0" w:color="auto"/>
                                                                            <w:left w:val="none" w:sz="0" w:space="0" w:color="auto"/>
                                                                            <w:bottom w:val="none" w:sz="0" w:space="0" w:color="auto"/>
                                                                            <w:right w:val="none" w:sz="0" w:space="0" w:color="auto"/>
                                                                          </w:divBdr>
                                                                          <w:divsChild>
                                                                            <w:div w:id="1290474667">
                                                                              <w:marLeft w:val="0"/>
                                                                              <w:marRight w:val="0"/>
                                                                              <w:marTop w:val="0"/>
                                                                              <w:marBottom w:val="0"/>
                                                                              <w:divBdr>
                                                                                <w:top w:val="none" w:sz="0" w:space="0" w:color="auto"/>
                                                                                <w:left w:val="none" w:sz="0" w:space="0" w:color="auto"/>
                                                                                <w:bottom w:val="none" w:sz="0" w:space="0" w:color="auto"/>
                                                                                <w:right w:val="none" w:sz="0" w:space="0" w:color="auto"/>
                                                                              </w:divBdr>
                                                                              <w:divsChild>
                                                                                <w:div w:id="671950089">
                                                                                  <w:marLeft w:val="0"/>
                                                                                  <w:marRight w:val="0"/>
                                                                                  <w:marTop w:val="0"/>
                                                                                  <w:marBottom w:val="0"/>
                                                                                  <w:divBdr>
                                                                                    <w:top w:val="none" w:sz="0" w:space="0" w:color="auto"/>
                                                                                    <w:left w:val="none" w:sz="0" w:space="0" w:color="auto"/>
                                                                                    <w:bottom w:val="none" w:sz="0" w:space="0" w:color="auto"/>
                                                                                    <w:right w:val="none" w:sz="0" w:space="0" w:color="auto"/>
                                                                                  </w:divBdr>
                                                                                  <w:divsChild>
                                                                                    <w:div w:id="858154689">
                                                                                      <w:marLeft w:val="0"/>
                                                                                      <w:marRight w:val="0"/>
                                                                                      <w:marTop w:val="0"/>
                                                                                      <w:marBottom w:val="0"/>
                                                                                      <w:divBdr>
                                                                                        <w:top w:val="none" w:sz="0" w:space="0" w:color="auto"/>
                                                                                        <w:left w:val="none" w:sz="0" w:space="0" w:color="auto"/>
                                                                                        <w:bottom w:val="none" w:sz="0" w:space="0" w:color="auto"/>
                                                                                        <w:right w:val="none" w:sz="0" w:space="0" w:color="auto"/>
                                                                                      </w:divBdr>
                                                                                      <w:divsChild>
                                                                                        <w:div w:id="1264143363">
                                                                                          <w:marLeft w:val="0"/>
                                                                                          <w:marRight w:val="90"/>
                                                                                          <w:marTop w:val="0"/>
                                                                                          <w:marBottom w:val="0"/>
                                                                                          <w:divBdr>
                                                                                            <w:top w:val="none" w:sz="0" w:space="0" w:color="auto"/>
                                                                                            <w:left w:val="none" w:sz="0" w:space="0" w:color="auto"/>
                                                                                            <w:bottom w:val="none" w:sz="0" w:space="0" w:color="auto"/>
                                                                                            <w:right w:val="none" w:sz="0" w:space="0" w:color="auto"/>
                                                                                          </w:divBdr>
                                                                                          <w:divsChild>
                                                                                            <w:div w:id="467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72501">
                                                                                  <w:marLeft w:val="0"/>
                                                                                  <w:marRight w:val="0"/>
                                                                                  <w:marTop w:val="0"/>
                                                                                  <w:marBottom w:val="0"/>
                                                                                  <w:divBdr>
                                                                                    <w:top w:val="none" w:sz="0" w:space="0" w:color="auto"/>
                                                                                    <w:left w:val="none" w:sz="0" w:space="0" w:color="auto"/>
                                                                                    <w:bottom w:val="none" w:sz="0" w:space="0" w:color="auto"/>
                                                                                    <w:right w:val="none" w:sz="0" w:space="0" w:color="auto"/>
                                                                                  </w:divBdr>
                                                                                  <w:divsChild>
                                                                                    <w:div w:id="3482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5150">
                                                                              <w:marLeft w:val="0"/>
                                                                              <w:marRight w:val="0"/>
                                                                              <w:marTop w:val="0"/>
                                                                              <w:marBottom w:val="0"/>
                                                                              <w:divBdr>
                                                                                <w:top w:val="none" w:sz="0" w:space="0" w:color="auto"/>
                                                                                <w:left w:val="none" w:sz="0" w:space="0" w:color="auto"/>
                                                                                <w:bottom w:val="none" w:sz="0" w:space="0" w:color="auto"/>
                                                                                <w:right w:val="none" w:sz="0" w:space="0" w:color="auto"/>
                                                                              </w:divBdr>
                                                                              <w:divsChild>
                                                                                <w:div w:id="1636643589">
                                                                                  <w:marLeft w:val="0"/>
                                                                                  <w:marRight w:val="0"/>
                                                                                  <w:marTop w:val="0"/>
                                                                                  <w:marBottom w:val="0"/>
                                                                                  <w:divBdr>
                                                                                    <w:top w:val="none" w:sz="0" w:space="0" w:color="auto"/>
                                                                                    <w:left w:val="none" w:sz="0" w:space="0" w:color="auto"/>
                                                                                    <w:bottom w:val="none" w:sz="0" w:space="0" w:color="auto"/>
                                                                                    <w:right w:val="none" w:sz="0" w:space="0" w:color="auto"/>
                                                                                  </w:divBdr>
                                                                                  <w:divsChild>
                                                                                    <w:div w:id="878319884">
                                                                                      <w:marLeft w:val="0"/>
                                                                                      <w:marRight w:val="0"/>
                                                                                      <w:marTop w:val="0"/>
                                                                                      <w:marBottom w:val="0"/>
                                                                                      <w:divBdr>
                                                                                        <w:top w:val="none" w:sz="0" w:space="0" w:color="auto"/>
                                                                                        <w:left w:val="none" w:sz="0" w:space="0" w:color="auto"/>
                                                                                        <w:bottom w:val="none" w:sz="0" w:space="0" w:color="auto"/>
                                                                                        <w:right w:val="none" w:sz="0" w:space="0" w:color="auto"/>
                                                                                      </w:divBdr>
                                                                                      <w:divsChild>
                                                                                        <w:div w:id="1215777288">
                                                                                          <w:marLeft w:val="0"/>
                                                                                          <w:marRight w:val="0"/>
                                                                                          <w:marTop w:val="0"/>
                                                                                          <w:marBottom w:val="0"/>
                                                                                          <w:divBdr>
                                                                                            <w:top w:val="none" w:sz="0" w:space="0" w:color="auto"/>
                                                                                            <w:left w:val="none" w:sz="0" w:space="0" w:color="auto"/>
                                                                                            <w:bottom w:val="none" w:sz="0" w:space="0" w:color="auto"/>
                                                                                            <w:right w:val="none" w:sz="0" w:space="0" w:color="auto"/>
                                                                                          </w:divBdr>
                                                                                          <w:divsChild>
                                                                                            <w:div w:id="769202890">
                                                                                              <w:marLeft w:val="0"/>
                                                                                              <w:marRight w:val="0"/>
                                                                                              <w:marTop w:val="0"/>
                                                                                              <w:marBottom w:val="0"/>
                                                                                              <w:divBdr>
                                                                                                <w:top w:val="single" w:sz="2" w:space="0" w:color="EFEFEF"/>
                                                                                                <w:left w:val="none" w:sz="0" w:space="0" w:color="auto"/>
                                                                                                <w:bottom w:val="none" w:sz="0" w:space="0" w:color="auto"/>
                                                                                                <w:right w:val="none" w:sz="0" w:space="0" w:color="auto"/>
                                                                                              </w:divBdr>
                                                                                              <w:divsChild>
                                                                                                <w:div w:id="855005154">
                                                                                                  <w:marLeft w:val="0"/>
                                                                                                  <w:marRight w:val="0"/>
                                                                                                  <w:marTop w:val="0"/>
                                                                                                  <w:marBottom w:val="0"/>
                                                                                                  <w:divBdr>
                                                                                                    <w:top w:val="none" w:sz="0" w:space="0" w:color="auto"/>
                                                                                                    <w:left w:val="none" w:sz="0" w:space="0" w:color="auto"/>
                                                                                                    <w:bottom w:val="none" w:sz="0" w:space="0" w:color="auto"/>
                                                                                                    <w:right w:val="none" w:sz="0" w:space="0" w:color="auto"/>
                                                                                                  </w:divBdr>
                                                                                                  <w:divsChild>
                                                                                                    <w:div w:id="1218012899">
                                                                                                      <w:marLeft w:val="0"/>
                                                                                                      <w:marRight w:val="0"/>
                                                                                                      <w:marTop w:val="0"/>
                                                                                                      <w:marBottom w:val="0"/>
                                                                                                      <w:divBdr>
                                                                                                        <w:top w:val="none" w:sz="0" w:space="0" w:color="auto"/>
                                                                                                        <w:left w:val="none" w:sz="0" w:space="0" w:color="auto"/>
                                                                                                        <w:bottom w:val="none" w:sz="0" w:space="0" w:color="auto"/>
                                                                                                        <w:right w:val="none" w:sz="0" w:space="0" w:color="auto"/>
                                                                                                      </w:divBdr>
                                                                                                      <w:divsChild>
                                                                                                        <w:div w:id="978531086">
                                                                                                          <w:marLeft w:val="0"/>
                                                                                                          <w:marRight w:val="0"/>
                                                                                                          <w:marTop w:val="0"/>
                                                                                                          <w:marBottom w:val="0"/>
                                                                                                          <w:divBdr>
                                                                                                            <w:top w:val="none" w:sz="0" w:space="0" w:color="auto"/>
                                                                                                            <w:left w:val="none" w:sz="0" w:space="0" w:color="auto"/>
                                                                                                            <w:bottom w:val="none" w:sz="0" w:space="0" w:color="auto"/>
                                                                                                            <w:right w:val="none" w:sz="0" w:space="0" w:color="auto"/>
                                                                                                          </w:divBdr>
                                                                                                          <w:divsChild>
                                                                                                            <w:div w:id="520894626">
                                                                                                              <w:marLeft w:val="0"/>
                                                                                                              <w:marRight w:val="0"/>
                                                                                                              <w:marTop w:val="0"/>
                                                                                                              <w:marBottom w:val="0"/>
                                                                                                              <w:divBdr>
                                                                                                                <w:top w:val="none" w:sz="0" w:space="0" w:color="auto"/>
                                                                                                                <w:left w:val="none" w:sz="0" w:space="0" w:color="auto"/>
                                                                                                                <w:bottom w:val="none" w:sz="0" w:space="0" w:color="auto"/>
                                                                                                                <w:right w:val="none" w:sz="0" w:space="0" w:color="auto"/>
                                                                                                              </w:divBdr>
                                                                                                              <w:divsChild>
                                                                                                                <w:div w:id="1083572638">
                                                                                                                  <w:marLeft w:val="0"/>
                                                                                                                  <w:marRight w:val="0"/>
                                                                                                                  <w:marTop w:val="0"/>
                                                                                                                  <w:marBottom w:val="0"/>
                                                                                                                  <w:divBdr>
                                                                                                                    <w:top w:val="none" w:sz="0" w:space="0" w:color="auto"/>
                                                                                                                    <w:left w:val="none" w:sz="0" w:space="0" w:color="auto"/>
                                                                                                                    <w:bottom w:val="none" w:sz="0" w:space="0" w:color="auto"/>
                                                                                                                    <w:right w:val="none" w:sz="0" w:space="0" w:color="auto"/>
                                                                                                                  </w:divBdr>
                                                                                                                  <w:divsChild>
                                                                                                                    <w:div w:id="188186445">
                                                                                                                      <w:marLeft w:val="0"/>
                                                                                                                      <w:marRight w:val="0"/>
                                                                                                                      <w:marTop w:val="0"/>
                                                                                                                      <w:marBottom w:val="0"/>
                                                                                                                      <w:divBdr>
                                                                                                                        <w:top w:val="none" w:sz="0" w:space="0" w:color="auto"/>
                                                                                                                        <w:left w:val="none" w:sz="0" w:space="0" w:color="auto"/>
                                                                                                                        <w:bottom w:val="none" w:sz="0" w:space="0" w:color="auto"/>
                                                                                                                        <w:right w:val="none" w:sz="0" w:space="0" w:color="auto"/>
                                                                                                                      </w:divBdr>
                                                                                                                      <w:divsChild>
                                                                                                                        <w:div w:id="95758665">
                                                                                                                          <w:marLeft w:val="60"/>
                                                                                                                          <w:marRight w:val="0"/>
                                                                                                                          <w:marTop w:val="0"/>
                                                                                                                          <w:marBottom w:val="0"/>
                                                                                                                          <w:divBdr>
                                                                                                                            <w:top w:val="none" w:sz="0" w:space="0" w:color="auto"/>
                                                                                                                            <w:left w:val="none" w:sz="0" w:space="0" w:color="auto"/>
                                                                                                                            <w:bottom w:val="none" w:sz="0" w:space="0" w:color="auto"/>
                                                                                                                            <w:right w:val="none" w:sz="0" w:space="0" w:color="auto"/>
                                                                                                                          </w:divBdr>
                                                                                                                        </w:div>
                                                                                                                        <w:div w:id="202984283">
                                                                                                                          <w:marLeft w:val="0"/>
                                                                                                                          <w:marRight w:val="0"/>
                                                                                                                          <w:marTop w:val="0"/>
                                                                                                                          <w:marBottom w:val="0"/>
                                                                                                                          <w:divBdr>
                                                                                                                            <w:top w:val="none" w:sz="0" w:space="0" w:color="auto"/>
                                                                                                                            <w:left w:val="none" w:sz="0" w:space="0" w:color="auto"/>
                                                                                                                            <w:bottom w:val="none" w:sz="0" w:space="0" w:color="auto"/>
                                                                                                                            <w:right w:val="none" w:sz="0" w:space="0" w:color="auto"/>
                                                                                                                          </w:divBdr>
                                                                                                                        </w:div>
                                                                                                                        <w:div w:id="1504592904">
                                                                                                                          <w:marLeft w:val="300"/>
                                                                                                                          <w:marRight w:val="0"/>
                                                                                                                          <w:marTop w:val="0"/>
                                                                                                                          <w:marBottom w:val="0"/>
                                                                                                                          <w:divBdr>
                                                                                                                            <w:top w:val="none" w:sz="0" w:space="0" w:color="auto"/>
                                                                                                                            <w:left w:val="none" w:sz="0" w:space="0" w:color="auto"/>
                                                                                                                            <w:bottom w:val="none" w:sz="0" w:space="0" w:color="auto"/>
                                                                                                                            <w:right w:val="none" w:sz="0" w:space="0" w:color="auto"/>
                                                                                                                          </w:divBdr>
                                                                                                                        </w:div>
                                                                                                                        <w:div w:id="1912227851">
                                                                                                                          <w:marLeft w:val="300"/>
                                                                                                                          <w:marRight w:val="0"/>
                                                                                                                          <w:marTop w:val="0"/>
                                                                                                                          <w:marBottom w:val="0"/>
                                                                                                                          <w:divBdr>
                                                                                                                            <w:top w:val="none" w:sz="0" w:space="0" w:color="auto"/>
                                                                                                                            <w:left w:val="none" w:sz="0" w:space="0" w:color="auto"/>
                                                                                                                            <w:bottom w:val="none" w:sz="0" w:space="0" w:color="auto"/>
                                                                                                                            <w:right w:val="none" w:sz="0" w:space="0" w:color="auto"/>
                                                                                                                          </w:divBdr>
                                                                                                                        </w:div>
                                                                                                                        <w:div w:id="2007711157">
                                                                                                                          <w:marLeft w:val="0"/>
                                                                                                                          <w:marRight w:val="0"/>
                                                                                                                          <w:marTop w:val="0"/>
                                                                                                                          <w:marBottom w:val="0"/>
                                                                                                                          <w:divBdr>
                                                                                                                            <w:top w:val="none" w:sz="0" w:space="0" w:color="auto"/>
                                                                                                                            <w:left w:val="none" w:sz="0" w:space="0" w:color="auto"/>
                                                                                                                            <w:bottom w:val="none" w:sz="0" w:space="0" w:color="auto"/>
                                                                                                                            <w:right w:val="none" w:sz="0" w:space="0" w:color="auto"/>
                                                                                                                          </w:divBdr>
                                                                                                                        </w:div>
                                                                                                                      </w:divsChild>
                                                                                                                    </w:div>
                                                                                                                    <w:div w:id="1394281057">
                                                                                                                      <w:marLeft w:val="0"/>
                                                                                                                      <w:marRight w:val="0"/>
                                                                                                                      <w:marTop w:val="0"/>
                                                                                                                      <w:marBottom w:val="0"/>
                                                                                                                      <w:divBdr>
                                                                                                                        <w:top w:val="none" w:sz="0" w:space="0" w:color="auto"/>
                                                                                                                        <w:left w:val="none" w:sz="0" w:space="0" w:color="auto"/>
                                                                                                                        <w:bottom w:val="none" w:sz="0" w:space="0" w:color="auto"/>
                                                                                                                        <w:right w:val="none" w:sz="0" w:space="0" w:color="auto"/>
                                                                                                                      </w:divBdr>
                                                                                                                      <w:divsChild>
                                                                                                                        <w:div w:id="2003504805">
                                                                                                                          <w:marLeft w:val="0"/>
                                                                                                                          <w:marRight w:val="0"/>
                                                                                                                          <w:marTop w:val="225"/>
                                                                                                                          <w:marBottom w:val="225"/>
                                                                                                                          <w:divBdr>
                                                                                                                            <w:top w:val="none" w:sz="0" w:space="0" w:color="auto"/>
                                                                                                                            <w:left w:val="none" w:sz="0" w:space="0" w:color="auto"/>
                                                                                                                            <w:bottom w:val="none" w:sz="0" w:space="0" w:color="auto"/>
                                                                                                                            <w:right w:val="none" w:sz="0" w:space="0" w:color="auto"/>
                                                                                                                          </w:divBdr>
                                                                                                                          <w:divsChild>
                                                                                                                            <w:div w:id="1351491886">
                                                                                                                              <w:marLeft w:val="0"/>
                                                                                                                              <w:marRight w:val="0"/>
                                                                                                                              <w:marTop w:val="180"/>
                                                                                                                              <w:marBottom w:val="180"/>
                                                                                                                              <w:divBdr>
                                                                                                                                <w:top w:val="none" w:sz="0" w:space="0" w:color="auto"/>
                                                                                                                                <w:left w:val="none" w:sz="0" w:space="0" w:color="auto"/>
                                                                                                                                <w:bottom w:val="none" w:sz="0" w:space="0" w:color="auto"/>
                                                                                                                                <w:right w:val="none" w:sz="0" w:space="0" w:color="auto"/>
                                                                                                                              </w:divBdr>
                                                                                                                              <w:divsChild>
                                                                                                                                <w:div w:id="662661773">
                                                                                                                                  <w:marLeft w:val="0"/>
                                                                                                                                  <w:marRight w:val="0"/>
                                                                                                                                  <w:marTop w:val="0"/>
                                                                                                                                  <w:marBottom w:val="0"/>
                                                                                                                                  <w:divBdr>
                                                                                                                                    <w:top w:val="none" w:sz="0" w:space="0" w:color="auto"/>
                                                                                                                                    <w:left w:val="none" w:sz="0" w:space="0" w:color="auto"/>
                                                                                                                                    <w:bottom w:val="none" w:sz="0" w:space="0" w:color="auto"/>
                                                                                                                                    <w:right w:val="none" w:sz="0" w:space="0" w:color="auto"/>
                                                                                                                                  </w:divBdr>
                                                                                                                                  <w:divsChild>
                                                                                                                                    <w:div w:id="857155568">
                                                                                                                                      <w:marLeft w:val="300"/>
                                                                                                                                      <w:marRight w:val="0"/>
                                                                                                                                      <w:marTop w:val="0"/>
                                                                                                                                      <w:marBottom w:val="0"/>
                                                                                                                                      <w:divBdr>
                                                                                                                                        <w:top w:val="none" w:sz="0" w:space="0" w:color="auto"/>
                                                                                                                                        <w:left w:val="none" w:sz="0" w:space="0" w:color="auto"/>
                                                                                                                                        <w:bottom w:val="none" w:sz="0" w:space="0" w:color="auto"/>
                                                                                                                                        <w:right w:val="none" w:sz="0" w:space="0" w:color="auto"/>
                                                                                                                                      </w:divBdr>
                                                                                                                                      <w:divsChild>
                                                                                                                                        <w:div w:id="2104450676">
                                                                                                                                          <w:marLeft w:val="0"/>
                                                                                                                                          <w:marRight w:val="0"/>
                                                                                                                                          <w:marTop w:val="0"/>
                                                                                                                                          <w:marBottom w:val="0"/>
                                                                                                                                          <w:divBdr>
                                                                                                                                            <w:top w:val="none" w:sz="0" w:space="0" w:color="auto"/>
                                                                                                                                            <w:left w:val="none" w:sz="0" w:space="0" w:color="auto"/>
                                                                                                                                            <w:bottom w:val="none" w:sz="0" w:space="0" w:color="auto"/>
                                                                                                                                            <w:right w:val="none" w:sz="0" w:space="0" w:color="auto"/>
                                                                                                                                          </w:divBdr>
                                                                                                                                        </w:div>
                                                                                                                                      </w:divsChild>
                                                                                                                                    </w:div>
                                                                                                                                    <w:div w:id="1735548628">
                                                                                                                                      <w:marLeft w:val="300"/>
                                                                                                                                      <w:marRight w:val="0"/>
                                                                                                                                      <w:marTop w:val="0"/>
                                                                                                                                      <w:marBottom w:val="0"/>
                                                                                                                                      <w:divBdr>
                                                                                                                                        <w:top w:val="none" w:sz="0" w:space="0" w:color="auto"/>
                                                                                                                                        <w:left w:val="none" w:sz="0" w:space="0" w:color="auto"/>
                                                                                                                                        <w:bottom w:val="none" w:sz="0" w:space="0" w:color="auto"/>
                                                                                                                                        <w:right w:val="none" w:sz="0" w:space="0" w:color="auto"/>
                                                                                                                                      </w:divBdr>
                                                                                                                                      <w:divsChild>
                                                                                                                                        <w:div w:id="17678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60193">
                                                                                                                          <w:marLeft w:val="0"/>
                                                                                                                          <w:marRight w:val="0"/>
                                                                                                                          <w:marTop w:val="120"/>
                                                                                                                          <w:marBottom w:val="0"/>
                                                                                                                          <w:divBdr>
                                                                                                                            <w:top w:val="none" w:sz="0" w:space="0" w:color="auto"/>
                                                                                                                            <w:left w:val="none" w:sz="0" w:space="0" w:color="auto"/>
                                                                                                                            <w:bottom w:val="none" w:sz="0" w:space="0" w:color="auto"/>
                                                                                                                            <w:right w:val="none" w:sz="0" w:space="0" w:color="auto"/>
                                                                                                                          </w:divBdr>
                                                                                                                          <w:divsChild>
                                                                                                                            <w:div w:id="580993125">
                                                                                                                              <w:marLeft w:val="0"/>
                                                                                                                              <w:marRight w:val="0"/>
                                                                                                                              <w:marTop w:val="0"/>
                                                                                                                              <w:marBottom w:val="0"/>
                                                                                                                              <w:divBdr>
                                                                                                                                <w:top w:val="none" w:sz="0" w:space="0" w:color="auto"/>
                                                                                                                                <w:left w:val="none" w:sz="0" w:space="0" w:color="auto"/>
                                                                                                                                <w:bottom w:val="none" w:sz="0" w:space="0" w:color="auto"/>
                                                                                                                                <w:right w:val="none" w:sz="0" w:space="0" w:color="auto"/>
                                                                                                                              </w:divBdr>
                                                                                                                              <w:divsChild>
                                                                                                                                <w:div w:id="75369189">
                                                                                                                                  <w:marLeft w:val="0"/>
                                                                                                                                  <w:marRight w:val="0"/>
                                                                                                                                  <w:marTop w:val="0"/>
                                                                                                                                  <w:marBottom w:val="0"/>
                                                                                                                                  <w:divBdr>
                                                                                                                                    <w:top w:val="none" w:sz="0" w:space="0" w:color="auto"/>
                                                                                                                                    <w:left w:val="none" w:sz="0" w:space="0" w:color="auto"/>
                                                                                                                                    <w:bottom w:val="none" w:sz="0" w:space="0" w:color="auto"/>
                                                                                                                                    <w:right w:val="none" w:sz="0" w:space="0" w:color="auto"/>
                                                                                                                                  </w:divBdr>
                                                                                                                                </w:div>
                                                                                                                                <w:div w:id="205918073">
                                                                                                                                  <w:marLeft w:val="0"/>
                                                                                                                                  <w:marRight w:val="0"/>
                                                                                                                                  <w:marTop w:val="0"/>
                                                                                                                                  <w:marBottom w:val="0"/>
                                                                                                                                  <w:divBdr>
                                                                                                                                    <w:top w:val="none" w:sz="0" w:space="0" w:color="auto"/>
                                                                                                                                    <w:left w:val="none" w:sz="0" w:space="0" w:color="auto"/>
                                                                                                                                    <w:bottom w:val="none" w:sz="0" w:space="0" w:color="auto"/>
                                                                                                                                    <w:right w:val="none" w:sz="0" w:space="0" w:color="auto"/>
                                                                                                                                  </w:divBdr>
                                                                                                                                  <w:divsChild>
                                                                                                                                    <w:div w:id="617296224">
                                                                                                                                      <w:marLeft w:val="0"/>
                                                                                                                                      <w:marRight w:val="0"/>
                                                                                                                                      <w:marTop w:val="0"/>
                                                                                                                                      <w:marBottom w:val="0"/>
                                                                                                                                      <w:divBdr>
                                                                                                                                        <w:top w:val="none" w:sz="0" w:space="0" w:color="auto"/>
                                                                                                                                        <w:left w:val="none" w:sz="0" w:space="0" w:color="auto"/>
                                                                                                                                        <w:bottom w:val="none" w:sz="0" w:space="0" w:color="auto"/>
                                                                                                                                        <w:right w:val="none" w:sz="0" w:space="0" w:color="auto"/>
                                                                                                                                      </w:divBdr>
                                                                                                                                    </w:div>
                                                                                                                                    <w:div w:id="1459256735">
                                                                                                                                      <w:marLeft w:val="0"/>
                                                                                                                                      <w:marRight w:val="0"/>
                                                                                                                                      <w:marTop w:val="0"/>
                                                                                                                                      <w:marBottom w:val="0"/>
                                                                                                                                      <w:divBdr>
                                                                                                                                        <w:top w:val="none" w:sz="0" w:space="0" w:color="auto"/>
                                                                                                                                        <w:left w:val="none" w:sz="0" w:space="0" w:color="auto"/>
                                                                                                                                        <w:bottom w:val="none" w:sz="0" w:space="0" w:color="auto"/>
                                                                                                                                        <w:right w:val="none" w:sz="0" w:space="0" w:color="auto"/>
                                                                                                                                      </w:divBdr>
                                                                                                                                    </w:div>
                                                                                                                                    <w:div w:id="1615283171">
                                                                                                                                      <w:marLeft w:val="0"/>
                                                                                                                                      <w:marRight w:val="0"/>
                                                                                                                                      <w:marTop w:val="0"/>
                                                                                                                                      <w:marBottom w:val="0"/>
                                                                                                                                      <w:divBdr>
                                                                                                                                        <w:top w:val="none" w:sz="0" w:space="0" w:color="auto"/>
                                                                                                                                        <w:left w:val="none" w:sz="0" w:space="0" w:color="auto"/>
                                                                                                                                        <w:bottom w:val="none" w:sz="0" w:space="0" w:color="auto"/>
                                                                                                                                        <w:right w:val="none" w:sz="0" w:space="0" w:color="auto"/>
                                                                                                                                      </w:divBdr>
                                                                                                                                    </w:div>
                                                                                                                                    <w:div w:id="1704208947">
                                                                                                                                      <w:marLeft w:val="0"/>
                                                                                                                                      <w:marRight w:val="0"/>
                                                                                                                                      <w:marTop w:val="0"/>
                                                                                                                                      <w:marBottom w:val="0"/>
                                                                                                                                      <w:divBdr>
                                                                                                                                        <w:top w:val="none" w:sz="0" w:space="0" w:color="auto"/>
                                                                                                                                        <w:left w:val="none" w:sz="0" w:space="0" w:color="auto"/>
                                                                                                                                        <w:bottom w:val="none" w:sz="0" w:space="0" w:color="auto"/>
                                                                                                                                        <w:right w:val="none" w:sz="0" w:space="0" w:color="auto"/>
                                                                                                                                      </w:divBdr>
                                                                                                                                    </w:div>
                                                                                                                                    <w:div w:id="2143838266">
                                                                                                                                      <w:marLeft w:val="0"/>
                                                                                                                                      <w:marRight w:val="0"/>
                                                                                                                                      <w:marTop w:val="0"/>
                                                                                                                                      <w:marBottom w:val="0"/>
                                                                                                                                      <w:divBdr>
                                                                                                                                        <w:top w:val="none" w:sz="0" w:space="0" w:color="auto"/>
                                                                                                                                        <w:left w:val="none" w:sz="0" w:space="0" w:color="auto"/>
                                                                                                                                        <w:bottom w:val="none" w:sz="0" w:space="0" w:color="auto"/>
                                                                                                                                        <w:right w:val="none" w:sz="0" w:space="0" w:color="auto"/>
                                                                                                                                      </w:divBdr>
                                                                                                                                    </w:div>
                                                                                                                                  </w:divsChild>
                                                                                                                                </w:div>
                                                                                                                                <w:div w:id="898519463">
                                                                                                                                  <w:marLeft w:val="0"/>
                                                                                                                                  <w:marRight w:val="0"/>
                                                                                                                                  <w:marTop w:val="0"/>
                                                                                                                                  <w:marBottom w:val="0"/>
                                                                                                                                  <w:divBdr>
                                                                                                                                    <w:top w:val="none" w:sz="0" w:space="0" w:color="auto"/>
                                                                                                                                    <w:left w:val="none" w:sz="0" w:space="0" w:color="auto"/>
                                                                                                                                    <w:bottom w:val="none" w:sz="0" w:space="0" w:color="auto"/>
                                                                                                                                    <w:right w:val="none" w:sz="0" w:space="0" w:color="auto"/>
                                                                                                                                  </w:divBdr>
                                                                                                                                  <w:divsChild>
                                                                                                                                    <w:div w:id="686753203">
                                                                                                                                      <w:marLeft w:val="0"/>
                                                                                                                                      <w:marRight w:val="0"/>
                                                                                                                                      <w:marTop w:val="0"/>
                                                                                                                                      <w:marBottom w:val="0"/>
                                                                                                                                      <w:divBdr>
                                                                                                                                        <w:top w:val="none" w:sz="0" w:space="0" w:color="auto"/>
                                                                                                                                        <w:left w:val="none" w:sz="0" w:space="0" w:color="auto"/>
                                                                                                                                        <w:bottom w:val="none" w:sz="0" w:space="0" w:color="auto"/>
                                                                                                                                        <w:right w:val="none" w:sz="0" w:space="0" w:color="auto"/>
                                                                                                                                      </w:divBdr>
                                                                                                                                      <w:divsChild>
                                                                                                                                        <w:div w:id="1140921216">
                                                                                                                                          <w:marLeft w:val="0"/>
                                                                                                                                          <w:marRight w:val="0"/>
                                                                                                                                          <w:marTop w:val="0"/>
                                                                                                                                          <w:marBottom w:val="0"/>
                                                                                                                                          <w:divBdr>
                                                                                                                                            <w:top w:val="none" w:sz="0" w:space="0" w:color="auto"/>
                                                                                                                                            <w:left w:val="none" w:sz="0" w:space="0" w:color="auto"/>
                                                                                                                                            <w:bottom w:val="none" w:sz="0" w:space="0" w:color="auto"/>
                                                                                                                                            <w:right w:val="none" w:sz="0" w:space="0" w:color="auto"/>
                                                                                                                                          </w:divBdr>
                                                                                                                                          <w:divsChild>
                                                                                                                                            <w:div w:id="2043481194">
                                                                                                                                              <w:marLeft w:val="0"/>
                                                                                                                                              <w:marRight w:val="0"/>
                                                                                                                                              <w:marTop w:val="0"/>
                                                                                                                                              <w:marBottom w:val="0"/>
                                                                                                                                              <w:divBdr>
                                                                                                                                                <w:top w:val="none" w:sz="0" w:space="0" w:color="auto"/>
                                                                                                                                                <w:left w:val="none" w:sz="0" w:space="0" w:color="auto"/>
                                                                                                                                                <w:bottom w:val="none" w:sz="0" w:space="0" w:color="auto"/>
                                                                                                                                                <w:right w:val="none" w:sz="0" w:space="0" w:color="auto"/>
                                                                                                                                              </w:divBdr>
                                                                                                                                              <w:divsChild>
                                                                                                                                                <w:div w:id="1357850096">
                                                                                                                                                  <w:marLeft w:val="0"/>
                                                                                                                                                  <w:marRight w:val="0"/>
                                                                                                                                                  <w:marTop w:val="0"/>
                                                                                                                                                  <w:marBottom w:val="0"/>
                                                                                                                                                  <w:divBdr>
                                                                                                                                                    <w:top w:val="none" w:sz="0" w:space="0" w:color="auto"/>
                                                                                                                                                    <w:left w:val="none" w:sz="0" w:space="0" w:color="auto"/>
                                                                                                                                                    <w:bottom w:val="none" w:sz="0" w:space="0" w:color="auto"/>
                                                                                                                                                    <w:right w:val="none" w:sz="0" w:space="0" w:color="auto"/>
                                                                                                                                                  </w:divBdr>
                                                                                                                                                  <w:divsChild>
                                                                                                                                                    <w:div w:id="1334380500">
                                                                                                                                                      <w:marLeft w:val="0"/>
                                                                                                                                                      <w:marRight w:val="0"/>
                                                                                                                                                      <w:marTop w:val="0"/>
                                                                                                                                                      <w:marBottom w:val="0"/>
                                                                                                                                                      <w:divBdr>
                                                                                                                                                        <w:top w:val="none" w:sz="0" w:space="0" w:color="auto"/>
                                                                                                                                                        <w:left w:val="none" w:sz="0" w:space="0" w:color="auto"/>
                                                                                                                                                        <w:bottom w:val="none" w:sz="0" w:space="0" w:color="auto"/>
                                                                                                                                                        <w:right w:val="none" w:sz="0" w:space="0" w:color="auto"/>
                                                                                                                                                      </w:divBdr>
                                                                                                                                                      <w:divsChild>
                                                                                                                                                        <w:div w:id="1581598246">
                                                                                                                                                          <w:marLeft w:val="0"/>
                                                                                                                                                          <w:marRight w:val="0"/>
                                                                                                                                                          <w:marTop w:val="0"/>
                                                                                                                                                          <w:marBottom w:val="0"/>
                                                                                                                                                          <w:divBdr>
                                                                                                                                                            <w:top w:val="none" w:sz="0" w:space="0" w:color="auto"/>
                                                                                                                                                            <w:left w:val="none" w:sz="0" w:space="0" w:color="auto"/>
                                                                                                                                                            <w:bottom w:val="none" w:sz="0" w:space="0" w:color="auto"/>
                                                                                                                                                            <w:right w:val="none" w:sz="0" w:space="0" w:color="auto"/>
                                                                                                                                                          </w:divBdr>
                                                                                                                                                          <w:divsChild>
                                                                                                                                                            <w:div w:id="547886868">
                                                                                                                                                              <w:marLeft w:val="0"/>
                                                                                                                                                              <w:marRight w:val="0"/>
                                                                                                                                                              <w:marTop w:val="0"/>
                                                                                                                                                              <w:marBottom w:val="0"/>
                                                                                                                                                              <w:divBdr>
                                                                                                                                                                <w:top w:val="none" w:sz="0" w:space="0" w:color="auto"/>
                                                                                                                                                                <w:left w:val="none" w:sz="0" w:space="0" w:color="auto"/>
                                                                                                                                                                <w:bottom w:val="none" w:sz="0" w:space="0" w:color="auto"/>
                                                                                                                                                                <w:right w:val="none" w:sz="0" w:space="0" w:color="auto"/>
                                                                                                                                                              </w:divBdr>
                                                                                                                                                              <w:divsChild>
                                                                                                                                                                <w:div w:id="1419984177">
                                                                                                                                                                  <w:marLeft w:val="0"/>
                                                                                                                                                                  <w:marRight w:val="0"/>
                                                                                                                                                                  <w:marTop w:val="0"/>
                                                                                                                                                                  <w:marBottom w:val="0"/>
                                                                                                                                                                  <w:divBdr>
                                                                                                                                                                    <w:top w:val="none" w:sz="0" w:space="0" w:color="auto"/>
                                                                                                                                                                    <w:left w:val="none" w:sz="0" w:space="0" w:color="auto"/>
                                                                                                                                                                    <w:bottom w:val="none" w:sz="0" w:space="0" w:color="auto"/>
                                                                                                                                                                    <w:right w:val="none" w:sz="0" w:space="0" w:color="auto"/>
                                                                                                                                                                  </w:divBdr>
                                                                                                                                                                  <w:divsChild>
                                                                                                                                                                    <w:div w:id="1178272140">
                                                                                                                                                                      <w:marLeft w:val="0"/>
                                                                                                                                                                      <w:marRight w:val="0"/>
                                                                                                                                                                      <w:marTop w:val="0"/>
                                                                                                                                                                      <w:marBottom w:val="0"/>
                                                                                                                                                                      <w:divBdr>
                                                                                                                                                                        <w:top w:val="none" w:sz="0" w:space="0" w:color="auto"/>
                                                                                                                                                                        <w:left w:val="none" w:sz="0" w:space="0" w:color="auto"/>
                                                                                                                                                                        <w:bottom w:val="none" w:sz="0" w:space="0" w:color="auto"/>
                                                                                                                                                                        <w:right w:val="none" w:sz="0" w:space="0" w:color="auto"/>
                                                                                                                                                                      </w:divBdr>
                                                                                                                                                                      <w:divsChild>
                                                                                                                                                                        <w:div w:id="235239475">
                                                                                                                                                                          <w:marLeft w:val="0"/>
                                                                                                                                                                          <w:marRight w:val="0"/>
                                                                                                                                                                          <w:marTop w:val="0"/>
                                                                                                                                                                          <w:marBottom w:val="0"/>
                                                                                                                                                                          <w:divBdr>
                                                                                                                                                                            <w:top w:val="none" w:sz="0" w:space="0" w:color="auto"/>
                                                                                                                                                                            <w:left w:val="none" w:sz="0" w:space="0" w:color="auto"/>
                                                                                                                                                                            <w:bottom w:val="none" w:sz="0" w:space="0" w:color="auto"/>
                                                                                                                                                                            <w:right w:val="none" w:sz="0" w:space="0" w:color="auto"/>
                                                                                                                                                                          </w:divBdr>
                                                                                                                                                                        </w:div>
                                                                                                                                                                        <w:div w:id="251740001">
                                                                                                                                                                          <w:marLeft w:val="0"/>
                                                                                                                                                                          <w:marRight w:val="0"/>
                                                                                                                                                                          <w:marTop w:val="0"/>
                                                                                                                                                                          <w:marBottom w:val="0"/>
                                                                                                                                                                          <w:divBdr>
                                                                                                                                                                            <w:top w:val="none" w:sz="0" w:space="0" w:color="auto"/>
                                                                                                                                                                            <w:left w:val="none" w:sz="0" w:space="0" w:color="auto"/>
                                                                                                                                                                            <w:bottom w:val="none" w:sz="0" w:space="0" w:color="auto"/>
                                                                                                                                                                            <w:right w:val="none" w:sz="0" w:space="0" w:color="auto"/>
                                                                                                                                                                          </w:divBdr>
                                                                                                                                                                        </w:div>
                                                                                                                                                                        <w:div w:id="19635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394365">
                                                                                                                                  <w:marLeft w:val="0"/>
                                                                                                                                  <w:marRight w:val="0"/>
                                                                                                                                  <w:marTop w:val="0"/>
                                                                                                                                  <w:marBottom w:val="0"/>
                                                                                                                                  <w:divBdr>
                                                                                                                                    <w:top w:val="none" w:sz="0" w:space="0" w:color="auto"/>
                                                                                                                                    <w:left w:val="none" w:sz="0" w:space="0" w:color="auto"/>
                                                                                                                                    <w:bottom w:val="none" w:sz="0" w:space="0" w:color="auto"/>
                                                                                                                                    <w:right w:val="none" w:sz="0" w:space="0" w:color="auto"/>
                                                                                                                                  </w:divBdr>
                                                                                                                                  <w:divsChild>
                                                                                                                                    <w:div w:id="2179343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5093918">
                                                                                                                                          <w:marLeft w:val="0"/>
                                                                                                                                          <w:marRight w:val="0"/>
                                                                                                                                          <w:marTop w:val="0"/>
                                                                                                                                          <w:marBottom w:val="0"/>
                                                                                                                                          <w:divBdr>
                                                                                                                                            <w:top w:val="none" w:sz="0" w:space="0" w:color="auto"/>
                                                                                                                                            <w:left w:val="none" w:sz="0" w:space="0" w:color="auto"/>
                                                                                                                                            <w:bottom w:val="none" w:sz="0" w:space="0" w:color="auto"/>
                                                                                                                                            <w:right w:val="none" w:sz="0" w:space="0" w:color="auto"/>
                                                                                                                                          </w:divBdr>
                                                                                                                                          <w:divsChild>
                                                                                                                                            <w:div w:id="1621761125">
                                                                                                                                              <w:marLeft w:val="0"/>
                                                                                                                                              <w:marRight w:val="0"/>
                                                                                                                                              <w:marTop w:val="0"/>
                                                                                                                                              <w:marBottom w:val="0"/>
                                                                                                                                              <w:divBdr>
                                                                                                                                                <w:top w:val="none" w:sz="0" w:space="0" w:color="auto"/>
                                                                                                                                                <w:left w:val="none" w:sz="0" w:space="0" w:color="auto"/>
                                                                                                                                                <w:bottom w:val="none" w:sz="0" w:space="0" w:color="auto"/>
                                                                                                                                                <w:right w:val="none" w:sz="0" w:space="0" w:color="auto"/>
                                                                                                                                              </w:divBdr>
                                                                                                                                            </w:div>
                                                                                                                                            <w:div w:id="1686326901">
                                                                                                                                              <w:marLeft w:val="0"/>
                                                                                                                                              <w:marRight w:val="0"/>
                                                                                                                                              <w:marTop w:val="0"/>
                                                                                                                                              <w:marBottom w:val="0"/>
                                                                                                                                              <w:divBdr>
                                                                                                                                                <w:top w:val="none" w:sz="0" w:space="0" w:color="auto"/>
                                                                                                                                                <w:left w:val="none" w:sz="0" w:space="0" w:color="auto"/>
                                                                                                                                                <w:bottom w:val="none" w:sz="0" w:space="0" w:color="auto"/>
                                                                                                                                                <w:right w:val="none" w:sz="0" w:space="0" w:color="auto"/>
                                                                                                                                              </w:divBdr>
                                                                                                                                            </w:div>
                                                                                                                                          </w:divsChild>
                                                                                                                                        </w:div>
                                                                                                                                        <w:div w:id="1683387253">
                                                                                                                                          <w:marLeft w:val="0"/>
                                                                                                                                          <w:marRight w:val="0"/>
                                                                                                                                          <w:marTop w:val="0"/>
                                                                                                                                          <w:marBottom w:val="0"/>
                                                                                                                                          <w:divBdr>
                                                                                                                                            <w:top w:val="none" w:sz="0" w:space="0" w:color="auto"/>
                                                                                                                                            <w:left w:val="none" w:sz="0" w:space="0" w:color="auto"/>
                                                                                                                                            <w:bottom w:val="none" w:sz="0" w:space="0" w:color="auto"/>
                                                                                                                                            <w:right w:val="none" w:sz="0" w:space="0" w:color="auto"/>
                                                                                                                                          </w:divBdr>
                                                                                                                                          <w:divsChild>
                                                                                                                                            <w:div w:id="409734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8076359">
                                                                                                                                                  <w:marLeft w:val="0"/>
                                                                                                                                                  <w:marRight w:val="0"/>
                                                                                                                                                  <w:marTop w:val="0"/>
                                                                                                                                                  <w:marBottom w:val="0"/>
                                                                                                                                                  <w:divBdr>
                                                                                                                                                    <w:top w:val="none" w:sz="0" w:space="0" w:color="auto"/>
                                                                                                                                                    <w:left w:val="none" w:sz="0" w:space="0" w:color="auto"/>
                                                                                                                                                    <w:bottom w:val="none" w:sz="0" w:space="0" w:color="auto"/>
                                                                                                                                                    <w:right w:val="none" w:sz="0" w:space="0" w:color="auto"/>
                                                                                                                                                  </w:divBdr>
                                                                                                                                                  <w:divsChild>
                                                                                                                                                    <w:div w:id="9073504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7310100">
                                                                                                                                                          <w:marLeft w:val="0"/>
                                                                                                                                                          <w:marRight w:val="0"/>
                                                                                                                                                          <w:marTop w:val="0"/>
                                                                                                                                                          <w:marBottom w:val="0"/>
                                                                                                                                                          <w:divBdr>
                                                                                                                                                            <w:top w:val="none" w:sz="0" w:space="0" w:color="auto"/>
                                                                                                                                                            <w:left w:val="none" w:sz="0" w:space="0" w:color="auto"/>
                                                                                                                                                            <w:bottom w:val="none" w:sz="0" w:space="0" w:color="auto"/>
                                                                                                                                                            <w:right w:val="none" w:sz="0" w:space="0" w:color="auto"/>
                                                                                                                                                          </w:divBdr>
                                                                                                                                                          <w:divsChild>
                                                                                                                                                            <w:div w:id="750467445">
                                                                                                                                                              <w:marLeft w:val="0"/>
                                                                                                                                                              <w:marRight w:val="0"/>
                                                                                                                                                              <w:marTop w:val="0"/>
                                                                                                                                                              <w:marBottom w:val="0"/>
                                                                                                                                                              <w:divBdr>
                                                                                                                                                                <w:top w:val="none" w:sz="0" w:space="0" w:color="auto"/>
                                                                                                                                                                <w:left w:val="none" w:sz="0" w:space="0" w:color="auto"/>
                                                                                                                                                                <w:bottom w:val="none" w:sz="0" w:space="0" w:color="auto"/>
                                                                                                                                                                <w:right w:val="none" w:sz="0" w:space="0" w:color="auto"/>
                                                                                                                                                              </w:divBdr>
                                                                                                                                                              <w:divsChild>
                                                                                                                                                                <w:div w:id="53286302">
                                                                                                                                                                  <w:marLeft w:val="0"/>
                                                                                                                                                                  <w:marRight w:val="0"/>
                                                                                                                                                                  <w:marTop w:val="0"/>
                                                                                                                                                                  <w:marBottom w:val="0"/>
                                                                                                                                                                  <w:divBdr>
                                                                                                                                                                    <w:top w:val="none" w:sz="0" w:space="0" w:color="auto"/>
                                                                                                                                                                    <w:left w:val="none" w:sz="0" w:space="0" w:color="auto"/>
                                                                                                                                                                    <w:bottom w:val="none" w:sz="0" w:space="0" w:color="auto"/>
                                                                                                                                                                    <w:right w:val="none" w:sz="0" w:space="0" w:color="auto"/>
                                                                                                                                                                  </w:divBdr>
                                                                                                                                                                </w:div>
                                                                                                                                                                <w:div w:id="16648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0732">
                                                                                                                                                      <w:marLeft w:val="0"/>
                                                                                                                                                      <w:marRight w:val="0"/>
                                                                                                                                                      <w:marTop w:val="0"/>
                                                                                                                                                      <w:marBottom w:val="0"/>
                                                                                                                                                      <w:divBdr>
                                                                                                                                                        <w:top w:val="none" w:sz="0" w:space="0" w:color="auto"/>
                                                                                                                                                        <w:left w:val="none" w:sz="0" w:space="0" w:color="auto"/>
                                                                                                                                                        <w:bottom w:val="none" w:sz="0" w:space="0" w:color="auto"/>
                                                                                                                                                        <w:right w:val="none" w:sz="0" w:space="0" w:color="auto"/>
                                                                                                                                                      </w:divBdr>
                                                                                                                                                    </w:div>
                                                                                                                                                  </w:divsChild>
                                                                                                                                                </w:div>
                                                                                                                                                <w:div w:id="1594511069">
                                                                                                                                                  <w:marLeft w:val="0"/>
                                                                                                                                                  <w:marRight w:val="0"/>
                                                                                                                                                  <w:marTop w:val="0"/>
                                                                                                                                                  <w:marBottom w:val="0"/>
                                                                                                                                                  <w:divBdr>
                                                                                                                                                    <w:top w:val="none" w:sz="0" w:space="0" w:color="auto"/>
                                                                                                                                                    <w:left w:val="none" w:sz="0" w:space="0" w:color="auto"/>
                                                                                                                                                    <w:bottom w:val="none" w:sz="0" w:space="0" w:color="auto"/>
                                                                                                                                                    <w:right w:val="none" w:sz="0" w:space="0" w:color="auto"/>
                                                                                                                                                  </w:divBdr>
                                                                                                                                                  <w:divsChild>
                                                                                                                                                    <w:div w:id="848180050">
                                                                                                                                                      <w:marLeft w:val="0"/>
                                                                                                                                                      <w:marRight w:val="0"/>
                                                                                                                                                      <w:marTop w:val="0"/>
                                                                                                                                                      <w:marBottom w:val="0"/>
                                                                                                                                                      <w:divBdr>
                                                                                                                                                        <w:top w:val="none" w:sz="0" w:space="0" w:color="auto"/>
                                                                                                                                                        <w:left w:val="none" w:sz="0" w:space="0" w:color="auto"/>
                                                                                                                                                        <w:bottom w:val="none" w:sz="0" w:space="0" w:color="auto"/>
                                                                                                                                                        <w:right w:val="none" w:sz="0" w:space="0" w:color="auto"/>
                                                                                                                                                      </w:divBdr>
                                                                                                                                                      <w:divsChild>
                                                                                                                                                        <w:div w:id="1823813039">
                                                                                                                                                          <w:marLeft w:val="0"/>
                                                                                                                                                          <w:marRight w:val="0"/>
                                                                                                                                                          <w:marTop w:val="0"/>
                                                                                                                                                          <w:marBottom w:val="0"/>
                                                                                                                                                          <w:divBdr>
                                                                                                                                                            <w:top w:val="none" w:sz="0" w:space="0" w:color="auto"/>
                                                                                                                                                            <w:left w:val="none" w:sz="0" w:space="0" w:color="auto"/>
                                                                                                                                                            <w:bottom w:val="none" w:sz="0" w:space="0" w:color="auto"/>
                                                                                                                                                            <w:right w:val="none" w:sz="0" w:space="0" w:color="auto"/>
                                                                                                                                                          </w:divBdr>
                                                                                                                                                          <w:divsChild>
                                                                                                                                                            <w:div w:id="2090538085">
                                                                                                                                                              <w:marLeft w:val="0"/>
                                                                                                                                                              <w:marRight w:val="0"/>
                                                                                                                                                              <w:marTop w:val="0"/>
                                                                                                                                                              <w:marBottom w:val="0"/>
                                                                                                                                                              <w:divBdr>
                                                                                                                                                                <w:top w:val="none" w:sz="0" w:space="0" w:color="auto"/>
                                                                                                                                                                <w:left w:val="none" w:sz="0" w:space="0" w:color="auto"/>
                                                                                                                                                                <w:bottom w:val="none" w:sz="0" w:space="0" w:color="auto"/>
                                                                                                                                                                <w:right w:val="none" w:sz="0" w:space="0" w:color="auto"/>
                                                                                                                                                              </w:divBdr>
                                                                                                                                                              <w:divsChild>
                                                                                                                                                                <w:div w:id="205336362">
                                                                                                                                                                  <w:marLeft w:val="0"/>
                                                                                                                                                                  <w:marRight w:val="0"/>
                                                                                                                                                                  <w:marTop w:val="0"/>
                                                                                                                                                                  <w:marBottom w:val="0"/>
                                                                                                                                                                  <w:divBdr>
                                                                                                                                                                    <w:top w:val="none" w:sz="0" w:space="0" w:color="auto"/>
                                                                                                                                                                    <w:left w:val="none" w:sz="0" w:space="0" w:color="auto"/>
                                                                                                                                                                    <w:bottom w:val="none" w:sz="0" w:space="0" w:color="auto"/>
                                                                                                                                                                    <w:right w:val="none" w:sz="0" w:space="0" w:color="auto"/>
                                                                                                                                                                  </w:divBdr>
                                                                                                                                                                  <w:divsChild>
                                                                                                                                                                    <w:div w:id="1539388737">
                                                                                                                                                                      <w:marLeft w:val="0"/>
                                                                                                                                                                      <w:marRight w:val="0"/>
                                                                                                                                                                      <w:marTop w:val="0"/>
                                                                                                                                                                      <w:marBottom w:val="0"/>
                                                                                                                                                                      <w:divBdr>
                                                                                                                                                                        <w:top w:val="none" w:sz="0" w:space="0" w:color="auto"/>
                                                                                                                                                                        <w:left w:val="none" w:sz="0" w:space="0" w:color="auto"/>
                                                                                                                                                                        <w:bottom w:val="none" w:sz="0" w:space="0" w:color="auto"/>
                                                                                                                                                                        <w:right w:val="none" w:sz="0" w:space="0" w:color="auto"/>
                                                                                                                                                                      </w:divBdr>
                                                                                                                                                                      <w:divsChild>
                                                                                                                                                                        <w:div w:id="429394253">
                                                                                                                                                                          <w:marLeft w:val="0"/>
                                                                                                                                                                          <w:marRight w:val="0"/>
                                                                                                                                                                          <w:marTop w:val="0"/>
                                                                                                                                                                          <w:marBottom w:val="0"/>
                                                                                                                                                                          <w:divBdr>
                                                                                                                                                                            <w:top w:val="none" w:sz="0" w:space="0" w:color="auto"/>
                                                                                                                                                                            <w:left w:val="none" w:sz="0" w:space="0" w:color="auto"/>
                                                                                                                                                                            <w:bottom w:val="none" w:sz="0" w:space="0" w:color="auto"/>
                                                                                                                                                                            <w:right w:val="none" w:sz="0" w:space="0" w:color="auto"/>
                                                                                                                                                                          </w:divBdr>
                                                                                                                                                                          <w:divsChild>
                                                                                                                                                                            <w:div w:id="1021736852">
                                                                                                                                                                              <w:marLeft w:val="0"/>
                                                                                                                                                                              <w:marRight w:val="0"/>
                                                                                                                                                                              <w:marTop w:val="0"/>
                                                                                                                                                                              <w:marBottom w:val="0"/>
                                                                                                                                                                              <w:divBdr>
                                                                                                                                                                                <w:top w:val="none" w:sz="0" w:space="0" w:color="auto"/>
                                                                                                                                                                                <w:left w:val="none" w:sz="0" w:space="0" w:color="auto"/>
                                                                                                                                                                                <w:bottom w:val="none" w:sz="0" w:space="0" w:color="auto"/>
                                                                                                                                                                                <w:right w:val="none" w:sz="0" w:space="0" w:color="auto"/>
                                                                                                                                                                              </w:divBdr>
                                                                                                                                                                              <w:divsChild>
                                                                                                                                                                                <w:div w:id="599458821">
                                                                                                                                                                                  <w:marLeft w:val="0"/>
                                                                                                                                                                                  <w:marRight w:val="0"/>
                                                                                                                                                                                  <w:marTop w:val="0"/>
                                                                                                                                                                                  <w:marBottom w:val="0"/>
                                                                                                                                                                                  <w:divBdr>
                                                                                                                                                                                    <w:top w:val="none" w:sz="0" w:space="0" w:color="auto"/>
                                                                                                                                                                                    <w:left w:val="none" w:sz="0" w:space="0" w:color="auto"/>
                                                                                                                                                                                    <w:bottom w:val="none" w:sz="0" w:space="0" w:color="auto"/>
                                                                                                                                                                                    <w:right w:val="none" w:sz="0" w:space="0" w:color="auto"/>
                                                                                                                                                                                  </w:divBdr>
                                                                                                                                                                                  <w:divsChild>
                                                                                                                                                                                    <w:div w:id="331764212">
                                                                                                                                                                                      <w:marLeft w:val="0"/>
                                                                                                                                                                                      <w:marRight w:val="0"/>
                                                                                                                                                                                      <w:marTop w:val="0"/>
                                                                                                                                                                                      <w:marBottom w:val="0"/>
                                                                                                                                                                                      <w:divBdr>
                                                                                                                                                                                        <w:top w:val="none" w:sz="0" w:space="0" w:color="auto"/>
                                                                                                                                                                                        <w:left w:val="none" w:sz="0" w:space="0" w:color="auto"/>
                                                                                                                                                                                        <w:bottom w:val="none" w:sz="0" w:space="0" w:color="auto"/>
                                                                                                                                                                                        <w:right w:val="none" w:sz="0" w:space="0" w:color="auto"/>
                                                                                                                                                                                      </w:divBdr>
                                                                                                                                                                                      <w:divsChild>
                                                                                                                                                                                        <w:div w:id="25101082">
                                                                                                                                                                                          <w:marLeft w:val="0"/>
                                                                                                                                                                                          <w:marRight w:val="0"/>
                                                                                                                                                                                          <w:marTop w:val="0"/>
                                                                                                                                                                                          <w:marBottom w:val="0"/>
                                                                                                                                                                                          <w:divBdr>
                                                                                                                                                                                            <w:top w:val="none" w:sz="0" w:space="0" w:color="auto"/>
                                                                                                                                                                                            <w:left w:val="none" w:sz="0" w:space="0" w:color="auto"/>
                                                                                                                                                                                            <w:bottom w:val="none" w:sz="0" w:space="0" w:color="auto"/>
                                                                                                                                                                                            <w:right w:val="none" w:sz="0" w:space="0" w:color="auto"/>
                                                                                                                                                                                          </w:divBdr>
                                                                                                                                                                                        </w:div>
                                                                                                                                                                                        <w:div w:id="1285885226">
                                                                                                                                                                                          <w:marLeft w:val="0"/>
                                                                                                                                                                                          <w:marRight w:val="0"/>
                                                                                                                                                                                          <w:marTop w:val="0"/>
                                                                                                                                                                                          <w:marBottom w:val="0"/>
                                                                                                                                                                                          <w:divBdr>
                                                                                                                                                                                            <w:top w:val="none" w:sz="0" w:space="0" w:color="auto"/>
                                                                                                                                                                                            <w:left w:val="none" w:sz="0" w:space="0" w:color="auto"/>
                                                                                                                                                                                            <w:bottom w:val="none" w:sz="0" w:space="0" w:color="auto"/>
                                                                                                                                                                                            <w:right w:val="none" w:sz="0" w:space="0" w:color="auto"/>
                                                                                                                                                                                          </w:divBdr>
                                                                                                                                                                                        </w:div>
                                                                                                                                                                                        <w:div w:id="16271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242432">
                                                                                                                                                  <w:marLeft w:val="0"/>
                                                                                                                                                  <w:marRight w:val="0"/>
                                                                                                                                                  <w:marTop w:val="0"/>
                                                                                                                                                  <w:marBottom w:val="0"/>
                                                                                                                                                  <w:divBdr>
                                                                                                                                                    <w:top w:val="none" w:sz="0" w:space="0" w:color="auto"/>
                                                                                                                                                    <w:left w:val="none" w:sz="0" w:space="0" w:color="auto"/>
                                                                                                                                                    <w:bottom w:val="none" w:sz="0" w:space="0" w:color="auto"/>
                                                                                                                                                    <w:right w:val="none" w:sz="0" w:space="0" w:color="auto"/>
                                                                                                                                                  </w:divBdr>
                                                                                                                                                  <w:divsChild>
                                                                                                                                                    <w:div w:id="1134106021">
                                                                                                                                                      <w:marLeft w:val="0"/>
                                                                                                                                                      <w:marRight w:val="0"/>
                                                                                                                                                      <w:marTop w:val="0"/>
                                                                                                                                                      <w:marBottom w:val="0"/>
                                                                                                                                                      <w:divBdr>
                                                                                                                                                        <w:top w:val="none" w:sz="0" w:space="0" w:color="auto"/>
                                                                                                                                                        <w:left w:val="none" w:sz="0" w:space="0" w:color="auto"/>
                                                                                                                                                        <w:bottom w:val="none" w:sz="0" w:space="0" w:color="auto"/>
                                                                                                                                                        <w:right w:val="none" w:sz="0" w:space="0" w:color="auto"/>
                                                                                                                                                      </w:divBdr>
                                                                                                                                                    </w:div>
                                                                                                                                                  </w:divsChild>
                                                                                                                                                </w:div>
                                                                                                                                                <w:div w:id="1789815341">
                                                                                                                                                  <w:marLeft w:val="0"/>
                                                                                                                                                  <w:marRight w:val="0"/>
                                                                                                                                                  <w:marTop w:val="0"/>
                                                                                                                                                  <w:marBottom w:val="0"/>
                                                                                                                                                  <w:divBdr>
                                                                                                                                                    <w:top w:val="none" w:sz="0" w:space="0" w:color="auto"/>
                                                                                                                                                    <w:left w:val="none" w:sz="0" w:space="0" w:color="auto"/>
                                                                                                                                                    <w:bottom w:val="none" w:sz="0" w:space="0" w:color="auto"/>
                                                                                                                                                    <w:right w:val="none" w:sz="0" w:space="0" w:color="auto"/>
                                                                                                                                                  </w:divBdr>
                                                                                                                                                </w:div>
                                                                                                                                              </w:divsChild>
                                                                                                                                            </w:div>
                                                                                                                                            <w:div w:id="4842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930237">
                                                                                                                  <w:marLeft w:val="0"/>
                                                                                                                  <w:marRight w:val="0"/>
                                                                                                                  <w:marTop w:val="0"/>
                                                                                                                  <w:marBottom w:val="0"/>
                                                                                                                  <w:divBdr>
                                                                                                                    <w:top w:val="none" w:sz="0" w:space="0" w:color="auto"/>
                                                                                                                    <w:left w:val="none" w:sz="0" w:space="0" w:color="auto"/>
                                                                                                                    <w:bottom w:val="none" w:sz="0" w:space="0" w:color="auto"/>
                                                                                                                    <w:right w:val="none" w:sz="0" w:space="0" w:color="auto"/>
                                                                                                                  </w:divBdr>
                                                                                                                  <w:divsChild>
                                                                                                                    <w:div w:id="18502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4543">
                                                                                                              <w:marLeft w:val="0"/>
                                                                                                              <w:marRight w:val="0"/>
                                                                                                              <w:marTop w:val="0"/>
                                                                                                              <w:marBottom w:val="0"/>
                                                                                                              <w:divBdr>
                                                                                                                <w:top w:val="none" w:sz="0" w:space="0" w:color="auto"/>
                                                                                                                <w:left w:val="none" w:sz="0" w:space="0" w:color="auto"/>
                                                                                                                <w:bottom w:val="none" w:sz="0" w:space="0" w:color="auto"/>
                                                                                                                <w:right w:val="none" w:sz="0" w:space="0" w:color="auto"/>
                                                                                                              </w:divBdr>
                                                                                                              <w:divsChild>
                                                                                                                <w:div w:id="1319502305">
                                                                                                                  <w:marLeft w:val="0"/>
                                                                                                                  <w:marRight w:val="0"/>
                                                                                                                  <w:marTop w:val="0"/>
                                                                                                                  <w:marBottom w:val="0"/>
                                                                                                                  <w:divBdr>
                                                                                                                    <w:top w:val="none" w:sz="0" w:space="0" w:color="auto"/>
                                                                                                                    <w:left w:val="none" w:sz="0" w:space="0" w:color="auto"/>
                                                                                                                    <w:bottom w:val="none" w:sz="0" w:space="0" w:color="auto"/>
                                                                                                                    <w:right w:val="none" w:sz="0" w:space="0" w:color="auto"/>
                                                                                                                  </w:divBdr>
                                                                                                                  <w:divsChild>
                                                                                                                    <w:div w:id="1290208165">
                                                                                                                      <w:marLeft w:val="0"/>
                                                                                                                      <w:marRight w:val="0"/>
                                                                                                                      <w:marTop w:val="0"/>
                                                                                                                      <w:marBottom w:val="0"/>
                                                                                                                      <w:divBdr>
                                                                                                                        <w:top w:val="none" w:sz="0" w:space="0" w:color="auto"/>
                                                                                                                        <w:left w:val="none" w:sz="0" w:space="0" w:color="auto"/>
                                                                                                                        <w:bottom w:val="none" w:sz="0" w:space="0" w:color="auto"/>
                                                                                                                        <w:right w:val="none" w:sz="0" w:space="0" w:color="auto"/>
                                                                                                                      </w:divBdr>
                                                                                                                      <w:divsChild>
                                                                                                                        <w:div w:id="940727057">
                                                                                                                          <w:marLeft w:val="0"/>
                                                                                                                          <w:marRight w:val="0"/>
                                                                                                                          <w:marTop w:val="0"/>
                                                                                                                          <w:marBottom w:val="0"/>
                                                                                                                          <w:divBdr>
                                                                                                                            <w:top w:val="none" w:sz="0" w:space="0" w:color="auto"/>
                                                                                                                            <w:left w:val="none" w:sz="0" w:space="0" w:color="auto"/>
                                                                                                                            <w:bottom w:val="none" w:sz="0" w:space="0" w:color="auto"/>
                                                                                                                            <w:right w:val="none" w:sz="0" w:space="0" w:color="auto"/>
                                                                                                                          </w:divBdr>
                                                                                                                          <w:divsChild>
                                                                                                                            <w:div w:id="129131576">
                                                                                                                              <w:marLeft w:val="0"/>
                                                                                                                              <w:marRight w:val="0"/>
                                                                                                                              <w:marTop w:val="0"/>
                                                                                                                              <w:marBottom w:val="0"/>
                                                                                                                              <w:divBdr>
                                                                                                                                <w:top w:val="none" w:sz="0" w:space="0" w:color="auto"/>
                                                                                                                                <w:left w:val="none" w:sz="0" w:space="0" w:color="auto"/>
                                                                                                                                <w:bottom w:val="none" w:sz="0" w:space="0" w:color="auto"/>
                                                                                                                                <w:right w:val="none" w:sz="0" w:space="0" w:color="auto"/>
                                                                                                                              </w:divBdr>
                                                                                                                              <w:divsChild>
                                                                                                                                <w:div w:id="8937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262991">
                                                  <w:marLeft w:val="0"/>
                                                  <w:marRight w:val="0"/>
                                                  <w:marTop w:val="0"/>
                                                  <w:marBottom w:val="0"/>
                                                  <w:divBdr>
                                                    <w:top w:val="none" w:sz="0" w:space="0" w:color="auto"/>
                                                    <w:left w:val="none" w:sz="0" w:space="0" w:color="auto"/>
                                                    <w:bottom w:val="none" w:sz="0" w:space="0" w:color="auto"/>
                                                    <w:right w:val="none" w:sz="0" w:space="0" w:color="auto"/>
                                                  </w:divBdr>
                                                  <w:divsChild>
                                                    <w:div w:id="593585938">
                                                      <w:marLeft w:val="0"/>
                                                      <w:marRight w:val="0"/>
                                                      <w:marTop w:val="0"/>
                                                      <w:marBottom w:val="0"/>
                                                      <w:divBdr>
                                                        <w:top w:val="none" w:sz="0" w:space="0" w:color="auto"/>
                                                        <w:left w:val="none" w:sz="0" w:space="0" w:color="auto"/>
                                                        <w:bottom w:val="none" w:sz="0" w:space="0" w:color="auto"/>
                                                        <w:right w:val="none" w:sz="0" w:space="0" w:color="auto"/>
                                                      </w:divBdr>
                                                      <w:divsChild>
                                                        <w:div w:id="294408455">
                                                          <w:marLeft w:val="0"/>
                                                          <w:marRight w:val="0"/>
                                                          <w:marTop w:val="0"/>
                                                          <w:marBottom w:val="0"/>
                                                          <w:divBdr>
                                                            <w:top w:val="none" w:sz="0" w:space="0" w:color="auto"/>
                                                            <w:left w:val="none" w:sz="0" w:space="0" w:color="auto"/>
                                                            <w:bottom w:val="none" w:sz="0" w:space="0" w:color="auto"/>
                                                            <w:right w:val="none" w:sz="0" w:space="0" w:color="auto"/>
                                                          </w:divBdr>
                                                          <w:divsChild>
                                                            <w:div w:id="1065103337">
                                                              <w:marLeft w:val="0"/>
                                                              <w:marRight w:val="0"/>
                                                              <w:marTop w:val="0"/>
                                                              <w:marBottom w:val="0"/>
                                                              <w:divBdr>
                                                                <w:top w:val="none" w:sz="0" w:space="0" w:color="auto"/>
                                                                <w:left w:val="none" w:sz="0" w:space="0" w:color="auto"/>
                                                                <w:bottom w:val="none" w:sz="0" w:space="0" w:color="auto"/>
                                                                <w:right w:val="none" w:sz="0" w:space="0" w:color="auto"/>
                                                              </w:divBdr>
                                                              <w:divsChild>
                                                                <w:div w:id="239100489">
                                                                  <w:marLeft w:val="-180"/>
                                                                  <w:marRight w:val="0"/>
                                                                  <w:marTop w:val="0"/>
                                                                  <w:marBottom w:val="0"/>
                                                                  <w:divBdr>
                                                                    <w:top w:val="none" w:sz="0" w:space="0" w:color="auto"/>
                                                                    <w:left w:val="none" w:sz="0" w:space="0" w:color="auto"/>
                                                                    <w:bottom w:val="none" w:sz="0" w:space="0" w:color="auto"/>
                                                                    <w:right w:val="none" w:sz="0" w:space="0" w:color="auto"/>
                                                                  </w:divBdr>
                                                                  <w:divsChild>
                                                                    <w:div w:id="183811095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985664924">
                                                          <w:marLeft w:val="150"/>
                                                          <w:marRight w:val="0"/>
                                                          <w:marTop w:val="0"/>
                                                          <w:marBottom w:val="0"/>
                                                          <w:divBdr>
                                                            <w:top w:val="none" w:sz="0" w:space="0" w:color="auto"/>
                                                            <w:left w:val="none" w:sz="0" w:space="0" w:color="auto"/>
                                                            <w:bottom w:val="none" w:sz="0" w:space="0" w:color="auto"/>
                                                            <w:right w:val="none" w:sz="0" w:space="0" w:color="auto"/>
                                                          </w:divBdr>
                                                          <w:divsChild>
                                                            <w:div w:id="377095201">
                                                              <w:marLeft w:val="300"/>
                                                              <w:marRight w:val="0"/>
                                                              <w:marTop w:val="0"/>
                                                              <w:marBottom w:val="0"/>
                                                              <w:divBdr>
                                                                <w:top w:val="none" w:sz="0" w:space="0" w:color="auto"/>
                                                                <w:left w:val="none" w:sz="0" w:space="0" w:color="auto"/>
                                                                <w:bottom w:val="none" w:sz="0" w:space="0" w:color="auto"/>
                                                                <w:right w:val="none" w:sz="0" w:space="0" w:color="auto"/>
                                                              </w:divBdr>
                                                            </w:div>
                                                            <w:div w:id="1758986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00193">
                              <w:marLeft w:val="0"/>
                              <w:marRight w:val="0"/>
                              <w:marTop w:val="0"/>
                              <w:marBottom w:val="0"/>
                              <w:divBdr>
                                <w:top w:val="none" w:sz="0" w:space="0" w:color="auto"/>
                                <w:left w:val="none" w:sz="0" w:space="0" w:color="auto"/>
                                <w:bottom w:val="none" w:sz="0" w:space="0" w:color="auto"/>
                                <w:right w:val="none" w:sz="0" w:space="0" w:color="auto"/>
                              </w:divBdr>
                              <w:divsChild>
                                <w:div w:id="269969752">
                                  <w:marLeft w:val="0"/>
                                  <w:marRight w:val="0"/>
                                  <w:marTop w:val="0"/>
                                  <w:marBottom w:val="0"/>
                                  <w:divBdr>
                                    <w:top w:val="none" w:sz="0" w:space="0" w:color="auto"/>
                                    <w:left w:val="none" w:sz="0" w:space="0" w:color="auto"/>
                                    <w:bottom w:val="none" w:sz="0" w:space="0" w:color="auto"/>
                                    <w:right w:val="none" w:sz="0" w:space="0" w:color="auto"/>
                                  </w:divBdr>
                                  <w:divsChild>
                                    <w:div w:id="930238282">
                                      <w:marLeft w:val="0"/>
                                      <w:marRight w:val="0"/>
                                      <w:marTop w:val="0"/>
                                      <w:marBottom w:val="120"/>
                                      <w:divBdr>
                                        <w:top w:val="none" w:sz="0" w:space="0" w:color="auto"/>
                                        <w:left w:val="none" w:sz="0" w:space="0" w:color="auto"/>
                                        <w:bottom w:val="none" w:sz="0" w:space="0" w:color="auto"/>
                                        <w:right w:val="none" w:sz="0" w:space="0" w:color="auto"/>
                                      </w:divBdr>
                                      <w:divsChild>
                                        <w:div w:id="813106361">
                                          <w:marLeft w:val="390"/>
                                          <w:marRight w:val="180"/>
                                          <w:marTop w:val="0"/>
                                          <w:marBottom w:val="0"/>
                                          <w:divBdr>
                                            <w:top w:val="none" w:sz="0" w:space="0" w:color="auto"/>
                                            <w:left w:val="none" w:sz="0" w:space="0" w:color="auto"/>
                                            <w:bottom w:val="none" w:sz="0" w:space="0" w:color="auto"/>
                                            <w:right w:val="none" w:sz="0" w:space="0" w:color="auto"/>
                                          </w:divBdr>
                                        </w:div>
                                      </w:divsChild>
                                    </w:div>
                                    <w:div w:id="1208370888">
                                      <w:marLeft w:val="375"/>
                                      <w:marRight w:val="0"/>
                                      <w:marTop w:val="0"/>
                                      <w:marBottom w:val="0"/>
                                      <w:divBdr>
                                        <w:top w:val="none" w:sz="0" w:space="0" w:color="auto"/>
                                        <w:left w:val="none" w:sz="0" w:space="0" w:color="auto"/>
                                        <w:bottom w:val="none" w:sz="0" w:space="0" w:color="auto"/>
                                        <w:right w:val="none" w:sz="0" w:space="0" w:color="auto"/>
                                      </w:divBdr>
                                      <w:divsChild>
                                        <w:div w:id="419789321">
                                          <w:marLeft w:val="-30"/>
                                          <w:marRight w:val="240"/>
                                          <w:marTop w:val="0"/>
                                          <w:marBottom w:val="0"/>
                                          <w:divBdr>
                                            <w:top w:val="none" w:sz="0" w:space="0" w:color="auto"/>
                                            <w:left w:val="none" w:sz="0" w:space="0" w:color="auto"/>
                                            <w:bottom w:val="none" w:sz="0" w:space="0" w:color="auto"/>
                                            <w:right w:val="none" w:sz="0" w:space="0" w:color="auto"/>
                                          </w:divBdr>
                                          <w:divsChild>
                                            <w:div w:id="270823499">
                                              <w:marLeft w:val="0"/>
                                              <w:marRight w:val="0"/>
                                              <w:marTop w:val="0"/>
                                              <w:marBottom w:val="0"/>
                                              <w:divBdr>
                                                <w:top w:val="none" w:sz="0" w:space="0" w:color="auto"/>
                                                <w:left w:val="none" w:sz="0" w:space="0" w:color="auto"/>
                                                <w:bottom w:val="none" w:sz="0" w:space="0" w:color="auto"/>
                                                <w:right w:val="none" w:sz="0" w:space="0" w:color="auto"/>
                                              </w:divBdr>
                                              <w:divsChild>
                                                <w:div w:id="16778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11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73755217">
                                  <w:marLeft w:val="0"/>
                                  <w:marRight w:val="0"/>
                                  <w:marTop w:val="0"/>
                                  <w:marBottom w:val="0"/>
                                  <w:divBdr>
                                    <w:top w:val="none" w:sz="0" w:space="0" w:color="auto"/>
                                    <w:left w:val="none" w:sz="0" w:space="0" w:color="auto"/>
                                    <w:bottom w:val="none" w:sz="0" w:space="0" w:color="auto"/>
                                    <w:right w:val="none" w:sz="0" w:space="0" w:color="auto"/>
                                  </w:divBdr>
                                  <w:divsChild>
                                    <w:div w:id="1486972191">
                                      <w:marLeft w:val="0"/>
                                      <w:marRight w:val="0"/>
                                      <w:marTop w:val="0"/>
                                      <w:marBottom w:val="0"/>
                                      <w:divBdr>
                                        <w:top w:val="none" w:sz="0" w:space="0" w:color="auto"/>
                                        <w:left w:val="none" w:sz="0" w:space="0" w:color="auto"/>
                                        <w:bottom w:val="none" w:sz="0" w:space="0" w:color="auto"/>
                                        <w:right w:val="none" w:sz="0" w:space="0" w:color="auto"/>
                                      </w:divBdr>
                                      <w:divsChild>
                                        <w:div w:id="876427740">
                                          <w:marLeft w:val="0"/>
                                          <w:marRight w:val="0"/>
                                          <w:marTop w:val="0"/>
                                          <w:marBottom w:val="0"/>
                                          <w:divBdr>
                                            <w:top w:val="none" w:sz="0" w:space="0" w:color="auto"/>
                                            <w:left w:val="none" w:sz="0" w:space="0" w:color="auto"/>
                                            <w:bottom w:val="none" w:sz="0" w:space="0" w:color="auto"/>
                                            <w:right w:val="none" w:sz="0" w:space="0" w:color="auto"/>
                                          </w:divBdr>
                                          <w:divsChild>
                                            <w:div w:id="181751818">
                                              <w:marLeft w:val="0"/>
                                              <w:marRight w:val="0"/>
                                              <w:marTop w:val="0"/>
                                              <w:marBottom w:val="0"/>
                                              <w:divBdr>
                                                <w:top w:val="none" w:sz="0" w:space="0" w:color="auto"/>
                                                <w:left w:val="none" w:sz="0" w:space="0" w:color="auto"/>
                                                <w:bottom w:val="none" w:sz="0" w:space="0" w:color="auto"/>
                                                <w:right w:val="none" w:sz="0" w:space="0" w:color="auto"/>
                                              </w:divBdr>
                                              <w:divsChild>
                                                <w:div w:id="637761191">
                                                  <w:marLeft w:val="0"/>
                                                  <w:marRight w:val="0"/>
                                                  <w:marTop w:val="0"/>
                                                  <w:marBottom w:val="0"/>
                                                  <w:divBdr>
                                                    <w:top w:val="none" w:sz="0" w:space="0" w:color="auto"/>
                                                    <w:left w:val="none" w:sz="0" w:space="0" w:color="auto"/>
                                                    <w:bottom w:val="none" w:sz="0" w:space="0" w:color="auto"/>
                                                    <w:right w:val="none" w:sz="0" w:space="0" w:color="auto"/>
                                                  </w:divBdr>
                                                  <w:divsChild>
                                                    <w:div w:id="548035818">
                                                      <w:marLeft w:val="0"/>
                                                      <w:marRight w:val="0"/>
                                                      <w:marTop w:val="0"/>
                                                      <w:marBottom w:val="0"/>
                                                      <w:divBdr>
                                                        <w:top w:val="none" w:sz="0" w:space="0" w:color="auto"/>
                                                        <w:left w:val="none" w:sz="0" w:space="0" w:color="auto"/>
                                                        <w:bottom w:val="none" w:sz="0" w:space="0" w:color="auto"/>
                                                        <w:right w:val="none" w:sz="0" w:space="0" w:color="auto"/>
                                                      </w:divBdr>
                                                      <w:divsChild>
                                                        <w:div w:id="20281797">
                                                          <w:marLeft w:val="0"/>
                                                          <w:marRight w:val="0"/>
                                                          <w:marTop w:val="0"/>
                                                          <w:marBottom w:val="0"/>
                                                          <w:divBdr>
                                                            <w:top w:val="none" w:sz="0" w:space="0" w:color="auto"/>
                                                            <w:left w:val="none" w:sz="0" w:space="0" w:color="auto"/>
                                                            <w:bottom w:val="none" w:sz="0" w:space="0" w:color="auto"/>
                                                            <w:right w:val="none" w:sz="0" w:space="0" w:color="auto"/>
                                                          </w:divBdr>
                                                          <w:divsChild>
                                                            <w:div w:id="647396891">
                                                              <w:marLeft w:val="0"/>
                                                              <w:marRight w:val="0"/>
                                                              <w:marTop w:val="0"/>
                                                              <w:marBottom w:val="0"/>
                                                              <w:divBdr>
                                                                <w:top w:val="none" w:sz="0" w:space="0" w:color="auto"/>
                                                                <w:left w:val="none" w:sz="0" w:space="0" w:color="auto"/>
                                                                <w:bottom w:val="none" w:sz="0" w:space="0" w:color="auto"/>
                                                                <w:right w:val="none" w:sz="0" w:space="0" w:color="auto"/>
                                                              </w:divBdr>
                                                              <w:divsChild>
                                                                <w:div w:id="841819663">
                                                                  <w:marLeft w:val="0"/>
                                                                  <w:marRight w:val="270"/>
                                                                  <w:marTop w:val="0"/>
                                                                  <w:marBottom w:val="0"/>
                                                                  <w:divBdr>
                                                                    <w:top w:val="none" w:sz="0" w:space="0" w:color="auto"/>
                                                                    <w:left w:val="none" w:sz="0" w:space="0" w:color="auto"/>
                                                                    <w:bottom w:val="none" w:sz="0" w:space="0" w:color="auto"/>
                                                                    <w:right w:val="none" w:sz="0" w:space="0" w:color="auto"/>
                                                                  </w:divBdr>
                                                                </w:div>
                                                              </w:divsChild>
                                                            </w:div>
                                                            <w:div w:id="1220239518">
                                                              <w:marLeft w:val="0"/>
                                                              <w:marRight w:val="0"/>
                                                              <w:marTop w:val="0"/>
                                                              <w:marBottom w:val="0"/>
                                                              <w:divBdr>
                                                                <w:top w:val="none" w:sz="0" w:space="0" w:color="auto"/>
                                                                <w:left w:val="none" w:sz="0" w:space="0" w:color="auto"/>
                                                                <w:bottom w:val="none" w:sz="0" w:space="0" w:color="auto"/>
                                                                <w:right w:val="none" w:sz="0" w:space="0" w:color="auto"/>
                                                              </w:divBdr>
                                                              <w:divsChild>
                                                                <w:div w:id="590313632">
                                                                  <w:marLeft w:val="0"/>
                                                                  <w:marRight w:val="0"/>
                                                                  <w:marTop w:val="0"/>
                                                                  <w:marBottom w:val="0"/>
                                                                  <w:divBdr>
                                                                    <w:top w:val="none" w:sz="0" w:space="0" w:color="auto"/>
                                                                    <w:left w:val="none" w:sz="0" w:space="0" w:color="auto"/>
                                                                    <w:bottom w:val="none" w:sz="0" w:space="0" w:color="auto"/>
                                                                    <w:right w:val="none" w:sz="0" w:space="0" w:color="auto"/>
                                                                  </w:divBdr>
                                                                  <w:divsChild>
                                                                    <w:div w:id="1290434973">
                                                                      <w:marLeft w:val="0"/>
                                                                      <w:marRight w:val="0"/>
                                                                      <w:marTop w:val="0"/>
                                                                      <w:marBottom w:val="0"/>
                                                                      <w:divBdr>
                                                                        <w:top w:val="none" w:sz="0" w:space="0" w:color="auto"/>
                                                                        <w:left w:val="none" w:sz="0" w:space="0" w:color="auto"/>
                                                                        <w:bottom w:val="none" w:sz="0" w:space="0" w:color="auto"/>
                                                                        <w:right w:val="none" w:sz="0" w:space="0" w:color="auto"/>
                                                                      </w:divBdr>
                                                                      <w:divsChild>
                                                                        <w:div w:id="643239311">
                                                                          <w:marLeft w:val="0"/>
                                                                          <w:marRight w:val="0"/>
                                                                          <w:marTop w:val="0"/>
                                                                          <w:marBottom w:val="0"/>
                                                                          <w:divBdr>
                                                                            <w:top w:val="none" w:sz="0" w:space="0" w:color="auto"/>
                                                                            <w:left w:val="none" w:sz="0" w:space="0" w:color="auto"/>
                                                                            <w:bottom w:val="none" w:sz="0" w:space="0" w:color="auto"/>
                                                                            <w:right w:val="none" w:sz="0" w:space="0" w:color="auto"/>
                                                                          </w:divBdr>
                                                                          <w:divsChild>
                                                                            <w:div w:id="964653819">
                                                                              <w:marLeft w:val="300"/>
                                                                              <w:marRight w:val="0"/>
                                                                              <w:marTop w:val="0"/>
                                                                              <w:marBottom w:val="0"/>
                                                                              <w:divBdr>
                                                                                <w:top w:val="none" w:sz="0" w:space="0" w:color="auto"/>
                                                                                <w:left w:val="none" w:sz="0" w:space="0" w:color="auto"/>
                                                                                <w:bottom w:val="none" w:sz="0" w:space="0" w:color="auto"/>
                                                                                <w:right w:val="none" w:sz="0" w:space="0" w:color="auto"/>
                                                                              </w:divBdr>
                                                                              <w:divsChild>
                                                                                <w:div w:id="1769695067">
                                                                                  <w:marLeft w:val="0"/>
                                                                                  <w:marRight w:val="0"/>
                                                                                  <w:marTop w:val="0"/>
                                                                                  <w:marBottom w:val="0"/>
                                                                                  <w:divBdr>
                                                                                    <w:top w:val="none" w:sz="0" w:space="0" w:color="auto"/>
                                                                                    <w:left w:val="none" w:sz="0" w:space="0" w:color="auto"/>
                                                                                    <w:bottom w:val="none" w:sz="0" w:space="0" w:color="auto"/>
                                                                                    <w:right w:val="none" w:sz="0" w:space="0" w:color="auto"/>
                                                                                  </w:divBdr>
                                                                                  <w:divsChild>
                                                                                    <w:div w:id="7177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6538">
                                                                          <w:marLeft w:val="0"/>
                                                                          <w:marRight w:val="0"/>
                                                                          <w:marTop w:val="0"/>
                                                                          <w:marBottom w:val="0"/>
                                                                          <w:divBdr>
                                                                            <w:top w:val="none" w:sz="0" w:space="0" w:color="auto"/>
                                                                            <w:left w:val="none" w:sz="0" w:space="0" w:color="auto"/>
                                                                            <w:bottom w:val="none" w:sz="0" w:space="0" w:color="auto"/>
                                                                            <w:right w:val="none" w:sz="0" w:space="0" w:color="auto"/>
                                                                          </w:divBdr>
                                                                          <w:divsChild>
                                                                            <w:div w:id="1860318002">
                                                                              <w:marLeft w:val="300"/>
                                                                              <w:marRight w:val="0"/>
                                                                              <w:marTop w:val="0"/>
                                                                              <w:marBottom w:val="0"/>
                                                                              <w:divBdr>
                                                                                <w:top w:val="none" w:sz="0" w:space="0" w:color="auto"/>
                                                                                <w:left w:val="none" w:sz="0" w:space="0" w:color="auto"/>
                                                                                <w:bottom w:val="none" w:sz="0" w:space="0" w:color="auto"/>
                                                                                <w:right w:val="none" w:sz="0" w:space="0" w:color="auto"/>
                                                                              </w:divBdr>
                                                                              <w:divsChild>
                                                                                <w:div w:id="412775969">
                                                                                  <w:marLeft w:val="0"/>
                                                                                  <w:marRight w:val="0"/>
                                                                                  <w:marTop w:val="0"/>
                                                                                  <w:marBottom w:val="0"/>
                                                                                  <w:divBdr>
                                                                                    <w:top w:val="none" w:sz="0" w:space="0" w:color="auto"/>
                                                                                    <w:left w:val="none" w:sz="0" w:space="0" w:color="auto"/>
                                                                                    <w:bottom w:val="none" w:sz="0" w:space="0" w:color="auto"/>
                                                                                    <w:right w:val="none" w:sz="0" w:space="0" w:color="auto"/>
                                                                                  </w:divBdr>
                                                                                  <w:divsChild>
                                                                                    <w:div w:id="7897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56662">
                                                                          <w:marLeft w:val="0"/>
                                                                          <w:marRight w:val="0"/>
                                                                          <w:marTop w:val="0"/>
                                                                          <w:marBottom w:val="0"/>
                                                                          <w:divBdr>
                                                                            <w:top w:val="none" w:sz="0" w:space="0" w:color="auto"/>
                                                                            <w:left w:val="none" w:sz="0" w:space="0" w:color="auto"/>
                                                                            <w:bottom w:val="none" w:sz="0" w:space="0" w:color="auto"/>
                                                                            <w:right w:val="none" w:sz="0" w:space="0" w:color="auto"/>
                                                                          </w:divBdr>
                                                                          <w:divsChild>
                                                                            <w:div w:id="1331370458">
                                                                              <w:marLeft w:val="300"/>
                                                                              <w:marRight w:val="0"/>
                                                                              <w:marTop w:val="0"/>
                                                                              <w:marBottom w:val="0"/>
                                                                              <w:divBdr>
                                                                                <w:top w:val="none" w:sz="0" w:space="0" w:color="auto"/>
                                                                                <w:left w:val="none" w:sz="0" w:space="0" w:color="auto"/>
                                                                                <w:bottom w:val="none" w:sz="0" w:space="0" w:color="auto"/>
                                                                                <w:right w:val="none" w:sz="0" w:space="0" w:color="auto"/>
                                                                              </w:divBdr>
                                                                              <w:divsChild>
                                                                                <w:div w:id="1993289003">
                                                                                  <w:marLeft w:val="0"/>
                                                                                  <w:marRight w:val="0"/>
                                                                                  <w:marTop w:val="0"/>
                                                                                  <w:marBottom w:val="0"/>
                                                                                  <w:divBdr>
                                                                                    <w:top w:val="none" w:sz="0" w:space="0" w:color="auto"/>
                                                                                    <w:left w:val="none" w:sz="0" w:space="0" w:color="auto"/>
                                                                                    <w:bottom w:val="none" w:sz="0" w:space="0" w:color="auto"/>
                                                                                    <w:right w:val="none" w:sz="0" w:space="0" w:color="auto"/>
                                                                                  </w:divBdr>
                                                                                  <w:divsChild>
                                                                                    <w:div w:id="12357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42826">
                                                                          <w:marLeft w:val="0"/>
                                                                          <w:marRight w:val="0"/>
                                                                          <w:marTop w:val="0"/>
                                                                          <w:marBottom w:val="0"/>
                                                                          <w:divBdr>
                                                                            <w:top w:val="none" w:sz="0" w:space="0" w:color="auto"/>
                                                                            <w:left w:val="none" w:sz="0" w:space="0" w:color="auto"/>
                                                                            <w:bottom w:val="none" w:sz="0" w:space="0" w:color="auto"/>
                                                                            <w:right w:val="none" w:sz="0" w:space="0" w:color="auto"/>
                                                                          </w:divBdr>
                                                                          <w:divsChild>
                                                                            <w:div w:id="1487672457">
                                                                              <w:marLeft w:val="300"/>
                                                                              <w:marRight w:val="0"/>
                                                                              <w:marTop w:val="0"/>
                                                                              <w:marBottom w:val="0"/>
                                                                              <w:divBdr>
                                                                                <w:top w:val="none" w:sz="0" w:space="0" w:color="auto"/>
                                                                                <w:left w:val="none" w:sz="0" w:space="0" w:color="auto"/>
                                                                                <w:bottom w:val="none" w:sz="0" w:space="0" w:color="auto"/>
                                                                                <w:right w:val="none" w:sz="0" w:space="0" w:color="auto"/>
                                                                              </w:divBdr>
                                                                              <w:divsChild>
                                                                                <w:div w:id="2056000249">
                                                                                  <w:marLeft w:val="0"/>
                                                                                  <w:marRight w:val="0"/>
                                                                                  <w:marTop w:val="0"/>
                                                                                  <w:marBottom w:val="0"/>
                                                                                  <w:divBdr>
                                                                                    <w:top w:val="none" w:sz="0" w:space="0" w:color="auto"/>
                                                                                    <w:left w:val="none" w:sz="0" w:space="0" w:color="auto"/>
                                                                                    <w:bottom w:val="none" w:sz="0" w:space="0" w:color="auto"/>
                                                                                    <w:right w:val="none" w:sz="0" w:space="0" w:color="auto"/>
                                                                                  </w:divBdr>
                                                                                  <w:divsChild>
                                                                                    <w:div w:id="7093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850">
                                                                          <w:marLeft w:val="0"/>
                                                                          <w:marRight w:val="0"/>
                                                                          <w:marTop w:val="0"/>
                                                                          <w:marBottom w:val="0"/>
                                                                          <w:divBdr>
                                                                            <w:top w:val="none" w:sz="0" w:space="0" w:color="auto"/>
                                                                            <w:left w:val="none" w:sz="0" w:space="0" w:color="auto"/>
                                                                            <w:bottom w:val="none" w:sz="0" w:space="0" w:color="auto"/>
                                                                            <w:right w:val="none" w:sz="0" w:space="0" w:color="auto"/>
                                                                          </w:divBdr>
                                                                          <w:divsChild>
                                                                            <w:div w:id="1601797165">
                                                                              <w:marLeft w:val="300"/>
                                                                              <w:marRight w:val="0"/>
                                                                              <w:marTop w:val="0"/>
                                                                              <w:marBottom w:val="0"/>
                                                                              <w:divBdr>
                                                                                <w:top w:val="none" w:sz="0" w:space="0" w:color="auto"/>
                                                                                <w:left w:val="none" w:sz="0" w:space="0" w:color="auto"/>
                                                                                <w:bottom w:val="none" w:sz="0" w:space="0" w:color="auto"/>
                                                                                <w:right w:val="none" w:sz="0" w:space="0" w:color="auto"/>
                                                                              </w:divBdr>
                                                                              <w:divsChild>
                                                                                <w:div w:id="1426225243">
                                                                                  <w:marLeft w:val="0"/>
                                                                                  <w:marRight w:val="0"/>
                                                                                  <w:marTop w:val="0"/>
                                                                                  <w:marBottom w:val="0"/>
                                                                                  <w:divBdr>
                                                                                    <w:top w:val="none" w:sz="0" w:space="0" w:color="auto"/>
                                                                                    <w:left w:val="none" w:sz="0" w:space="0" w:color="auto"/>
                                                                                    <w:bottom w:val="none" w:sz="0" w:space="0" w:color="auto"/>
                                                                                    <w:right w:val="none" w:sz="0" w:space="0" w:color="auto"/>
                                                                                  </w:divBdr>
                                                                                  <w:divsChild>
                                                                                    <w:div w:id="13435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259316">
                                                  <w:marLeft w:val="0"/>
                                                  <w:marRight w:val="0"/>
                                                  <w:marTop w:val="0"/>
                                                  <w:marBottom w:val="0"/>
                                                  <w:divBdr>
                                                    <w:top w:val="none" w:sz="0" w:space="0" w:color="auto"/>
                                                    <w:left w:val="none" w:sz="0" w:space="0" w:color="auto"/>
                                                    <w:bottom w:val="none" w:sz="0" w:space="0" w:color="auto"/>
                                                    <w:right w:val="none" w:sz="0" w:space="0" w:color="auto"/>
                                                  </w:divBdr>
                                                  <w:divsChild>
                                                    <w:div w:id="2118906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9619">
          <w:marLeft w:val="0"/>
          <w:marRight w:val="0"/>
          <w:marTop w:val="0"/>
          <w:marBottom w:val="0"/>
          <w:divBdr>
            <w:top w:val="none" w:sz="0" w:space="0" w:color="auto"/>
            <w:left w:val="none" w:sz="0" w:space="0" w:color="auto"/>
            <w:bottom w:val="none" w:sz="0" w:space="0" w:color="auto"/>
            <w:right w:val="none" w:sz="0" w:space="0" w:color="auto"/>
          </w:divBdr>
          <w:divsChild>
            <w:div w:id="1037774134">
              <w:marLeft w:val="0"/>
              <w:marRight w:val="0"/>
              <w:marTop w:val="0"/>
              <w:marBottom w:val="0"/>
              <w:divBdr>
                <w:top w:val="none" w:sz="0" w:space="0" w:color="auto"/>
                <w:left w:val="none" w:sz="0" w:space="0" w:color="auto"/>
                <w:bottom w:val="none" w:sz="0" w:space="0" w:color="auto"/>
                <w:right w:val="none" w:sz="0" w:space="0" w:color="auto"/>
              </w:divBdr>
              <w:divsChild>
                <w:div w:id="1703021240">
                  <w:marLeft w:val="0"/>
                  <w:marRight w:val="0"/>
                  <w:marTop w:val="0"/>
                  <w:marBottom w:val="0"/>
                  <w:divBdr>
                    <w:top w:val="none" w:sz="0" w:space="0" w:color="auto"/>
                    <w:left w:val="none" w:sz="0" w:space="0" w:color="auto"/>
                    <w:bottom w:val="none" w:sz="0" w:space="0" w:color="auto"/>
                    <w:right w:val="none" w:sz="0" w:space="0" w:color="auto"/>
                  </w:divBdr>
                  <w:divsChild>
                    <w:div w:id="1439792930">
                      <w:marLeft w:val="0"/>
                      <w:marRight w:val="0"/>
                      <w:marTop w:val="0"/>
                      <w:marBottom w:val="0"/>
                      <w:divBdr>
                        <w:top w:val="none" w:sz="0" w:space="0" w:color="auto"/>
                        <w:left w:val="none" w:sz="0" w:space="0" w:color="auto"/>
                        <w:bottom w:val="none" w:sz="0" w:space="0" w:color="auto"/>
                        <w:right w:val="none" w:sz="0" w:space="0" w:color="auto"/>
                      </w:divBdr>
                      <w:divsChild>
                        <w:div w:id="1460760579">
                          <w:marLeft w:val="0"/>
                          <w:marRight w:val="0"/>
                          <w:marTop w:val="0"/>
                          <w:marBottom w:val="0"/>
                          <w:divBdr>
                            <w:top w:val="none" w:sz="0" w:space="0" w:color="auto"/>
                            <w:left w:val="none" w:sz="0" w:space="0" w:color="auto"/>
                            <w:bottom w:val="none" w:sz="0" w:space="0" w:color="auto"/>
                            <w:right w:val="none" w:sz="0" w:space="0" w:color="auto"/>
                          </w:divBdr>
                          <w:divsChild>
                            <w:div w:id="18896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68709">
              <w:marLeft w:val="0"/>
              <w:marRight w:val="0"/>
              <w:marTop w:val="0"/>
              <w:marBottom w:val="0"/>
              <w:divBdr>
                <w:top w:val="none" w:sz="0" w:space="0" w:color="auto"/>
                <w:left w:val="none" w:sz="0" w:space="0" w:color="auto"/>
                <w:bottom w:val="none" w:sz="0" w:space="0" w:color="auto"/>
                <w:right w:val="none" w:sz="0" w:space="0" w:color="auto"/>
              </w:divBdr>
              <w:divsChild>
                <w:div w:id="1436709489">
                  <w:marLeft w:val="0"/>
                  <w:marRight w:val="180"/>
                  <w:marTop w:val="0"/>
                  <w:marBottom w:val="0"/>
                  <w:divBdr>
                    <w:top w:val="none" w:sz="0" w:space="0" w:color="auto"/>
                    <w:left w:val="none" w:sz="0" w:space="0" w:color="auto"/>
                    <w:bottom w:val="none" w:sz="0" w:space="0" w:color="auto"/>
                    <w:right w:val="none" w:sz="0" w:space="0" w:color="auto"/>
                  </w:divBdr>
                  <w:divsChild>
                    <w:div w:id="801534032">
                      <w:marLeft w:val="0"/>
                      <w:marRight w:val="-14040"/>
                      <w:marTop w:val="0"/>
                      <w:marBottom w:val="0"/>
                      <w:divBdr>
                        <w:top w:val="none" w:sz="0" w:space="0" w:color="auto"/>
                        <w:left w:val="none" w:sz="0" w:space="0" w:color="auto"/>
                        <w:bottom w:val="none" w:sz="0" w:space="0" w:color="auto"/>
                        <w:right w:val="none" w:sz="0" w:space="0" w:color="auto"/>
                      </w:divBdr>
                      <w:divsChild>
                        <w:div w:id="1782457751">
                          <w:marLeft w:val="0"/>
                          <w:marRight w:val="0"/>
                          <w:marTop w:val="0"/>
                          <w:marBottom w:val="0"/>
                          <w:divBdr>
                            <w:top w:val="none" w:sz="0" w:space="0" w:color="auto"/>
                            <w:left w:val="none" w:sz="0" w:space="0" w:color="auto"/>
                            <w:bottom w:val="none" w:sz="0" w:space="0" w:color="auto"/>
                            <w:right w:val="none" w:sz="0" w:space="0" w:color="auto"/>
                          </w:divBdr>
                          <w:divsChild>
                            <w:div w:id="1472556913">
                              <w:marLeft w:val="0"/>
                              <w:marRight w:val="0"/>
                              <w:marTop w:val="0"/>
                              <w:marBottom w:val="0"/>
                              <w:divBdr>
                                <w:top w:val="none" w:sz="0" w:space="0" w:color="auto"/>
                                <w:left w:val="none" w:sz="0" w:space="0" w:color="auto"/>
                                <w:bottom w:val="none" w:sz="0" w:space="0" w:color="auto"/>
                                <w:right w:val="none" w:sz="0" w:space="0" w:color="auto"/>
                              </w:divBdr>
                              <w:divsChild>
                                <w:div w:id="18873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4362">
                      <w:marLeft w:val="0"/>
                      <w:marRight w:val="0"/>
                      <w:marTop w:val="0"/>
                      <w:marBottom w:val="0"/>
                      <w:divBdr>
                        <w:top w:val="none" w:sz="0" w:space="0" w:color="auto"/>
                        <w:left w:val="none" w:sz="0" w:space="0" w:color="auto"/>
                        <w:bottom w:val="none" w:sz="0" w:space="0" w:color="auto"/>
                        <w:right w:val="none" w:sz="0" w:space="0" w:color="auto"/>
                      </w:divBdr>
                      <w:divsChild>
                        <w:div w:id="164974446">
                          <w:marLeft w:val="0"/>
                          <w:marRight w:val="0"/>
                          <w:marTop w:val="0"/>
                          <w:marBottom w:val="0"/>
                          <w:divBdr>
                            <w:top w:val="none" w:sz="0" w:space="0" w:color="auto"/>
                            <w:left w:val="none" w:sz="0" w:space="0" w:color="auto"/>
                            <w:bottom w:val="none" w:sz="0" w:space="0" w:color="auto"/>
                            <w:right w:val="none" w:sz="0" w:space="0" w:color="auto"/>
                          </w:divBdr>
                          <w:divsChild>
                            <w:div w:id="4031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162009">
          <w:marLeft w:val="0"/>
          <w:marRight w:val="0"/>
          <w:marTop w:val="0"/>
          <w:marBottom w:val="0"/>
          <w:divBdr>
            <w:top w:val="none" w:sz="0" w:space="0" w:color="auto"/>
            <w:left w:val="none" w:sz="0" w:space="0" w:color="auto"/>
            <w:bottom w:val="none" w:sz="0" w:space="0" w:color="auto"/>
            <w:right w:val="none" w:sz="0" w:space="0" w:color="auto"/>
          </w:divBdr>
        </w:div>
        <w:div w:id="2008248751">
          <w:marLeft w:val="0"/>
          <w:marRight w:val="0"/>
          <w:marTop w:val="0"/>
          <w:marBottom w:val="0"/>
          <w:divBdr>
            <w:top w:val="none" w:sz="0" w:space="0" w:color="auto"/>
            <w:left w:val="none" w:sz="0" w:space="0" w:color="auto"/>
            <w:bottom w:val="none" w:sz="0" w:space="0" w:color="auto"/>
            <w:right w:val="none" w:sz="0" w:space="0" w:color="auto"/>
          </w:divBdr>
        </w:div>
      </w:divsChild>
    </w:div>
    <w:div w:id="1018969479">
      <w:bodyDiv w:val="1"/>
      <w:marLeft w:val="0"/>
      <w:marRight w:val="0"/>
      <w:marTop w:val="0"/>
      <w:marBottom w:val="0"/>
      <w:divBdr>
        <w:top w:val="none" w:sz="0" w:space="0" w:color="auto"/>
        <w:left w:val="none" w:sz="0" w:space="0" w:color="auto"/>
        <w:bottom w:val="none" w:sz="0" w:space="0" w:color="auto"/>
        <w:right w:val="none" w:sz="0" w:space="0" w:color="auto"/>
      </w:divBdr>
    </w:div>
    <w:div w:id="1020472481">
      <w:bodyDiv w:val="1"/>
      <w:marLeft w:val="0"/>
      <w:marRight w:val="0"/>
      <w:marTop w:val="0"/>
      <w:marBottom w:val="0"/>
      <w:divBdr>
        <w:top w:val="none" w:sz="0" w:space="0" w:color="auto"/>
        <w:left w:val="none" w:sz="0" w:space="0" w:color="auto"/>
        <w:bottom w:val="none" w:sz="0" w:space="0" w:color="auto"/>
        <w:right w:val="none" w:sz="0" w:space="0" w:color="auto"/>
      </w:divBdr>
    </w:div>
    <w:div w:id="1025253922">
      <w:bodyDiv w:val="1"/>
      <w:marLeft w:val="0"/>
      <w:marRight w:val="0"/>
      <w:marTop w:val="0"/>
      <w:marBottom w:val="0"/>
      <w:divBdr>
        <w:top w:val="none" w:sz="0" w:space="0" w:color="auto"/>
        <w:left w:val="none" w:sz="0" w:space="0" w:color="auto"/>
        <w:bottom w:val="none" w:sz="0" w:space="0" w:color="auto"/>
        <w:right w:val="none" w:sz="0" w:space="0" w:color="auto"/>
      </w:divBdr>
    </w:div>
    <w:div w:id="1026295009">
      <w:bodyDiv w:val="1"/>
      <w:marLeft w:val="0"/>
      <w:marRight w:val="0"/>
      <w:marTop w:val="0"/>
      <w:marBottom w:val="0"/>
      <w:divBdr>
        <w:top w:val="none" w:sz="0" w:space="0" w:color="auto"/>
        <w:left w:val="none" w:sz="0" w:space="0" w:color="auto"/>
        <w:bottom w:val="none" w:sz="0" w:space="0" w:color="auto"/>
        <w:right w:val="none" w:sz="0" w:space="0" w:color="auto"/>
      </w:divBdr>
    </w:div>
    <w:div w:id="1030033614">
      <w:bodyDiv w:val="1"/>
      <w:marLeft w:val="0"/>
      <w:marRight w:val="0"/>
      <w:marTop w:val="0"/>
      <w:marBottom w:val="0"/>
      <w:divBdr>
        <w:top w:val="none" w:sz="0" w:space="0" w:color="auto"/>
        <w:left w:val="none" w:sz="0" w:space="0" w:color="auto"/>
        <w:bottom w:val="none" w:sz="0" w:space="0" w:color="auto"/>
        <w:right w:val="none" w:sz="0" w:space="0" w:color="auto"/>
      </w:divBdr>
    </w:div>
    <w:div w:id="1033506412">
      <w:bodyDiv w:val="1"/>
      <w:marLeft w:val="0"/>
      <w:marRight w:val="0"/>
      <w:marTop w:val="0"/>
      <w:marBottom w:val="0"/>
      <w:divBdr>
        <w:top w:val="none" w:sz="0" w:space="0" w:color="auto"/>
        <w:left w:val="none" w:sz="0" w:space="0" w:color="auto"/>
        <w:bottom w:val="none" w:sz="0" w:space="0" w:color="auto"/>
        <w:right w:val="none" w:sz="0" w:space="0" w:color="auto"/>
      </w:divBdr>
    </w:div>
    <w:div w:id="1036078687">
      <w:bodyDiv w:val="1"/>
      <w:marLeft w:val="0"/>
      <w:marRight w:val="0"/>
      <w:marTop w:val="0"/>
      <w:marBottom w:val="0"/>
      <w:divBdr>
        <w:top w:val="none" w:sz="0" w:space="0" w:color="auto"/>
        <w:left w:val="none" w:sz="0" w:space="0" w:color="auto"/>
        <w:bottom w:val="none" w:sz="0" w:space="0" w:color="auto"/>
        <w:right w:val="none" w:sz="0" w:space="0" w:color="auto"/>
      </w:divBdr>
    </w:div>
    <w:div w:id="1039009246">
      <w:bodyDiv w:val="1"/>
      <w:marLeft w:val="0"/>
      <w:marRight w:val="0"/>
      <w:marTop w:val="0"/>
      <w:marBottom w:val="0"/>
      <w:divBdr>
        <w:top w:val="none" w:sz="0" w:space="0" w:color="auto"/>
        <w:left w:val="none" w:sz="0" w:space="0" w:color="auto"/>
        <w:bottom w:val="none" w:sz="0" w:space="0" w:color="auto"/>
        <w:right w:val="none" w:sz="0" w:space="0" w:color="auto"/>
      </w:divBdr>
    </w:div>
    <w:div w:id="1039629174">
      <w:bodyDiv w:val="1"/>
      <w:marLeft w:val="0"/>
      <w:marRight w:val="0"/>
      <w:marTop w:val="0"/>
      <w:marBottom w:val="0"/>
      <w:divBdr>
        <w:top w:val="none" w:sz="0" w:space="0" w:color="auto"/>
        <w:left w:val="none" w:sz="0" w:space="0" w:color="auto"/>
        <w:bottom w:val="none" w:sz="0" w:space="0" w:color="auto"/>
        <w:right w:val="none" w:sz="0" w:space="0" w:color="auto"/>
      </w:divBdr>
    </w:div>
    <w:div w:id="1040209162">
      <w:bodyDiv w:val="1"/>
      <w:marLeft w:val="0"/>
      <w:marRight w:val="0"/>
      <w:marTop w:val="0"/>
      <w:marBottom w:val="0"/>
      <w:divBdr>
        <w:top w:val="none" w:sz="0" w:space="0" w:color="auto"/>
        <w:left w:val="none" w:sz="0" w:space="0" w:color="auto"/>
        <w:bottom w:val="none" w:sz="0" w:space="0" w:color="auto"/>
        <w:right w:val="none" w:sz="0" w:space="0" w:color="auto"/>
      </w:divBdr>
    </w:div>
    <w:div w:id="1045180917">
      <w:bodyDiv w:val="1"/>
      <w:marLeft w:val="0"/>
      <w:marRight w:val="0"/>
      <w:marTop w:val="0"/>
      <w:marBottom w:val="0"/>
      <w:divBdr>
        <w:top w:val="none" w:sz="0" w:space="0" w:color="auto"/>
        <w:left w:val="none" w:sz="0" w:space="0" w:color="auto"/>
        <w:bottom w:val="none" w:sz="0" w:space="0" w:color="auto"/>
        <w:right w:val="none" w:sz="0" w:space="0" w:color="auto"/>
      </w:divBdr>
    </w:div>
    <w:div w:id="1054545415">
      <w:bodyDiv w:val="1"/>
      <w:marLeft w:val="0"/>
      <w:marRight w:val="0"/>
      <w:marTop w:val="0"/>
      <w:marBottom w:val="0"/>
      <w:divBdr>
        <w:top w:val="none" w:sz="0" w:space="0" w:color="auto"/>
        <w:left w:val="none" w:sz="0" w:space="0" w:color="auto"/>
        <w:bottom w:val="none" w:sz="0" w:space="0" w:color="auto"/>
        <w:right w:val="none" w:sz="0" w:space="0" w:color="auto"/>
      </w:divBdr>
    </w:div>
    <w:div w:id="1059981817">
      <w:bodyDiv w:val="1"/>
      <w:marLeft w:val="0"/>
      <w:marRight w:val="0"/>
      <w:marTop w:val="0"/>
      <w:marBottom w:val="0"/>
      <w:divBdr>
        <w:top w:val="none" w:sz="0" w:space="0" w:color="auto"/>
        <w:left w:val="none" w:sz="0" w:space="0" w:color="auto"/>
        <w:bottom w:val="none" w:sz="0" w:space="0" w:color="auto"/>
        <w:right w:val="none" w:sz="0" w:space="0" w:color="auto"/>
      </w:divBdr>
    </w:div>
    <w:div w:id="1060441236">
      <w:bodyDiv w:val="1"/>
      <w:marLeft w:val="0"/>
      <w:marRight w:val="0"/>
      <w:marTop w:val="0"/>
      <w:marBottom w:val="0"/>
      <w:divBdr>
        <w:top w:val="none" w:sz="0" w:space="0" w:color="auto"/>
        <w:left w:val="none" w:sz="0" w:space="0" w:color="auto"/>
        <w:bottom w:val="none" w:sz="0" w:space="0" w:color="auto"/>
        <w:right w:val="none" w:sz="0" w:space="0" w:color="auto"/>
      </w:divBdr>
    </w:div>
    <w:div w:id="1063140050">
      <w:bodyDiv w:val="1"/>
      <w:marLeft w:val="0"/>
      <w:marRight w:val="0"/>
      <w:marTop w:val="0"/>
      <w:marBottom w:val="0"/>
      <w:divBdr>
        <w:top w:val="none" w:sz="0" w:space="0" w:color="auto"/>
        <w:left w:val="none" w:sz="0" w:space="0" w:color="auto"/>
        <w:bottom w:val="none" w:sz="0" w:space="0" w:color="auto"/>
        <w:right w:val="none" w:sz="0" w:space="0" w:color="auto"/>
      </w:divBdr>
    </w:div>
    <w:div w:id="1063791110">
      <w:bodyDiv w:val="1"/>
      <w:marLeft w:val="0"/>
      <w:marRight w:val="0"/>
      <w:marTop w:val="0"/>
      <w:marBottom w:val="0"/>
      <w:divBdr>
        <w:top w:val="none" w:sz="0" w:space="0" w:color="auto"/>
        <w:left w:val="none" w:sz="0" w:space="0" w:color="auto"/>
        <w:bottom w:val="none" w:sz="0" w:space="0" w:color="auto"/>
        <w:right w:val="none" w:sz="0" w:space="0" w:color="auto"/>
      </w:divBdr>
    </w:div>
    <w:div w:id="1068840879">
      <w:bodyDiv w:val="1"/>
      <w:marLeft w:val="0"/>
      <w:marRight w:val="0"/>
      <w:marTop w:val="0"/>
      <w:marBottom w:val="0"/>
      <w:divBdr>
        <w:top w:val="none" w:sz="0" w:space="0" w:color="auto"/>
        <w:left w:val="none" w:sz="0" w:space="0" w:color="auto"/>
        <w:bottom w:val="none" w:sz="0" w:space="0" w:color="auto"/>
        <w:right w:val="none" w:sz="0" w:space="0" w:color="auto"/>
      </w:divBdr>
    </w:div>
    <w:div w:id="1074743628">
      <w:bodyDiv w:val="1"/>
      <w:marLeft w:val="0"/>
      <w:marRight w:val="0"/>
      <w:marTop w:val="0"/>
      <w:marBottom w:val="0"/>
      <w:divBdr>
        <w:top w:val="none" w:sz="0" w:space="0" w:color="auto"/>
        <w:left w:val="none" w:sz="0" w:space="0" w:color="auto"/>
        <w:bottom w:val="none" w:sz="0" w:space="0" w:color="auto"/>
        <w:right w:val="none" w:sz="0" w:space="0" w:color="auto"/>
      </w:divBdr>
    </w:div>
    <w:div w:id="1076513933">
      <w:bodyDiv w:val="1"/>
      <w:marLeft w:val="0"/>
      <w:marRight w:val="0"/>
      <w:marTop w:val="0"/>
      <w:marBottom w:val="0"/>
      <w:divBdr>
        <w:top w:val="none" w:sz="0" w:space="0" w:color="auto"/>
        <w:left w:val="none" w:sz="0" w:space="0" w:color="auto"/>
        <w:bottom w:val="none" w:sz="0" w:space="0" w:color="auto"/>
        <w:right w:val="none" w:sz="0" w:space="0" w:color="auto"/>
      </w:divBdr>
    </w:div>
    <w:div w:id="1077822454">
      <w:bodyDiv w:val="1"/>
      <w:marLeft w:val="0"/>
      <w:marRight w:val="0"/>
      <w:marTop w:val="0"/>
      <w:marBottom w:val="0"/>
      <w:divBdr>
        <w:top w:val="none" w:sz="0" w:space="0" w:color="auto"/>
        <w:left w:val="none" w:sz="0" w:space="0" w:color="auto"/>
        <w:bottom w:val="none" w:sz="0" w:space="0" w:color="auto"/>
        <w:right w:val="none" w:sz="0" w:space="0" w:color="auto"/>
      </w:divBdr>
    </w:div>
    <w:div w:id="1080954843">
      <w:bodyDiv w:val="1"/>
      <w:marLeft w:val="0"/>
      <w:marRight w:val="0"/>
      <w:marTop w:val="0"/>
      <w:marBottom w:val="0"/>
      <w:divBdr>
        <w:top w:val="none" w:sz="0" w:space="0" w:color="auto"/>
        <w:left w:val="none" w:sz="0" w:space="0" w:color="auto"/>
        <w:bottom w:val="none" w:sz="0" w:space="0" w:color="auto"/>
        <w:right w:val="none" w:sz="0" w:space="0" w:color="auto"/>
      </w:divBdr>
    </w:div>
    <w:div w:id="1082920863">
      <w:bodyDiv w:val="1"/>
      <w:marLeft w:val="0"/>
      <w:marRight w:val="0"/>
      <w:marTop w:val="0"/>
      <w:marBottom w:val="0"/>
      <w:divBdr>
        <w:top w:val="none" w:sz="0" w:space="0" w:color="auto"/>
        <w:left w:val="none" w:sz="0" w:space="0" w:color="auto"/>
        <w:bottom w:val="none" w:sz="0" w:space="0" w:color="auto"/>
        <w:right w:val="none" w:sz="0" w:space="0" w:color="auto"/>
      </w:divBdr>
    </w:div>
    <w:div w:id="1088690693">
      <w:bodyDiv w:val="1"/>
      <w:marLeft w:val="0"/>
      <w:marRight w:val="0"/>
      <w:marTop w:val="0"/>
      <w:marBottom w:val="0"/>
      <w:divBdr>
        <w:top w:val="none" w:sz="0" w:space="0" w:color="auto"/>
        <w:left w:val="none" w:sz="0" w:space="0" w:color="auto"/>
        <w:bottom w:val="none" w:sz="0" w:space="0" w:color="auto"/>
        <w:right w:val="none" w:sz="0" w:space="0" w:color="auto"/>
      </w:divBdr>
    </w:div>
    <w:div w:id="1089157866">
      <w:bodyDiv w:val="1"/>
      <w:marLeft w:val="0"/>
      <w:marRight w:val="0"/>
      <w:marTop w:val="0"/>
      <w:marBottom w:val="0"/>
      <w:divBdr>
        <w:top w:val="none" w:sz="0" w:space="0" w:color="auto"/>
        <w:left w:val="none" w:sz="0" w:space="0" w:color="auto"/>
        <w:bottom w:val="none" w:sz="0" w:space="0" w:color="auto"/>
        <w:right w:val="none" w:sz="0" w:space="0" w:color="auto"/>
      </w:divBdr>
    </w:div>
    <w:div w:id="1093552748">
      <w:bodyDiv w:val="1"/>
      <w:marLeft w:val="0"/>
      <w:marRight w:val="0"/>
      <w:marTop w:val="0"/>
      <w:marBottom w:val="0"/>
      <w:divBdr>
        <w:top w:val="none" w:sz="0" w:space="0" w:color="auto"/>
        <w:left w:val="none" w:sz="0" w:space="0" w:color="auto"/>
        <w:bottom w:val="none" w:sz="0" w:space="0" w:color="auto"/>
        <w:right w:val="none" w:sz="0" w:space="0" w:color="auto"/>
      </w:divBdr>
    </w:div>
    <w:div w:id="1094205967">
      <w:bodyDiv w:val="1"/>
      <w:marLeft w:val="0"/>
      <w:marRight w:val="0"/>
      <w:marTop w:val="0"/>
      <w:marBottom w:val="0"/>
      <w:divBdr>
        <w:top w:val="none" w:sz="0" w:space="0" w:color="auto"/>
        <w:left w:val="none" w:sz="0" w:space="0" w:color="auto"/>
        <w:bottom w:val="none" w:sz="0" w:space="0" w:color="auto"/>
        <w:right w:val="none" w:sz="0" w:space="0" w:color="auto"/>
      </w:divBdr>
    </w:div>
    <w:div w:id="1095399324">
      <w:bodyDiv w:val="1"/>
      <w:marLeft w:val="0"/>
      <w:marRight w:val="0"/>
      <w:marTop w:val="0"/>
      <w:marBottom w:val="0"/>
      <w:divBdr>
        <w:top w:val="none" w:sz="0" w:space="0" w:color="auto"/>
        <w:left w:val="none" w:sz="0" w:space="0" w:color="auto"/>
        <w:bottom w:val="none" w:sz="0" w:space="0" w:color="auto"/>
        <w:right w:val="none" w:sz="0" w:space="0" w:color="auto"/>
      </w:divBdr>
    </w:div>
    <w:div w:id="1096171690">
      <w:bodyDiv w:val="1"/>
      <w:marLeft w:val="0"/>
      <w:marRight w:val="0"/>
      <w:marTop w:val="0"/>
      <w:marBottom w:val="0"/>
      <w:divBdr>
        <w:top w:val="none" w:sz="0" w:space="0" w:color="auto"/>
        <w:left w:val="none" w:sz="0" w:space="0" w:color="auto"/>
        <w:bottom w:val="none" w:sz="0" w:space="0" w:color="auto"/>
        <w:right w:val="none" w:sz="0" w:space="0" w:color="auto"/>
      </w:divBdr>
    </w:div>
    <w:div w:id="1102840958">
      <w:bodyDiv w:val="1"/>
      <w:marLeft w:val="0"/>
      <w:marRight w:val="0"/>
      <w:marTop w:val="0"/>
      <w:marBottom w:val="0"/>
      <w:divBdr>
        <w:top w:val="none" w:sz="0" w:space="0" w:color="auto"/>
        <w:left w:val="none" w:sz="0" w:space="0" w:color="auto"/>
        <w:bottom w:val="none" w:sz="0" w:space="0" w:color="auto"/>
        <w:right w:val="none" w:sz="0" w:space="0" w:color="auto"/>
      </w:divBdr>
    </w:div>
    <w:div w:id="1103919883">
      <w:bodyDiv w:val="1"/>
      <w:marLeft w:val="0"/>
      <w:marRight w:val="0"/>
      <w:marTop w:val="0"/>
      <w:marBottom w:val="0"/>
      <w:divBdr>
        <w:top w:val="none" w:sz="0" w:space="0" w:color="auto"/>
        <w:left w:val="none" w:sz="0" w:space="0" w:color="auto"/>
        <w:bottom w:val="none" w:sz="0" w:space="0" w:color="auto"/>
        <w:right w:val="none" w:sz="0" w:space="0" w:color="auto"/>
      </w:divBdr>
    </w:div>
    <w:div w:id="1105265638">
      <w:bodyDiv w:val="1"/>
      <w:marLeft w:val="0"/>
      <w:marRight w:val="0"/>
      <w:marTop w:val="0"/>
      <w:marBottom w:val="0"/>
      <w:divBdr>
        <w:top w:val="none" w:sz="0" w:space="0" w:color="auto"/>
        <w:left w:val="none" w:sz="0" w:space="0" w:color="auto"/>
        <w:bottom w:val="none" w:sz="0" w:space="0" w:color="auto"/>
        <w:right w:val="none" w:sz="0" w:space="0" w:color="auto"/>
      </w:divBdr>
    </w:div>
    <w:div w:id="1105612231">
      <w:bodyDiv w:val="1"/>
      <w:marLeft w:val="0"/>
      <w:marRight w:val="0"/>
      <w:marTop w:val="0"/>
      <w:marBottom w:val="0"/>
      <w:divBdr>
        <w:top w:val="none" w:sz="0" w:space="0" w:color="auto"/>
        <w:left w:val="none" w:sz="0" w:space="0" w:color="auto"/>
        <w:bottom w:val="none" w:sz="0" w:space="0" w:color="auto"/>
        <w:right w:val="none" w:sz="0" w:space="0" w:color="auto"/>
      </w:divBdr>
    </w:div>
    <w:div w:id="1107696404">
      <w:bodyDiv w:val="1"/>
      <w:marLeft w:val="0"/>
      <w:marRight w:val="0"/>
      <w:marTop w:val="0"/>
      <w:marBottom w:val="0"/>
      <w:divBdr>
        <w:top w:val="none" w:sz="0" w:space="0" w:color="auto"/>
        <w:left w:val="none" w:sz="0" w:space="0" w:color="auto"/>
        <w:bottom w:val="none" w:sz="0" w:space="0" w:color="auto"/>
        <w:right w:val="none" w:sz="0" w:space="0" w:color="auto"/>
      </w:divBdr>
    </w:div>
    <w:div w:id="1109351457">
      <w:bodyDiv w:val="1"/>
      <w:marLeft w:val="0"/>
      <w:marRight w:val="0"/>
      <w:marTop w:val="0"/>
      <w:marBottom w:val="0"/>
      <w:divBdr>
        <w:top w:val="none" w:sz="0" w:space="0" w:color="auto"/>
        <w:left w:val="none" w:sz="0" w:space="0" w:color="auto"/>
        <w:bottom w:val="none" w:sz="0" w:space="0" w:color="auto"/>
        <w:right w:val="none" w:sz="0" w:space="0" w:color="auto"/>
      </w:divBdr>
    </w:div>
    <w:div w:id="1109856314">
      <w:bodyDiv w:val="1"/>
      <w:marLeft w:val="0"/>
      <w:marRight w:val="0"/>
      <w:marTop w:val="0"/>
      <w:marBottom w:val="0"/>
      <w:divBdr>
        <w:top w:val="none" w:sz="0" w:space="0" w:color="auto"/>
        <w:left w:val="none" w:sz="0" w:space="0" w:color="auto"/>
        <w:bottom w:val="none" w:sz="0" w:space="0" w:color="auto"/>
        <w:right w:val="none" w:sz="0" w:space="0" w:color="auto"/>
      </w:divBdr>
    </w:div>
    <w:div w:id="1110079806">
      <w:bodyDiv w:val="1"/>
      <w:marLeft w:val="0"/>
      <w:marRight w:val="0"/>
      <w:marTop w:val="0"/>
      <w:marBottom w:val="0"/>
      <w:divBdr>
        <w:top w:val="none" w:sz="0" w:space="0" w:color="auto"/>
        <w:left w:val="none" w:sz="0" w:space="0" w:color="auto"/>
        <w:bottom w:val="none" w:sz="0" w:space="0" w:color="auto"/>
        <w:right w:val="none" w:sz="0" w:space="0" w:color="auto"/>
      </w:divBdr>
    </w:div>
    <w:div w:id="1111822509">
      <w:bodyDiv w:val="1"/>
      <w:marLeft w:val="0"/>
      <w:marRight w:val="0"/>
      <w:marTop w:val="0"/>
      <w:marBottom w:val="0"/>
      <w:divBdr>
        <w:top w:val="none" w:sz="0" w:space="0" w:color="auto"/>
        <w:left w:val="none" w:sz="0" w:space="0" w:color="auto"/>
        <w:bottom w:val="none" w:sz="0" w:space="0" w:color="auto"/>
        <w:right w:val="none" w:sz="0" w:space="0" w:color="auto"/>
      </w:divBdr>
    </w:div>
    <w:div w:id="1119645862">
      <w:bodyDiv w:val="1"/>
      <w:marLeft w:val="0"/>
      <w:marRight w:val="0"/>
      <w:marTop w:val="0"/>
      <w:marBottom w:val="0"/>
      <w:divBdr>
        <w:top w:val="none" w:sz="0" w:space="0" w:color="auto"/>
        <w:left w:val="none" w:sz="0" w:space="0" w:color="auto"/>
        <w:bottom w:val="none" w:sz="0" w:space="0" w:color="auto"/>
        <w:right w:val="none" w:sz="0" w:space="0" w:color="auto"/>
      </w:divBdr>
    </w:div>
    <w:div w:id="1120300926">
      <w:bodyDiv w:val="1"/>
      <w:marLeft w:val="0"/>
      <w:marRight w:val="0"/>
      <w:marTop w:val="0"/>
      <w:marBottom w:val="0"/>
      <w:divBdr>
        <w:top w:val="none" w:sz="0" w:space="0" w:color="auto"/>
        <w:left w:val="none" w:sz="0" w:space="0" w:color="auto"/>
        <w:bottom w:val="none" w:sz="0" w:space="0" w:color="auto"/>
        <w:right w:val="none" w:sz="0" w:space="0" w:color="auto"/>
      </w:divBdr>
    </w:div>
    <w:div w:id="1124158838">
      <w:bodyDiv w:val="1"/>
      <w:marLeft w:val="0"/>
      <w:marRight w:val="0"/>
      <w:marTop w:val="0"/>
      <w:marBottom w:val="0"/>
      <w:divBdr>
        <w:top w:val="none" w:sz="0" w:space="0" w:color="auto"/>
        <w:left w:val="none" w:sz="0" w:space="0" w:color="auto"/>
        <w:bottom w:val="none" w:sz="0" w:space="0" w:color="auto"/>
        <w:right w:val="none" w:sz="0" w:space="0" w:color="auto"/>
      </w:divBdr>
    </w:div>
    <w:div w:id="1125733228">
      <w:bodyDiv w:val="1"/>
      <w:marLeft w:val="0"/>
      <w:marRight w:val="0"/>
      <w:marTop w:val="0"/>
      <w:marBottom w:val="0"/>
      <w:divBdr>
        <w:top w:val="none" w:sz="0" w:space="0" w:color="auto"/>
        <w:left w:val="none" w:sz="0" w:space="0" w:color="auto"/>
        <w:bottom w:val="none" w:sz="0" w:space="0" w:color="auto"/>
        <w:right w:val="none" w:sz="0" w:space="0" w:color="auto"/>
      </w:divBdr>
    </w:div>
    <w:div w:id="1126049359">
      <w:bodyDiv w:val="1"/>
      <w:marLeft w:val="0"/>
      <w:marRight w:val="0"/>
      <w:marTop w:val="0"/>
      <w:marBottom w:val="0"/>
      <w:divBdr>
        <w:top w:val="none" w:sz="0" w:space="0" w:color="auto"/>
        <w:left w:val="none" w:sz="0" w:space="0" w:color="auto"/>
        <w:bottom w:val="none" w:sz="0" w:space="0" w:color="auto"/>
        <w:right w:val="none" w:sz="0" w:space="0" w:color="auto"/>
      </w:divBdr>
    </w:div>
    <w:div w:id="1127351877">
      <w:bodyDiv w:val="1"/>
      <w:marLeft w:val="0"/>
      <w:marRight w:val="0"/>
      <w:marTop w:val="0"/>
      <w:marBottom w:val="0"/>
      <w:divBdr>
        <w:top w:val="none" w:sz="0" w:space="0" w:color="auto"/>
        <w:left w:val="none" w:sz="0" w:space="0" w:color="auto"/>
        <w:bottom w:val="none" w:sz="0" w:space="0" w:color="auto"/>
        <w:right w:val="none" w:sz="0" w:space="0" w:color="auto"/>
      </w:divBdr>
    </w:div>
    <w:div w:id="1130320546">
      <w:bodyDiv w:val="1"/>
      <w:marLeft w:val="0"/>
      <w:marRight w:val="0"/>
      <w:marTop w:val="0"/>
      <w:marBottom w:val="0"/>
      <w:divBdr>
        <w:top w:val="none" w:sz="0" w:space="0" w:color="auto"/>
        <w:left w:val="none" w:sz="0" w:space="0" w:color="auto"/>
        <w:bottom w:val="none" w:sz="0" w:space="0" w:color="auto"/>
        <w:right w:val="none" w:sz="0" w:space="0" w:color="auto"/>
      </w:divBdr>
    </w:div>
    <w:div w:id="1130708548">
      <w:bodyDiv w:val="1"/>
      <w:marLeft w:val="0"/>
      <w:marRight w:val="0"/>
      <w:marTop w:val="0"/>
      <w:marBottom w:val="0"/>
      <w:divBdr>
        <w:top w:val="none" w:sz="0" w:space="0" w:color="auto"/>
        <w:left w:val="none" w:sz="0" w:space="0" w:color="auto"/>
        <w:bottom w:val="none" w:sz="0" w:space="0" w:color="auto"/>
        <w:right w:val="none" w:sz="0" w:space="0" w:color="auto"/>
      </w:divBdr>
    </w:div>
    <w:div w:id="1131829548">
      <w:bodyDiv w:val="1"/>
      <w:marLeft w:val="0"/>
      <w:marRight w:val="0"/>
      <w:marTop w:val="0"/>
      <w:marBottom w:val="0"/>
      <w:divBdr>
        <w:top w:val="none" w:sz="0" w:space="0" w:color="auto"/>
        <w:left w:val="none" w:sz="0" w:space="0" w:color="auto"/>
        <w:bottom w:val="none" w:sz="0" w:space="0" w:color="auto"/>
        <w:right w:val="none" w:sz="0" w:space="0" w:color="auto"/>
      </w:divBdr>
    </w:div>
    <w:div w:id="1132795523">
      <w:bodyDiv w:val="1"/>
      <w:marLeft w:val="0"/>
      <w:marRight w:val="0"/>
      <w:marTop w:val="0"/>
      <w:marBottom w:val="0"/>
      <w:divBdr>
        <w:top w:val="none" w:sz="0" w:space="0" w:color="auto"/>
        <w:left w:val="none" w:sz="0" w:space="0" w:color="auto"/>
        <w:bottom w:val="none" w:sz="0" w:space="0" w:color="auto"/>
        <w:right w:val="none" w:sz="0" w:space="0" w:color="auto"/>
      </w:divBdr>
    </w:div>
    <w:div w:id="1136335639">
      <w:bodyDiv w:val="1"/>
      <w:marLeft w:val="0"/>
      <w:marRight w:val="0"/>
      <w:marTop w:val="0"/>
      <w:marBottom w:val="0"/>
      <w:divBdr>
        <w:top w:val="none" w:sz="0" w:space="0" w:color="auto"/>
        <w:left w:val="none" w:sz="0" w:space="0" w:color="auto"/>
        <w:bottom w:val="none" w:sz="0" w:space="0" w:color="auto"/>
        <w:right w:val="none" w:sz="0" w:space="0" w:color="auto"/>
      </w:divBdr>
    </w:div>
    <w:div w:id="1140734239">
      <w:bodyDiv w:val="1"/>
      <w:marLeft w:val="0"/>
      <w:marRight w:val="0"/>
      <w:marTop w:val="0"/>
      <w:marBottom w:val="0"/>
      <w:divBdr>
        <w:top w:val="none" w:sz="0" w:space="0" w:color="auto"/>
        <w:left w:val="none" w:sz="0" w:space="0" w:color="auto"/>
        <w:bottom w:val="none" w:sz="0" w:space="0" w:color="auto"/>
        <w:right w:val="none" w:sz="0" w:space="0" w:color="auto"/>
      </w:divBdr>
    </w:div>
    <w:div w:id="1143697508">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6094545">
      <w:bodyDiv w:val="1"/>
      <w:marLeft w:val="0"/>
      <w:marRight w:val="0"/>
      <w:marTop w:val="0"/>
      <w:marBottom w:val="0"/>
      <w:divBdr>
        <w:top w:val="none" w:sz="0" w:space="0" w:color="auto"/>
        <w:left w:val="none" w:sz="0" w:space="0" w:color="auto"/>
        <w:bottom w:val="none" w:sz="0" w:space="0" w:color="auto"/>
        <w:right w:val="none" w:sz="0" w:space="0" w:color="auto"/>
      </w:divBdr>
    </w:div>
    <w:div w:id="1150906121">
      <w:bodyDiv w:val="1"/>
      <w:marLeft w:val="0"/>
      <w:marRight w:val="0"/>
      <w:marTop w:val="0"/>
      <w:marBottom w:val="0"/>
      <w:divBdr>
        <w:top w:val="none" w:sz="0" w:space="0" w:color="auto"/>
        <w:left w:val="none" w:sz="0" w:space="0" w:color="auto"/>
        <w:bottom w:val="none" w:sz="0" w:space="0" w:color="auto"/>
        <w:right w:val="none" w:sz="0" w:space="0" w:color="auto"/>
      </w:divBdr>
    </w:div>
    <w:div w:id="1152137379">
      <w:bodyDiv w:val="1"/>
      <w:marLeft w:val="0"/>
      <w:marRight w:val="0"/>
      <w:marTop w:val="0"/>
      <w:marBottom w:val="0"/>
      <w:divBdr>
        <w:top w:val="none" w:sz="0" w:space="0" w:color="auto"/>
        <w:left w:val="none" w:sz="0" w:space="0" w:color="auto"/>
        <w:bottom w:val="none" w:sz="0" w:space="0" w:color="auto"/>
        <w:right w:val="none" w:sz="0" w:space="0" w:color="auto"/>
      </w:divBdr>
    </w:div>
    <w:div w:id="1154104011">
      <w:bodyDiv w:val="1"/>
      <w:marLeft w:val="0"/>
      <w:marRight w:val="0"/>
      <w:marTop w:val="0"/>
      <w:marBottom w:val="0"/>
      <w:divBdr>
        <w:top w:val="none" w:sz="0" w:space="0" w:color="auto"/>
        <w:left w:val="none" w:sz="0" w:space="0" w:color="auto"/>
        <w:bottom w:val="none" w:sz="0" w:space="0" w:color="auto"/>
        <w:right w:val="none" w:sz="0" w:space="0" w:color="auto"/>
      </w:divBdr>
    </w:div>
    <w:div w:id="1162046355">
      <w:bodyDiv w:val="1"/>
      <w:marLeft w:val="0"/>
      <w:marRight w:val="0"/>
      <w:marTop w:val="0"/>
      <w:marBottom w:val="0"/>
      <w:divBdr>
        <w:top w:val="none" w:sz="0" w:space="0" w:color="auto"/>
        <w:left w:val="none" w:sz="0" w:space="0" w:color="auto"/>
        <w:bottom w:val="none" w:sz="0" w:space="0" w:color="auto"/>
        <w:right w:val="none" w:sz="0" w:space="0" w:color="auto"/>
      </w:divBdr>
    </w:div>
    <w:div w:id="1162623594">
      <w:bodyDiv w:val="1"/>
      <w:marLeft w:val="0"/>
      <w:marRight w:val="0"/>
      <w:marTop w:val="0"/>
      <w:marBottom w:val="0"/>
      <w:divBdr>
        <w:top w:val="none" w:sz="0" w:space="0" w:color="auto"/>
        <w:left w:val="none" w:sz="0" w:space="0" w:color="auto"/>
        <w:bottom w:val="none" w:sz="0" w:space="0" w:color="auto"/>
        <w:right w:val="none" w:sz="0" w:space="0" w:color="auto"/>
      </w:divBdr>
    </w:div>
    <w:div w:id="1163156206">
      <w:bodyDiv w:val="1"/>
      <w:marLeft w:val="0"/>
      <w:marRight w:val="0"/>
      <w:marTop w:val="0"/>
      <w:marBottom w:val="0"/>
      <w:divBdr>
        <w:top w:val="none" w:sz="0" w:space="0" w:color="auto"/>
        <w:left w:val="none" w:sz="0" w:space="0" w:color="auto"/>
        <w:bottom w:val="none" w:sz="0" w:space="0" w:color="auto"/>
        <w:right w:val="none" w:sz="0" w:space="0" w:color="auto"/>
      </w:divBdr>
    </w:div>
    <w:div w:id="1164593162">
      <w:bodyDiv w:val="1"/>
      <w:marLeft w:val="0"/>
      <w:marRight w:val="0"/>
      <w:marTop w:val="0"/>
      <w:marBottom w:val="0"/>
      <w:divBdr>
        <w:top w:val="none" w:sz="0" w:space="0" w:color="auto"/>
        <w:left w:val="none" w:sz="0" w:space="0" w:color="auto"/>
        <w:bottom w:val="none" w:sz="0" w:space="0" w:color="auto"/>
        <w:right w:val="none" w:sz="0" w:space="0" w:color="auto"/>
      </w:divBdr>
    </w:div>
    <w:div w:id="1167206210">
      <w:bodyDiv w:val="1"/>
      <w:marLeft w:val="0"/>
      <w:marRight w:val="0"/>
      <w:marTop w:val="0"/>
      <w:marBottom w:val="0"/>
      <w:divBdr>
        <w:top w:val="none" w:sz="0" w:space="0" w:color="auto"/>
        <w:left w:val="none" w:sz="0" w:space="0" w:color="auto"/>
        <w:bottom w:val="none" w:sz="0" w:space="0" w:color="auto"/>
        <w:right w:val="none" w:sz="0" w:space="0" w:color="auto"/>
      </w:divBdr>
    </w:div>
    <w:div w:id="1167743733">
      <w:bodyDiv w:val="1"/>
      <w:marLeft w:val="0"/>
      <w:marRight w:val="0"/>
      <w:marTop w:val="0"/>
      <w:marBottom w:val="0"/>
      <w:divBdr>
        <w:top w:val="none" w:sz="0" w:space="0" w:color="auto"/>
        <w:left w:val="none" w:sz="0" w:space="0" w:color="auto"/>
        <w:bottom w:val="none" w:sz="0" w:space="0" w:color="auto"/>
        <w:right w:val="none" w:sz="0" w:space="0" w:color="auto"/>
      </w:divBdr>
    </w:div>
    <w:div w:id="1167940184">
      <w:bodyDiv w:val="1"/>
      <w:marLeft w:val="0"/>
      <w:marRight w:val="0"/>
      <w:marTop w:val="0"/>
      <w:marBottom w:val="0"/>
      <w:divBdr>
        <w:top w:val="none" w:sz="0" w:space="0" w:color="auto"/>
        <w:left w:val="none" w:sz="0" w:space="0" w:color="auto"/>
        <w:bottom w:val="none" w:sz="0" w:space="0" w:color="auto"/>
        <w:right w:val="none" w:sz="0" w:space="0" w:color="auto"/>
      </w:divBdr>
    </w:div>
    <w:div w:id="1170176803">
      <w:bodyDiv w:val="1"/>
      <w:marLeft w:val="0"/>
      <w:marRight w:val="0"/>
      <w:marTop w:val="0"/>
      <w:marBottom w:val="0"/>
      <w:divBdr>
        <w:top w:val="none" w:sz="0" w:space="0" w:color="auto"/>
        <w:left w:val="none" w:sz="0" w:space="0" w:color="auto"/>
        <w:bottom w:val="none" w:sz="0" w:space="0" w:color="auto"/>
        <w:right w:val="none" w:sz="0" w:space="0" w:color="auto"/>
      </w:divBdr>
    </w:div>
    <w:div w:id="1171025303">
      <w:bodyDiv w:val="1"/>
      <w:marLeft w:val="0"/>
      <w:marRight w:val="0"/>
      <w:marTop w:val="0"/>
      <w:marBottom w:val="0"/>
      <w:divBdr>
        <w:top w:val="none" w:sz="0" w:space="0" w:color="auto"/>
        <w:left w:val="none" w:sz="0" w:space="0" w:color="auto"/>
        <w:bottom w:val="none" w:sz="0" w:space="0" w:color="auto"/>
        <w:right w:val="none" w:sz="0" w:space="0" w:color="auto"/>
      </w:divBdr>
    </w:div>
    <w:div w:id="1180703377">
      <w:bodyDiv w:val="1"/>
      <w:marLeft w:val="0"/>
      <w:marRight w:val="0"/>
      <w:marTop w:val="0"/>
      <w:marBottom w:val="0"/>
      <w:divBdr>
        <w:top w:val="none" w:sz="0" w:space="0" w:color="auto"/>
        <w:left w:val="none" w:sz="0" w:space="0" w:color="auto"/>
        <w:bottom w:val="none" w:sz="0" w:space="0" w:color="auto"/>
        <w:right w:val="none" w:sz="0" w:space="0" w:color="auto"/>
      </w:divBdr>
    </w:div>
    <w:div w:id="1183397369">
      <w:bodyDiv w:val="1"/>
      <w:marLeft w:val="0"/>
      <w:marRight w:val="0"/>
      <w:marTop w:val="0"/>
      <w:marBottom w:val="0"/>
      <w:divBdr>
        <w:top w:val="none" w:sz="0" w:space="0" w:color="auto"/>
        <w:left w:val="none" w:sz="0" w:space="0" w:color="auto"/>
        <w:bottom w:val="none" w:sz="0" w:space="0" w:color="auto"/>
        <w:right w:val="none" w:sz="0" w:space="0" w:color="auto"/>
      </w:divBdr>
    </w:div>
    <w:div w:id="1183515620">
      <w:bodyDiv w:val="1"/>
      <w:marLeft w:val="0"/>
      <w:marRight w:val="0"/>
      <w:marTop w:val="0"/>
      <w:marBottom w:val="0"/>
      <w:divBdr>
        <w:top w:val="none" w:sz="0" w:space="0" w:color="auto"/>
        <w:left w:val="none" w:sz="0" w:space="0" w:color="auto"/>
        <w:bottom w:val="none" w:sz="0" w:space="0" w:color="auto"/>
        <w:right w:val="none" w:sz="0" w:space="0" w:color="auto"/>
      </w:divBdr>
    </w:div>
    <w:div w:id="1187715013">
      <w:bodyDiv w:val="1"/>
      <w:marLeft w:val="0"/>
      <w:marRight w:val="0"/>
      <w:marTop w:val="0"/>
      <w:marBottom w:val="0"/>
      <w:divBdr>
        <w:top w:val="none" w:sz="0" w:space="0" w:color="auto"/>
        <w:left w:val="none" w:sz="0" w:space="0" w:color="auto"/>
        <w:bottom w:val="none" w:sz="0" w:space="0" w:color="auto"/>
        <w:right w:val="none" w:sz="0" w:space="0" w:color="auto"/>
      </w:divBdr>
    </w:div>
    <w:div w:id="1189413804">
      <w:bodyDiv w:val="1"/>
      <w:marLeft w:val="0"/>
      <w:marRight w:val="0"/>
      <w:marTop w:val="0"/>
      <w:marBottom w:val="0"/>
      <w:divBdr>
        <w:top w:val="none" w:sz="0" w:space="0" w:color="auto"/>
        <w:left w:val="none" w:sz="0" w:space="0" w:color="auto"/>
        <w:bottom w:val="none" w:sz="0" w:space="0" w:color="auto"/>
        <w:right w:val="none" w:sz="0" w:space="0" w:color="auto"/>
      </w:divBdr>
    </w:div>
    <w:div w:id="1189757488">
      <w:bodyDiv w:val="1"/>
      <w:marLeft w:val="0"/>
      <w:marRight w:val="0"/>
      <w:marTop w:val="0"/>
      <w:marBottom w:val="0"/>
      <w:divBdr>
        <w:top w:val="none" w:sz="0" w:space="0" w:color="auto"/>
        <w:left w:val="none" w:sz="0" w:space="0" w:color="auto"/>
        <w:bottom w:val="none" w:sz="0" w:space="0" w:color="auto"/>
        <w:right w:val="none" w:sz="0" w:space="0" w:color="auto"/>
      </w:divBdr>
    </w:div>
    <w:div w:id="1190293092">
      <w:bodyDiv w:val="1"/>
      <w:marLeft w:val="0"/>
      <w:marRight w:val="0"/>
      <w:marTop w:val="0"/>
      <w:marBottom w:val="0"/>
      <w:divBdr>
        <w:top w:val="none" w:sz="0" w:space="0" w:color="auto"/>
        <w:left w:val="none" w:sz="0" w:space="0" w:color="auto"/>
        <w:bottom w:val="none" w:sz="0" w:space="0" w:color="auto"/>
        <w:right w:val="none" w:sz="0" w:space="0" w:color="auto"/>
      </w:divBdr>
    </w:div>
    <w:div w:id="1192765281">
      <w:bodyDiv w:val="1"/>
      <w:marLeft w:val="0"/>
      <w:marRight w:val="0"/>
      <w:marTop w:val="0"/>
      <w:marBottom w:val="0"/>
      <w:divBdr>
        <w:top w:val="none" w:sz="0" w:space="0" w:color="auto"/>
        <w:left w:val="none" w:sz="0" w:space="0" w:color="auto"/>
        <w:bottom w:val="none" w:sz="0" w:space="0" w:color="auto"/>
        <w:right w:val="none" w:sz="0" w:space="0" w:color="auto"/>
      </w:divBdr>
    </w:div>
    <w:div w:id="1194031426">
      <w:bodyDiv w:val="1"/>
      <w:marLeft w:val="0"/>
      <w:marRight w:val="0"/>
      <w:marTop w:val="0"/>
      <w:marBottom w:val="0"/>
      <w:divBdr>
        <w:top w:val="none" w:sz="0" w:space="0" w:color="auto"/>
        <w:left w:val="none" w:sz="0" w:space="0" w:color="auto"/>
        <w:bottom w:val="none" w:sz="0" w:space="0" w:color="auto"/>
        <w:right w:val="none" w:sz="0" w:space="0" w:color="auto"/>
      </w:divBdr>
    </w:div>
    <w:div w:id="1203177737">
      <w:bodyDiv w:val="1"/>
      <w:marLeft w:val="0"/>
      <w:marRight w:val="0"/>
      <w:marTop w:val="0"/>
      <w:marBottom w:val="0"/>
      <w:divBdr>
        <w:top w:val="none" w:sz="0" w:space="0" w:color="auto"/>
        <w:left w:val="none" w:sz="0" w:space="0" w:color="auto"/>
        <w:bottom w:val="none" w:sz="0" w:space="0" w:color="auto"/>
        <w:right w:val="none" w:sz="0" w:space="0" w:color="auto"/>
      </w:divBdr>
    </w:div>
    <w:div w:id="1204517500">
      <w:bodyDiv w:val="1"/>
      <w:marLeft w:val="0"/>
      <w:marRight w:val="0"/>
      <w:marTop w:val="0"/>
      <w:marBottom w:val="0"/>
      <w:divBdr>
        <w:top w:val="none" w:sz="0" w:space="0" w:color="auto"/>
        <w:left w:val="none" w:sz="0" w:space="0" w:color="auto"/>
        <w:bottom w:val="none" w:sz="0" w:space="0" w:color="auto"/>
        <w:right w:val="none" w:sz="0" w:space="0" w:color="auto"/>
      </w:divBdr>
      <w:divsChild>
        <w:div w:id="1625767188">
          <w:marLeft w:val="0"/>
          <w:marRight w:val="0"/>
          <w:marTop w:val="0"/>
          <w:marBottom w:val="0"/>
          <w:divBdr>
            <w:top w:val="none" w:sz="0" w:space="0" w:color="auto"/>
            <w:left w:val="none" w:sz="0" w:space="0" w:color="auto"/>
            <w:bottom w:val="none" w:sz="0" w:space="0" w:color="auto"/>
            <w:right w:val="none" w:sz="0" w:space="0" w:color="auto"/>
          </w:divBdr>
        </w:div>
      </w:divsChild>
    </w:div>
    <w:div w:id="1204706630">
      <w:bodyDiv w:val="1"/>
      <w:marLeft w:val="0"/>
      <w:marRight w:val="0"/>
      <w:marTop w:val="0"/>
      <w:marBottom w:val="0"/>
      <w:divBdr>
        <w:top w:val="none" w:sz="0" w:space="0" w:color="auto"/>
        <w:left w:val="none" w:sz="0" w:space="0" w:color="auto"/>
        <w:bottom w:val="none" w:sz="0" w:space="0" w:color="auto"/>
        <w:right w:val="none" w:sz="0" w:space="0" w:color="auto"/>
      </w:divBdr>
    </w:div>
    <w:div w:id="1206602017">
      <w:bodyDiv w:val="1"/>
      <w:marLeft w:val="0"/>
      <w:marRight w:val="0"/>
      <w:marTop w:val="0"/>
      <w:marBottom w:val="0"/>
      <w:divBdr>
        <w:top w:val="none" w:sz="0" w:space="0" w:color="auto"/>
        <w:left w:val="none" w:sz="0" w:space="0" w:color="auto"/>
        <w:bottom w:val="none" w:sz="0" w:space="0" w:color="auto"/>
        <w:right w:val="none" w:sz="0" w:space="0" w:color="auto"/>
      </w:divBdr>
    </w:div>
    <w:div w:id="1207451966">
      <w:bodyDiv w:val="1"/>
      <w:marLeft w:val="0"/>
      <w:marRight w:val="0"/>
      <w:marTop w:val="0"/>
      <w:marBottom w:val="0"/>
      <w:divBdr>
        <w:top w:val="none" w:sz="0" w:space="0" w:color="auto"/>
        <w:left w:val="none" w:sz="0" w:space="0" w:color="auto"/>
        <w:bottom w:val="none" w:sz="0" w:space="0" w:color="auto"/>
        <w:right w:val="none" w:sz="0" w:space="0" w:color="auto"/>
      </w:divBdr>
    </w:div>
    <w:div w:id="1208450128">
      <w:bodyDiv w:val="1"/>
      <w:marLeft w:val="0"/>
      <w:marRight w:val="0"/>
      <w:marTop w:val="0"/>
      <w:marBottom w:val="0"/>
      <w:divBdr>
        <w:top w:val="none" w:sz="0" w:space="0" w:color="auto"/>
        <w:left w:val="none" w:sz="0" w:space="0" w:color="auto"/>
        <w:bottom w:val="none" w:sz="0" w:space="0" w:color="auto"/>
        <w:right w:val="none" w:sz="0" w:space="0" w:color="auto"/>
      </w:divBdr>
    </w:div>
    <w:div w:id="1214735140">
      <w:bodyDiv w:val="1"/>
      <w:marLeft w:val="0"/>
      <w:marRight w:val="0"/>
      <w:marTop w:val="0"/>
      <w:marBottom w:val="0"/>
      <w:divBdr>
        <w:top w:val="none" w:sz="0" w:space="0" w:color="auto"/>
        <w:left w:val="none" w:sz="0" w:space="0" w:color="auto"/>
        <w:bottom w:val="none" w:sz="0" w:space="0" w:color="auto"/>
        <w:right w:val="none" w:sz="0" w:space="0" w:color="auto"/>
      </w:divBdr>
    </w:div>
    <w:div w:id="1214849554">
      <w:bodyDiv w:val="1"/>
      <w:marLeft w:val="0"/>
      <w:marRight w:val="0"/>
      <w:marTop w:val="0"/>
      <w:marBottom w:val="0"/>
      <w:divBdr>
        <w:top w:val="none" w:sz="0" w:space="0" w:color="auto"/>
        <w:left w:val="none" w:sz="0" w:space="0" w:color="auto"/>
        <w:bottom w:val="none" w:sz="0" w:space="0" w:color="auto"/>
        <w:right w:val="none" w:sz="0" w:space="0" w:color="auto"/>
      </w:divBdr>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
    <w:div w:id="1218972379">
      <w:bodyDiv w:val="1"/>
      <w:marLeft w:val="0"/>
      <w:marRight w:val="0"/>
      <w:marTop w:val="0"/>
      <w:marBottom w:val="0"/>
      <w:divBdr>
        <w:top w:val="none" w:sz="0" w:space="0" w:color="auto"/>
        <w:left w:val="none" w:sz="0" w:space="0" w:color="auto"/>
        <w:bottom w:val="none" w:sz="0" w:space="0" w:color="auto"/>
        <w:right w:val="none" w:sz="0" w:space="0" w:color="auto"/>
      </w:divBdr>
    </w:div>
    <w:div w:id="1219634421">
      <w:bodyDiv w:val="1"/>
      <w:marLeft w:val="0"/>
      <w:marRight w:val="0"/>
      <w:marTop w:val="0"/>
      <w:marBottom w:val="0"/>
      <w:divBdr>
        <w:top w:val="none" w:sz="0" w:space="0" w:color="auto"/>
        <w:left w:val="none" w:sz="0" w:space="0" w:color="auto"/>
        <w:bottom w:val="none" w:sz="0" w:space="0" w:color="auto"/>
        <w:right w:val="none" w:sz="0" w:space="0" w:color="auto"/>
      </w:divBdr>
    </w:div>
    <w:div w:id="1219710725">
      <w:bodyDiv w:val="1"/>
      <w:marLeft w:val="0"/>
      <w:marRight w:val="0"/>
      <w:marTop w:val="0"/>
      <w:marBottom w:val="0"/>
      <w:divBdr>
        <w:top w:val="none" w:sz="0" w:space="0" w:color="auto"/>
        <w:left w:val="none" w:sz="0" w:space="0" w:color="auto"/>
        <w:bottom w:val="none" w:sz="0" w:space="0" w:color="auto"/>
        <w:right w:val="none" w:sz="0" w:space="0" w:color="auto"/>
      </w:divBdr>
    </w:div>
    <w:div w:id="1223060247">
      <w:bodyDiv w:val="1"/>
      <w:marLeft w:val="0"/>
      <w:marRight w:val="0"/>
      <w:marTop w:val="0"/>
      <w:marBottom w:val="0"/>
      <w:divBdr>
        <w:top w:val="none" w:sz="0" w:space="0" w:color="auto"/>
        <w:left w:val="none" w:sz="0" w:space="0" w:color="auto"/>
        <w:bottom w:val="none" w:sz="0" w:space="0" w:color="auto"/>
        <w:right w:val="none" w:sz="0" w:space="0" w:color="auto"/>
      </w:divBdr>
    </w:div>
    <w:div w:id="1226989765">
      <w:bodyDiv w:val="1"/>
      <w:marLeft w:val="0"/>
      <w:marRight w:val="0"/>
      <w:marTop w:val="0"/>
      <w:marBottom w:val="0"/>
      <w:divBdr>
        <w:top w:val="none" w:sz="0" w:space="0" w:color="auto"/>
        <w:left w:val="none" w:sz="0" w:space="0" w:color="auto"/>
        <w:bottom w:val="none" w:sz="0" w:space="0" w:color="auto"/>
        <w:right w:val="none" w:sz="0" w:space="0" w:color="auto"/>
      </w:divBdr>
    </w:div>
    <w:div w:id="1227689225">
      <w:bodyDiv w:val="1"/>
      <w:marLeft w:val="0"/>
      <w:marRight w:val="0"/>
      <w:marTop w:val="0"/>
      <w:marBottom w:val="0"/>
      <w:divBdr>
        <w:top w:val="none" w:sz="0" w:space="0" w:color="auto"/>
        <w:left w:val="none" w:sz="0" w:space="0" w:color="auto"/>
        <w:bottom w:val="none" w:sz="0" w:space="0" w:color="auto"/>
        <w:right w:val="none" w:sz="0" w:space="0" w:color="auto"/>
      </w:divBdr>
    </w:div>
    <w:div w:id="1232034278">
      <w:bodyDiv w:val="1"/>
      <w:marLeft w:val="0"/>
      <w:marRight w:val="0"/>
      <w:marTop w:val="0"/>
      <w:marBottom w:val="0"/>
      <w:divBdr>
        <w:top w:val="none" w:sz="0" w:space="0" w:color="auto"/>
        <w:left w:val="none" w:sz="0" w:space="0" w:color="auto"/>
        <w:bottom w:val="none" w:sz="0" w:space="0" w:color="auto"/>
        <w:right w:val="none" w:sz="0" w:space="0" w:color="auto"/>
      </w:divBdr>
    </w:div>
    <w:div w:id="1234657236">
      <w:bodyDiv w:val="1"/>
      <w:marLeft w:val="0"/>
      <w:marRight w:val="0"/>
      <w:marTop w:val="0"/>
      <w:marBottom w:val="0"/>
      <w:divBdr>
        <w:top w:val="none" w:sz="0" w:space="0" w:color="auto"/>
        <w:left w:val="none" w:sz="0" w:space="0" w:color="auto"/>
        <w:bottom w:val="none" w:sz="0" w:space="0" w:color="auto"/>
        <w:right w:val="none" w:sz="0" w:space="0" w:color="auto"/>
      </w:divBdr>
    </w:div>
    <w:div w:id="1234894872">
      <w:bodyDiv w:val="1"/>
      <w:marLeft w:val="0"/>
      <w:marRight w:val="0"/>
      <w:marTop w:val="0"/>
      <w:marBottom w:val="0"/>
      <w:divBdr>
        <w:top w:val="none" w:sz="0" w:space="0" w:color="auto"/>
        <w:left w:val="none" w:sz="0" w:space="0" w:color="auto"/>
        <w:bottom w:val="none" w:sz="0" w:space="0" w:color="auto"/>
        <w:right w:val="none" w:sz="0" w:space="0" w:color="auto"/>
      </w:divBdr>
    </w:div>
    <w:div w:id="1235820138">
      <w:bodyDiv w:val="1"/>
      <w:marLeft w:val="0"/>
      <w:marRight w:val="0"/>
      <w:marTop w:val="0"/>
      <w:marBottom w:val="0"/>
      <w:divBdr>
        <w:top w:val="none" w:sz="0" w:space="0" w:color="auto"/>
        <w:left w:val="none" w:sz="0" w:space="0" w:color="auto"/>
        <w:bottom w:val="none" w:sz="0" w:space="0" w:color="auto"/>
        <w:right w:val="none" w:sz="0" w:space="0" w:color="auto"/>
      </w:divBdr>
    </w:div>
    <w:div w:id="1236742131">
      <w:bodyDiv w:val="1"/>
      <w:marLeft w:val="0"/>
      <w:marRight w:val="0"/>
      <w:marTop w:val="0"/>
      <w:marBottom w:val="0"/>
      <w:divBdr>
        <w:top w:val="none" w:sz="0" w:space="0" w:color="auto"/>
        <w:left w:val="none" w:sz="0" w:space="0" w:color="auto"/>
        <w:bottom w:val="none" w:sz="0" w:space="0" w:color="auto"/>
        <w:right w:val="none" w:sz="0" w:space="0" w:color="auto"/>
      </w:divBdr>
    </w:div>
    <w:div w:id="1238831597">
      <w:bodyDiv w:val="1"/>
      <w:marLeft w:val="0"/>
      <w:marRight w:val="0"/>
      <w:marTop w:val="0"/>
      <w:marBottom w:val="0"/>
      <w:divBdr>
        <w:top w:val="none" w:sz="0" w:space="0" w:color="auto"/>
        <w:left w:val="none" w:sz="0" w:space="0" w:color="auto"/>
        <w:bottom w:val="none" w:sz="0" w:space="0" w:color="auto"/>
        <w:right w:val="none" w:sz="0" w:space="0" w:color="auto"/>
      </w:divBdr>
    </w:div>
    <w:div w:id="1241520511">
      <w:bodyDiv w:val="1"/>
      <w:marLeft w:val="0"/>
      <w:marRight w:val="0"/>
      <w:marTop w:val="0"/>
      <w:marBottom w:val="0"/>
      <w:divBdr>
        <w:top w:val="none" w:sz="0" w:space="0" w:color="auto"/>
        <w:left w:val="none" w:sz="0" w:space="0" w:color="auto"/>
        <w:bottom w:val="none" w:sz="0" w:space="0" w:color="auto"/>
        <w:right w:val="none" w:sz="0" w:space="0" w:color="auto"/>
      </w:divBdr>
    </w:div>
    <w:div w:id="1242444041">
      <w:bodyDiv w:val="1"/>
      <w:marLeft w:val="0"/>
      <w:marRight w:val="0"/>
      <w:marTop w:val="0"/>
      <w:marBottom w:val="0"/>
      <w:divBdr>
        <w:top w:val="none" w:sz="0" w:space="0" w:color="auto"/>
        <w:left w:val="none" w:sz="0" w:space="0" w:color="auto"/>
        <w:bottom w:val="none" w:sz="0" w:space="0" w:color="auto"/>
        <w:right w:val="none" w:sz="0" w:space="0" w:color="auto"/>
      </w:divBdr>
    </w:div>
    <w:div w:id="1249654752">
      <w:bodyDiv w:val="1"/>
      <w:marLeft w:val="0"/>
      <w:marRight w:val="0"/>
      <w:marTop w:val="0"/>
      <w:marBottom w:val="0"/>
      <w:divBdr>
        <w:top w:val="none" w:sz="0" w:space="0" w:color="auto"/>
        <w:left w:val="none" w:sz="0" w:space="0" w:color="auto"/>
        <w:bottom w:val="none" w:sz="0" w:space="0" w:color="auto"/>
        <w:right w:val="none" w:sz="0" w:space="0" w:color="auto"/>
      </w:divBdr>
    </w:div>
    <w:div w:id="1250388966">
      <w:bodyDiv w:val="1"/>
      <w:marLeft w:val="0"/>
      <w:marRight w:val="0"/>
      <w:marTop w:val="0"/>
      <w:marBottom w:val="0"/>
      <w:divBdr>
        <w:top w:val="none" w:sz="0" w:space="0" w:color="auto"/>
        <w:left w:val="none" w:sz="0" w:space="0" w:color="auto"/>
        <w:bottom w:val="none" w:sz="0" w:space="0" w:color="auto"/>
        <w:right w:val="none" w:sz="0" w:space="0" w:color="auto"/>
      </w:divBdr>
    </w:div>
    <w:div w:id="1252743288">
      <w:bodyDiv w:val="1"/>
      <w:marLeft w:val="0"/>
      <w:marRight w:val="0"/>
      <w:marTop w:val="0"/>
      <w:marBottom w:val="0"/>
      <w:divBdr>
        <w:top w:val="none" w:sz="0" w:space="0" w:color="auto"/>
        <w:left w:val="none" w:sz="0" w:space="0" w:color="auto"/>
        <w:bottom w:val="none" w:sz="0" w:space="0" w:color="auto"/>
        <w:right w:val="none" w:sz="0" w:space="0" w:color="auto"/>
      </w:divBdr>
    </w:div>
    <w:div w:id="1254167307">
      <w:bodyDiv w:val="1"/>
      <w:marLeft w:val="0"/>
      <w:marRight w:val="0"/>
      <w:marTop w:val="0"/>
      <w:marBottom w:val="0"/>
      <w:divBdr>
        <w:top w:val="none" w:sz="0" w:space="0" w:color="auto"/>
        <w:left w:val="none" w:sz="0" w:space="0" w:color="auto"/>
        <w:bottom w:val="none" w:sz="0" w:space="0" w:color="auto"/>
        <w:right w:val="none" w:sz="0" w:space="0" w:color="auto"/>
      </w:divBdr>
    </w:div>
    <w:div w:id="1256591809">
      <w:bodyDiv w:val="1"/>
      <w:marLeft w:val="0"/>
      <w:marRight w:val="0"/>
      <w:marTop w:val="0"/>
      <w:marBottom w:val="0"/>
      <w:divBdr>
        <w:top w:val="none" w:sz="0" w:space="0" w:color="auto"/>
        <w:left w:val="none" w:sz="0" w:space="0" w:color="auto"/>
        <w:bottom w:val="none" w:sz="0" w:space="0" w:color="auto"/>
        <w:right w:val="none" w:sz="0" w:space="0" w:color="auto"/>
      </w:divBdr>
    </w:div>
    <w:div w:id="1259093436">
      <w:bodyDiv w:val="1"/>
      <w:marLeft w:val="0"/>
      <w:marRight w:val="0"/>
      <w:marTop w:val="0"/>
      <w:marBottom w:val="0"/>
      <w:divBdr>
        <w:top w:val="none" w:sz="0" w:space="0" w:color="auto"/>
        <w:left w:val="none" w:sz="0" w:space="0" w:color="auto"/>
        <w:bottom w:val="none" w:sz="0" w:space="0" w:color="auto"/>
        <w:right w:val="none" w:sz="0" w:space="0" w:color="auto"/>
      </w:divBdr>
    </w:div>
    <w:div w:id="1261373988">
      <w:bodyDiv w:val="1"/>
      <w:marLeft w:val="0"/>
      <w:marRight w:val="0"/>
      <w:marTop w:val="0"/>
      <w:marBottom w:val="0"/>
      <w:divBdr>
        <w:top w:val="none" w:sz="0" w:space="0" w:color="auto"/>
        <w:left w:val="none" w:sz="0" w:space="0" w:color="auto"/>
        <w:bottom w:val="none" w:sz="0" w:space="0" w:color="auto"/>
        <w:right w:val="none" w:sz="0" w:space="0" w:color="auto"/>
      </w:divBdr>
    </w:div>
    <w:div w:id="1266115278">
      <w:bodyDiv w:val="1"/>
      <w:marLeft w:val="0"/>
      <w:marRight w:val="0"/>
      <w:marTop w:val="0"/>
      <w:marBottom w:val="0"/>
      <w:divBdr>
        <w:top w:val="none" w:sz="0" w:space="0" w:color="auto"/>
        <w:left w:val="none" w:sz="0" w:space="0" w:color="auto"/>
        <w:bottom w:val="none" w:sz="0" w:space="0" w:color="auto"/>
        <w:right w:val="none" w:sz="0" w:space="0" w:color="auto"/>
      </w:divBdr>
    </w:div>
    <w:div w:id="1267424976">
      <w:bodyDiv w:val="1"/>
      <w:marLeft w:val="0"/>
      <w:marRight w:val="0"/>
      <w:marTop w:val="0"/>
      <w:marBottom w:val="0"/>
      <w:divBdr>
        <w:top w:val="none" w:sz="0" w:space="0" w:color="auto"/>
        <w:left w:val="none" w:sz="0" w:space="0" w:color="auto"/>
        <w:bottom w:val="none" w:sz="0" w:space="0" w:color="auto"/>
        <w:right w:val="none" w:sz="0" w:space="0" w:color="auto"/>
      </w:divBdr>
    </w:div>
    <w:div w:id="1273975647">
      <w:bodyDiv w:val="1"/>
      <w:marLeft w:val="0"/>
      <w:marRight w:val="0"/>
      <w:marTop w:val="0"/>
      <w:marBottom w:val="0"/>
      <w:divBdr>
        <w:top w:val="none" w:sz="0" w:space="0" w:color="auto"/>
        <w:left w:val="none" w:sz="0" w:space="0" w:color="auto"/>
        <w:bottom w:val="none" w:sz="0" w:space="0" w:color="auto"/>
        <w:right w:val="none" w:sz="0" w:space="0" w:color="auto"/>
      </w:divBdr>
    </w:div>
    <w:div w:id="1276209472">
      <w:bodyDiv w:val="1"/>
      <w:marLeft w:val="0"/>
      <w:marRight w:val="0"/>
      <w:marTop w:val="0"/>
      <w:marBottom w:val="0"/>
      <w:divBdr>
        <w:top w:val="none" w:sz="0" w:space="0" w:color="auto"/>
        <w:left w:val="none" w:sz="0" w:space="0" w:color="auto"/>
        <w:bottom w:val="none" w:sz="0" w:space="0" w:color="auto"/>
        <w:right w:val="none" w:sz="0" w:space="0" w:color="auto"/>
      </w:divBdr>
    </w:div>
    <w:div w:id="1281454145">
      <w:bodyDiv w:val="1"/>
      <w:marLeft w:val="0"/>
      <w:marRight w:val="0"/>
      <w:marTop w:val="0"/>
      <w:marBottom w:val="0"/>
      <w:divBdr>
        <w:top w:val="none" w:sz="0" w:space="0" w:color="auto"/>
        <w:left w:val="none" w:sz="0" w:space="0" w:color="auto"/>
        <w:bottom w:val="none" w:sz="0" w:space="0" w:color="auto"/>
        <w:right w:val="none" w:sz="0" w:space="0" w:color="auto"/>
      </w:divBdr>
    </w:div>
    <w:div w:id="1281834892">
      <w:bodyDiv w:val="1"/>
      <w:marLeft w:val="0"/>
      <w:marRight w:val="0"/>
      <w:marTop w:val="0"/>
      <w:marBottom w:val="0"/>
      <w:divBdr>
        <w:top w:val="none" w:sz="0" w:space="0" w:color="auto"/>
        <w:left w:val="none" w:sz="0" w:space="0" w:color="auto"/>
        <w:bottom w:val="none" w:sz="0" w:space="0" w:color="auto"/>
        <w:right w:val="none" w:sz="0" w:space="0" w:color="auto"/>
      </w:divBdr>
    </w:div>
    <w:div w:id="1282686861">
      <w:bodyDiv w:val="1"/>
      <w:marLeft w:val="0"/>
      <w:marRight w:val="0"/>
      <w:marTop w:val="0"/>
      <w:marBottom w:val="0"/>
      <w:divBdr>
        <w:top w:val="none" w:sz="0" w:space="0" w:color="auto"/>
        <w:left w:val="none" w:sz="0" w:space="0" w:color="auto"/>
        <w:bottom w:val="none" w:sz="0" w:space="0" w:color="auto"/>
        <w:right w:val="none" w:sz="0" w:space="0" w:color="auto"/>
      </w:divBdr>
    </w:div>
    <w:div w:id="1284074176">
      <w:bodyDiv w:val="1"/>
      <w:marLeft w:val="0"/>
      <w:marRight w:val="0"/>
      <w:marTop w:val="0"/>
      <w:marBottom w:val="0"/>
      <w:divBdr>
        <w:top w:val="none" w:sz="0" w:space="0" w:color="auto"/>
        <w:left w:val="none" w:sz="0" w:space="0" w:color="auto"/>
        <w:bottom w:val="none" w:sz="0" w:space="0" w:color="auto"/>
        <w:right w:val="none" w:sz="0" w:space="0" w:color="auto"/>
      </w:divBdr>
    </w:div>
    <w:div w:id="1289051244">
      <w:bodyDiv w:val="1"/>
      <w:marLeft w:val="0"/>
      <w:marRight w:val="0"/>
      <w:marTop w:val="0"/>
      <w:marBottom w:val="0"/>
      <w:divBdr>
        <w:top w:val="none" w:sz="0" w:space="0" w:color="auto"/>
        <w:left w:val="none" w:sz="0" w:space="0" w:color="auto"/>
        <w:bottom w:val="none" w:sz="0" w:space="0" w:color="auto"/>
        <w:right w:val="none" w:sz="0" w:space="0" w:color="auto"/>
      </w:divBdr>
    </w:div>
    <w:div w:id="1293168112">
      <w:bodyDiv w:val="1"/>
      <w:marLeft w:val="0"/>
      <w:marRight w:val="0"/>
      <w:marTop w:val="0"/>
      <w:marBottom w:val="0"/>
      <w:divBdr>
        <w:top w:val="none" w:sz="0" w:space="0" w:color="auto"/>
        <w:left w:val="none" w:sz="0" w:space="0" w:color="auto"/>
        <w:bottom w:val="none" w:sz="0" w:space="0" w:color="auto"/>
        <w:right w:val="none" w:sz="0" w:space="0" w:color="auto"/>
      </w:divBdr>
    </w:div>
    <w:div w:id="1293712205">
      <w:bodyDiv w:val="1"/>
      <w:marLeft w:val="0"/>
      <w:marRight w:val="0"/>
      <w:marTop w:val="0"/>
      <w:marBottom w:val="0"/>
      <w:divBdr>
        <w:top w:val="none" w:sz="0" w:space="0" w:color="auto"/>
        <w:left w:val="none" w:sz="0" w:space="0" w:color="auto"/>
        <w:bottom w:val="none" w:sz="0" w:space="0" w:color="auto"/>
        <w:right w:val="none" w:sz="0" w:space="0" w:color="auto"/>
      </w:divBdr>
    </w:div>
    <w:div w:id="1298493276">
      <w:bodyDiv w:val="1"/>
      <w:marLeft w:val="0"/>
      <w:marRight w:val="0"/>
      <w:marTop w:val="0"/>
      <w:marBottom w:val="0"/>
      <w:divBdr>
        <w:top w:val="none" w:sz="0" w:space="0" w:color="auto"/>
        <w:left w:val="none" w:sz="0" w:space="0" w:color="auto"/>
        <w:bottom w:val="none" w:sz="0" w:space="0" w:color="auto"/>
        <w:right w:val="none" w:sz="0" w:space="0" w:color="auto"/>
      </w:divBdr>
    </w:div>
    <w:div w:id="1301155593">
      <w:bodyDiv w:val="1"/>
      <w:marLeft w:val="0"/>
      <w:marRight w:val="0"/>
      <w:marTop w:val="0"/>
      <w:marBottom w:val="0"/>
      <w:divBdr>
        <w:top w:val="none" w:sz="0" w:space="0" w:color="auto"/>
        <w:left w:val="none" w:sz="0" w:space="0" w:color="auto"/>
        <w:bottom w:val="none" w:sz="0" w:space="0" w:color="auto"/>
        <w:right w:val="none" w:sz="0" w:space="0" w:color="auto"/>
      </w:divBdr>
    </w:div>
    <w:div w:id="1304198445">
      <w:bodyDiv w:val="1"/>
      <w:marLeft w:val="0"/>
      <w:marRight w:val="0"/>
      <w:marTop w:val="0"/>
      <w:marBottom w:val="0"/>
      <w:divBdr>
        <w:top w:val="none" w:sz="0" w:space="0" w:color="auto"/>
        <w:left w:val="none" w:sz="0" w:space="0" w:color="auto"/>
        <w:bottom w:val="none" w:sz="0" w:space="0" w:color="auto"/>
        <w:right w:val="none" w:sz="0" w:space="0" w:color="auto"/>
      </w:divBdr>
    </w:div>
    <w:div w:id="1305037981">
      <w:bodyDiv w:val="1"/>
      <w:marLeft w:val="0"/>
      <w:marRight w:val="0"/>
      <w:marTop w:val="0"/>
      <w:marBottom w:val="0"/>
      <w:divBdr>
        <w:top w:val="none" w:sz="0" w:space="0" w:color="auto"/>
        <w:left w:val="none" w:sz="0" w:space="0" w:color="auto"/>
        <w:bottom w:val="none" w:sz="0" w:space="0" w:color="auto"/>
        <w:right w:val="none" w:sz="0" w:space="0" w:color="auto"/>
      </w:divBdr>
    </w:div>
    <w:div w:id="1309243072">
      <w:bodyDiv w:val="1"/>
      <w:marLeft w:val="0"/>
      <w:marRight w:val="0"/>
      <w:marTop w:val="0"/>
      <w:marBottom w:val="0"/>
      <w:divBdr>
        <w:top w:val="none" w:sz="0" w:space="0" w:color="auto"/>
        <w:left w:val="none" w:sz="0" w:space="0" w:color="auto"/>
        <w:bottom w:val="none" w:sz="0" w:space="0" w:color="auto"/>
        <w:right w:val="none" w:sz="0" w:space="0" w:color="auto"/>
      </w:divBdr>
    </w:div>
    <w:div w:id="1310094126">
      <w:bodyDiv w:val="1"/>
      <w:marLeft w:val="0"/>
      <w:marRight w:val="0"/>
      <w:marTop w:val="0"/>
      <w:marBottom w:val="0"/>
      <w:divBdr>
        <w:top w:val="none" w:sz="0" w:space="0" w:color="auto"/>
        <w:left w:val="none" w:sz="0" w:space="0" w:color="auto"/>
        <w:bottom w:val="none" w:sz="0" w:space="0" w:color="auto"/>
        <w:right w:val="none" w:sz="0" w:space="0" w:color="auto"/>
      </w:divBdr>
    </w:div>
    <w:div w:id="1312490582">
      <w:bodyDiv w:val="1"/>
      <w:marLeft w:val="0"/>
      <w:marRight w:val="0"/>
      <w:marTop w:val="0"/>
      <w:marBottom w:val="0"/>
      <w:divBdr>
        <w:top w:val="none" w:sz="0" w:space="0" w:color="auto"/>
        <w:left w:val="none" w:sz="0" w:space="0" w:color="auto"/>
        <w:bottom w:val="none" w:sz="0" w:space="0" w:color="auto"/>
        <w:right w:val="none" w:sz="0" w:space="0" w:color="auto"/>
      </w:divBdr>
    </w:div>
    <w:div w:id="1315643574">
      <w:bodyDiv w:val="1"/>
      <w:marLeft w:val="0"/>
      <w:marRight w:val="0"/>
      <w:marTop w:val="0"/>
      <w:marBottom w:val="0"/>
      <w:divBdr>
        <w:top w:val="none" w:sz="0" w:space="0" w:color="auto"/>
        <w:left w:val="none" w:sz="0" w:space="0" w:color="auto"/>
        <w:bottom w:val="none" w:sz="0" w:space="0" w:color="auto"/>
        <w:right w:val="none" w:sz="0" w:space="0" w:color="auto"/>
      </w:divBdr>
    </w:div>
    <w:div w:id="1316565613">
      <w:bodyDiv w:val="1"/>
      <w:marLeft w:val="0"/>
      <w:marRight w:val="0"/>
      <w:marTop w:val="0"/>
      <w:marBottom w:val="0"/>
      <w:divBdr>
        <w:top w:val="none" w:sz="0" w:space="0" w:color="auto"/>
        <w:left w:val="none" w:sz="0" w:space="0" w:color="auto"/>
        <w:bottom w:val="none" w:sz="0" w:space="0" w:color="auto"/>
        <w:right w:val="none" w:sz="0" w:space="0" w:color="auto"/>
      </w:divBdr>
    </w:div>
    <w:div w:id="1326009820">
      <w:bodyDiv w:val="1"/>
      <w:marLeft w:val="0"/>
      <w:marRight w:val="0"/>
      <w:marTop w:val="0"/>
      <w:marBottom w:val="0"/>
      <w:divBdr>
        <w:top w:val="none" w:sz="0" w:space="0" w:color="auto"/>
        <w:left w:val="none" w:sz="0" w:space="0" w:color="auto"/>
        <w:bottom w:val="none" w:sz="0" w:space="0" w:color="auto"/>
        <w:right w:val="none" w:sz="0" w:space="0" w:color="auto"/>
      </w:divBdr>
    </w:div>
    <w:div w:id="1326938371">
      <w:bodyDiv w:val="1"/>
      <w:marLeft w:val="0"/>
      <w:marRight w:val="0"/>
      <w:marTop w:val="0"/>
      <w:marBottom w:val="0"/>
      <w:divBdr>
        <w:top w:val="none" w:sz="0" w:space="0" w:color="auto"/>
        <w:left w:val="none" w:sz="0" w:space="0" w:color="auto"/>
        <w:bottom w:val="none" w:sz="0" w:space="0" w:color="auto"/>
        <w:right w:val="none" w:sz="0" w:space="0" w:color="auto"/>
      </w:divBdr>
    </w:div>
    <w:div w:id="1328509531">
      <w:bodyDiv w:val="1"/>
      <w:marLeft w:val="0"/>
      <w:marRight w:val="0"/>
      <w:marTop w:val="0"/>
      <w:marBottom w:val="0"/>
      <w:divBdr>
        <w:top w:val="none" w:sz="0" w:space="0" w:color="auto"/>
        <w:left w:val="none" w:sz="0" w:space="0" w:color="auto"/>
        <w:bottom w:val="none" w:sz="0" w:space="0" w:color="auto"/>
        <w:right w:val="none" w:sz="0" w:space="0" w:color="auto"/>
      </w:divBdr>
    </w:div>
    <w:div w:id="1328512120">
      <w:bodyDiv w:val="1"/>
      <w:marLeft w:val="0"/>
      <w:marRight w:val="0"/>
      <w:marTop w:val="0"/>
      <w:marBottom w:val="0"/>
      <w:divBdr>
        <w:top w:val="none" w:sz="0" w:space="0" w:color="auto"/>
        <w:left w:val="none" w:sz="0" w:space="0" w:color="auto"/>
        <w:bottom w:val="none" w:sz="0" w:space="0" w:color="auto"/>
        <w:right w:val="none" w:sz="0" w:space="0" w:color="auto"/>
      </w:divBdr>
    </w:div>
    <w:div w:id="1333028588">
      <w:bodyDiv w:val="1"/>
      <w:marLeft w:val="0"/>
      <w:marRight w:val="0"/>
      <w:marTop w:val="0"/>
      <w:marBottom w:val="0"/>
      <w:divBdr>
        <w:top w:val="none" w:sz="0" w:space="0" w:color="auto"/>
        <w:left w:val="none" w:sz="0" w:space="0" w:color="auto"/>
        <w:bottom w:val="none" w:sz="0" w:space="0" w:color="auto"/>
        <w:right w:val="none" w:sz="0" w:space="0" w:color="auto"/>
      </w:divBdr>
      <w:divsChild>
        <w:div w:id="1208879597">
          <w:marLeft w:val="0"/>
          <w:marRight w:val="0"/>
          <w:marTop w:val="0"/>
          <w:marBottom w:val="0"/>
          <w:divBdr>
            <w:top w:val="none" w:sz="0" w:space="0" w:color="auto"/>
            <w:left w:val="none" w:sz="0" w:space="0" w:color="auto"/>
            <w:bottom w:val="none" w:sz="0" w:space="0" w:color="auto"/>
            <w:right w:val="none" w:sz="0" w:space="0" w:color="auto"/>
          </w:divBdr>
        </w:div>
      </w:divsChild>
    </w:div>
    <w:div w:id="1333952440">
      <w:bodyDiv w:val="1"/>
      <w:marLeft w:val="0"/>
      <w:marRight w:val="0"/>
      <w:marTop w:val="0"/>
      <w:marBottom w:val="0"/>
      <w:divBdr>
        <w:top w:val="none" w:sz="0" w:space="0" w:color="auto"/>
        <w:left w:val="none" w:sz="0" w:space="0" w:color="auto"/>
        <w:bottom w:val="none" w:sz="0" w:space="0" w:color="auto"/>
        <w:right w:val="none" w:sz="0" w:space="0" w:color="auto"/>
      </w:divBdr>
    </w:div>
    <w:div w:id="1336685235">
      <w:bodyDiv w:val="1"/>
      <w:marLeft w:val="0"/>
      <w:marRight w:val="0"/>
      <w:marTop w:val="0"/>
      <w:marBottom w:val="0"/>
      <w:divBdr>
        <w:top w:val="none" w:sz="0" w:space="0" w:color="auto"/>
        <w:left w:val="none" w:sz="0" w:space="0" w:color="auto"/>
        <w:bottom w:val="none" w:sz="0" w:space="0" w:color="auto"/>
        <w:right w:val="none" w:sz="0" w:space="0" w:color="auto"/>
      </w:divBdr>
    </w:div>
    <w:div w:id="1344169075">
      <w:bodyDiv w:val="1"/>
      <w:marLeft w:val="0"/>
      <w:marRight w:val="0"/>
      <w:marTop w:val="0"/>
      <w:marBottom w:val="0"/>
      <w:divBdr>
        <w:top w:val="none" w:sz="0" w:space="0" w:color="auto"/>
        <w:left w:val="none" w:sz="0" w:space="0" w:color="auto"/>
        <w:bottom w:val="none" w:sz="0" w:space="0" w:color="auto"/>
        <w:right w:val="none" w:sz="0" w:space="0" w:color="auto"/>
      </w:divBdr>
    </w:div>
    <w:div w:id="1345670078">
      <w:bodyDiv w:val="1"/>
      <w:marLeft w:val="0"/>
      <w:marRight w:val="0"/>
      <w:marTop w:val="0"/>
      <w:marBottom w:val="0"/>
      <w:divBdr>
        <w:top w:val="none" w:sz="0" w:space="0" w:color="auto"/>
        <w:left w:val="none" w:sz="0" w:space="0" w:color="auto"/>
        <w:bottom w:val="none" w:sz="0" w:space="0" w:color="auto"/>
        <w:right w:val="none" w:sz="0" w:space="0" w:color="auto"/>
      </w:divBdr>
    </w:div>
    <w:div w:id="1347292890">
      <w:bodyDiv w:val="1"/>
      <w:marLeft w:val="0"/>
      <w:marRight w:val="0"/>
      <w:marTop w:val="0"/>
      <w:marBottom w:val="0"/>
      <w:divBdr>
        <w:top w:val="none" w:sz="0" w:space="0" w:color="auto"/>
        <w:left w:val="none" w:sz="0" w:space="0" w:color="auto"/>
        <w:bottom w:val="none" w:sz="0" w:space="0" w:color="auto"/>
        <w:right w:val="none" w:sz="0" w:space="0" w:color="auto"/>
      </w:divBdr>
    </w:div>
    <w:div w:id="1348365441">
      <w:bodyDiv w:val="1"/>
      <w:marLeft w:val="0"/>
      <w:marRight w:val="0"/>
      <w:marTop w:val="0"/>
      <w:marBottom w:val="0"/>
      <w:divBdr>
        <w:top w:val="none" w:sz="0" w:space="0" w:color="auto"/>
        <w:left w:val="none" w:sz="0" w:space="0" w:color="auto"/>
        <w:bottom w:val="none" w:sz="0" w:space="0" w:color="auto"/>
        <w:right w:val="none" w:sz="0" w:space="0" w:color="auto"/>
      </w:divBdr>
    </w:div>
    <w:div w:id="1349019499">
      <w:bodyDiv w:val="1"/>
      <w:marLeft w:val="0"/>
      <w:marRight w:val="0"/>
      <w:marTop w:val="0"/>
      <w:marBottom w:val="0"/>
      <w:divBdr>
        <w:top w:val="none" w:sz="0" w:space="0" w:color="auto"/>
        <w:left w:val="none" w:sz="0" w:space="0" w:color="auto"/>
        <w:bottom w:val="none" w:sz="0" w:space="0" w:color="auto"/>
        <w:right w:val="none" w:sz="0" w:space="0" w:color="auto"/>
      </w:divBdr>
    </w:div>
    <w:div w:id="1351830513">
      <w:bodyDiv w:val="1"/>
      <w:marLeft w:val="0"/>
      <w:marRight w:val="0"/>
      <w:marTop w:val="0"/>
      <w:marBottom w:val="0"/>
      <w:divBdr>
        <w:top w:val="none" w:sz="0" w:space="0" w:color="auto"/>
        <w:left w:val="none" w:sz="0" w:space="0" w:color="auto"/>
        <w:bottom w:val="none" w:sz="0" w:space="0" w:color="auto"/>
        <w:right w:val="none" w:sz="0" w:space="0" w:color="auto"/>
      </w:divBdr>
    </w:div>
    <w:div w:id="1351839703">
      <w:bodyDiv w:val="1"/>
      <w:marLeft w:val="0"/>
      <w:marRight w:val="0"/>
      <w:marTop w:val="0"/>
      <w:marBottom w:val="0"/>
      <w:divBdr>
        <w:top w:val="none" w:sz="0" w:space="0" w:color="auto"/>
        <w:left w:val="none" w:sz="0" w:space="0" w:color="auto"/>
        <w:bottom w:val="none" w:sz="0" w:space="0" w:color="auto"/>
        <w:right w:val="none" w:sz="0" w:space="0" w:color="auto"/>
      </w:divBdr>
    </w:div>
    <w:div w:id="1353997456">
      <w:bodyDiv w:val="1"/>
      <w:marLeft w:val="0"/>
      <w:marRight w:val="0"/>
      <w:marTop w:val="0"/>
      <w:marBottom w:val="0"/>
      <w:divBdr>
        <w:top w:val="none" w:sz="0" w:space="0" w:color="auto"/>
        <w:left w:val="none" w:sz="0" w:space="0" w:color="auto"/>
        <w:bottom w:val="none" w:sz="0" w:space="0" w:color="auto"/>
        <w:right w:val="none" w:sz="0" w:space="0" w:color="auto"/>
      </w:divBdr>
    </w:div>
    <w:div w:id="1354766541">
      <w:bodyDiv w:val="1"/>
      <w:marLeft w:val="0"/>
      <w:marRight w:val="0"/>
      <w:marTop w:val="0"/>
      <w:marBottom w:val="0"/>
      <w:divBdr>
        <w:top w:val="none" w:sz="0" w:space="0" w:color="auto"/>
        <w:left w:val="none" w:sz="0" w:space="0" w:color="auto"/>
        <w:bottom w:val="none" w:sz="0" w:space="0" w:color="auto"/>
        <w:right w:val="none" w:sz="0" w:space="0" w:color="auto"/>
      </w:divBdr>
    </w:div>
    <w:div w:id="1358434388">
      <w:bodyDiv w:val="1"/>
      <w:marLeft w:val="0"/>
      <w:marRight w:val="0"/>
      <w:marTop w:val="0"/>
      <w:marBottom w:val="0"/>
      <w:divBdr>
        <w:top w:val="none" w:sz="0" w:space="0" w:color="auto"/>
        <w:left w:val="none" w:sz="0" w:space="0" w:color="auto"/>
        <w:bottom w:val="none" w:sz="0" w:space="0" w:color="auto"/>
        <w:right w:val="none" w:sz="0" w:space="0" w:color="auto"/>
      </w:divBdr>
    </w:div>
    <w:div w:id="1361280858">
      <w:bodyDiv w:val="1"/>
      <w:marLeft w:val="0"/>
      <w:marRight w:val="0"/>
      <w:marTop w:val="0"/>
      <w:marBottom w:val="0"/>
      <w:divBdr>
        <w:top w:val="none" w:sz="0" w:space="0" w:color="auto"/>
        <w:left w:val="none" w:sz="0" w:space="0" w:color="auto"/>
        <w:bottom w:val="none" w:sz="0" w:space="0" w:color="auto"/>
        <w:right w:val="none" w:sz="0" w:space="0" w:color="auto"/>
      </w:divBdr>
    </w:div>
    <w:div w:id="1367101992">
      <w:bodyDiv w:val="1"/>
      <w:marLeft w:val="0"/>
      <w:marRight w:val="0"/>
      <w:marTop w:val="0"/>
      <w:marBottom w:val="0"/>
      <w:divBdr>
        <w:top w:val="none" w:sz="0" w:space="0" w:color="auto"/>
        <w:left w:val="none" w:sz="0" w:space="0" w:color="auto"/>
        <w:bottom w:val="none" w:sz="0" w:space="0" w:color="auto"/>
        <w:right w:val="none" w:sz="0" w:space="0" w:color="auto"/>
      </w:divBdr>
    </w:div>
    <w:div w:id="1368289911">
      <w:bodyDiv w:val="1"/>
      <w:marLeft w:val="0"/>
      <w:marRight w:val="0"/>
      <w:marTop w:val="0"/>
      <w:marBottom w:val="0"/>
      <w:divBdr>
        <w:top w:val="none" w:sz="0" w:space="0" w:color="auto"/>
        <w:left w:val="none" w:sz="0" w:space="0" w:color="auto"/>
        <w:bottom w:val="none" w:sz="0" w:space="0" w:color="auto"/>
        <w:right w:val="none" w:sz="0" w:space="0" w:color="auto"/>
      </w:divBdr>
    </w:div>
    <w:div w:id="1368917387">
      <w:bodyDiv w:val="1"/>
      <w:marLeft w:val="0"/>
      <w:marRight w:val="0"/>
      <w:marTop w:val="0"/>
      <w:marBottom w:val="0"/>
      <w:divBdr>
        <w:top w:val="none" w:sz="0" w:space="0" w:color="auto"/>
        <w:left w:val="none" w:sz="0" w:space="0" w:color="auto"/>
        <w:bottom w:val="none" w:sz="0" w:space="0" w:color="auto"/>
        <w:right w:val="none" w:sz="0" w:space="0" w:color="auto"/>
      </w:divBdr>
    </w:div>
    <w:div w:id="1370913456">
      <w:bodyDiv w:val="1"/>
      <w:marLeft w:val="0"/>
      <w:marRight w:val="0"/>
      <w:marTop w:val="0"/>
      <w:marBottom w:val="0"/>
      <w:divBdr>
        <w:top w:val="none" w:sz="0" w:space="0" w:color="auto"/>
        <w:left w:val="none" w:sz="0" w:space="0" w:color="auto"/>
        <w:bottom w:val="none" w:sz="0" w:space="0" w:color="auto"/>
        <w:right w:val="none" w:sz="0" w:space="0" w:color="auto"/>
      </w:divBdr>
    </w:div>
    <w:div w:id="1381323814">
      <w:bodyDiv w:val="1"/>
      <w:marLeft w:val="0"/>
      <w:marRight w:val="0"/>
      <w:marTop w:val="0"/>
      <w:marBottom w:val="0"/>
      <w:divBdr>
        <w:top w:val="none" w:sz="0" w:space="0" w:color="auto"/>
        <w:left w:val="none" w:sz="0" w:space="0" w:color="auto"/>
        <w:bottom w:val="none" w:sz="0" w:space="0" w:color="auto"/>
        <w:right w:val="none" w:sz="0" w:space="0" w:color="auto"/>
      </w:divBdr>
    </w:div>
    <w:div w:id="1384720917">
      <w:bodyDiv w:val="1"/>
      <w:marLeft w:val="0"/>
      <w:marRight w:val="0"/>
      <w:marTop w:val="0"/>
      <w:marBottom w:val="0"/>
      <w:divBdr>
        <w:top w:val="none" w:sz="0" w:space="0" w:color="auto"/>
        <w:left w:val="none" w:sz="0" w:space="0" w:color="auto"/>
        <w:bottom w:val="none" w:sz="0" w:space="0" w:color="auto"/>
        <w:right w:val="none" w:sz="0" w:space="0" w:color="auto"/>
      </w:divBdr>
    </w:div>
    <w:div w:id="1385718373">
      <w:bodyDiv w:val="1"/>
      <w:marLeft w:val="0"/>
      <w:marRight w:val="0"/>
      <w:marTop w:val="0"/>
      <w:marBottom w:val="0"/>
      <w:divBdr>
        <w:top w:val="none" w:sz="0" w:space="0" w:color="auto"/>
        <w:left w:val="none" w:sz="0" w:space="0" w:color="auto"/>
        <w:bottom w:val="none" w:sz="0" w:space="0" w:color="auto"/>
        <w:right w:val="none" w:sz="0" w:space="0" w:color="auto"/>
      </w:divBdr>
    </w:div>
    <w:div w:id="1387872543">
      <w:bodyDiv w:val="1"/>
      <w:marLeft w:val="0"/>
      <w:marRight w:val="0"/>
      <w:marTop w:val="0"/>
      <w:marBottom w:val="0"/>
      <w:divBdr>
        <w:top w:val="none" w:sz="0" w:space="0" w:color="auto"/>
        <w:left w:val="none" w:sz="0" w:space="0" w:color="auto"/>
        <w:bottom w:val="none" w:sz="0" w:space="0" w:color="auto"/>
        <w:right w:val="none" w:sz="0" w:space="0" w:color="auto"/>
      </w:divBdr>
    </w:div>
    <w:div w:id="1388459596">
      <w:bodyDiv w:val="1"/>
      <w:marLeft w:val="0"/>
      <w:marRight w:val="0"/>
      <w:marTop w:val="0"/>
      <w:marBottom w:val="0"/>
      <w:divBdr>
        <w:top w:val="none" w:sz="0" w:space="0" w:color="auto"/>
        <w:left w:val="none" w:sz="0" w:space="0" w:color="auto"/>
        <w:bottom w:val="none" w:sz="0" w:space="0" w:color="auto"/>
        <w:right w:val="none" w:sz="0" w:space="0" w:color="auto"/>
      </w:divBdr>
    </w:div>
    <w:div w:id="1388650596">
      <w:bodyDiv w:val="1"/>
      <w:marLeft w:val="0"/>
      <w:marRight w:val="0"/>
      <w:marTop w:val="0"/>
      <w:marBottom w:val="0"/>
      <w:divBdr>
        <w:top w:val="none" w:sz="0" w:space="0" w:color="auto"/>
        <w:left w:val="none" w:sz="0" w:space="0" w:color="auto"/>
        <w:bottom w:val="none" w:sz="0" w:space="0" w:color="auto"/>
        <w:right w:val="none" w:sz="0" w:space="0" w:color="auto"/>
      </w:divBdr>
    </w:div>
    <w:div w:id="1392194124">
      <w:bodyDiv w:val="1"/>
      <w:marLeft w:val="0"/>
      <w:marRight w:val="0"/>
      <w:marTop w:val="0"/>
      <w:marBottom w:val="0"/>
      <w:divBdr>
        <w:top w:val="none" w:sz="0" w:space="0" w:color="auto"/>
        <w:left w:val="none" w:sz="0" w:space="0" w:color="auto"/>
        <w:bottom w:val="none" w:sz="0" w:space="0" w:color="auto"/>
        <w:right w:val="none" w:sz="0" w:space="0" w:color="auto"/>
      </w:divBdr>
    </w:div>
    <w:div w:id="1397166517">
      <w:bodyDiv w:val="1"/>
      <w:marLeft w:val="0"/>
      <w:marRight w:val="0"/>
      <w:marTop w:val="0"/>
      <w:marBottom w:val="0"/>
      <w:divBdr>
        <w:top w:val="none" w:sz="0" w:space="0" w:color="auto"/>
        <w:left w:val="none" w:sz="0" w:space="0" w:color="auto"/>
        <w:bottom w:val="none" w:sz="0" w:space="0" w:color="auto"/>
        <w:right w:val="none" w:sz="0" w:space="0" w:color="auto"/>
      </w:divBdr>
    </w:div>
    <w:div w:id="1399356369">
      <w:bodyDiv w:val="1"/>
      <w:marLeft w:val="0"/>
      <w:marRight w:val="0"/>
      <w:marTop w:val="0"/>
      <w:marBottom w:val="0"/>
      <w:divBdr>
        <w:top w:val="none" w:sz="0" w:space="0" w:color="auto"/>
        <w:left w:val="none" w:sz="0" w:space="0" w:color="auto"/>
        <w:bottom w:val="none" w:sz="0" w:space="0" w:color="auto"/>
        <w:right w:val="none" w:sz="0" w:space="0" w:color="auto"/>
      </w:divBdr>
    </w:div>
    <w:div w:id="1399592471">
      <w:bodyDiv w:val="1"/>
      <w:marLeft w:val="0"/>
      <w:marRight w:val="0"/>
      <w:marTop w:val="0"/>
      <w:marBottom w:val="0"/>
      <w:divBdr>
        <w:top w:val="none" w:sz="0" w:space="0" w:color="auto"/>
        <w:left w:val="none" w:sz="0" w:space="0" w:color="auto"/>
        <w:bottom w:val="none" w:sz="0" w:space="0" w:color="auto"/>
        <w:right w:val="none" w:sz="0" w:space="0" w:color="auto"/>
      </w:divBdr>
    </w:div>
    <w:div w:id="1405030453">
      <w:bodyDiv w:val="1"/>
      <w:marLeft w:val="0"/>
      <w:marRight w:val="0"/>
      <w:marTop w:val="0"/>
      <w:marBottom w:val="0"/>
      <w:divBdr>
        <w:top w:val="none" w:sz="0" w:space="0" w:color="auto"/>
        <w:left w:val="none" w:sz="0" w:space="0" w:color="auto"/>
        <w:bottom w:val="none" w:sz="0" w:space="0" w:color="auto"/>
        <w:right w:val="none" w:sz="0" w:space="0" w:color="auto"/>
      </w:divBdr>
    </w:div>
    <w:div w:id="1406342520">
      <w:bodyDiv w:val="1"/>
      <w:marLeft w:val="0"/>
      <w:marRight w:val="0"/>
      <w:marTop w:val="0"/>
      <w:marBottom w:val="0"/>
      <w:divBdr>
        <w:top w:val="none" w:sz="0" w:space="0" w:color="auto"/>
        <w:left w:val="none" w:sz="0" w:space="0" w:color="auto"/>
        <w:bottom w:val="none" w:sz="0" w:space="0" w:color="auto"/>
        <w:right w:val="none" w:sz="0" w:space="0" w:color="auto"/>
      </w:divBdr>
    </w:div>
    <w:div w:id="1406687383">
      <w:bodyDiv w:val="1"/>
      <w:marLeft w:val="0"/>
      <w:marRight w:val="0"/>
      <w:marTop w:val="0"/>
      <w:marBottom w:val="0"/>
      <w:divBdr>
        <w:top w:val="none" w:sz="0" w:space="0" w:color="auto"/>
        <w:left w:val="none" w:sz="0" w:space="0" w:color="auto"/>
        <w:bottom w:val="none" w:sz="0" w:space="0" w:color="auto"/>
        <w:right w:val="none" w:sz="0" w:space="0" w:color="auto"/>
      </w:divBdr>
    </w:div>
    <w:div w:id="1406948551">
      <w:bodyDiv w:val="1"/>
      <w:marLeft w:val="0"/>
      <w:marRight w:val="0"/>
      <w:marTop w:val="0"/>
      <w:marBottom w:val="0"/>
      <w:divBdr>
        <w:top w:val="none" w:sz="0" w:space="0" w:color="auto"/>
        <w:left w:val="none" w:sz="0" w:space="0" w:color="auto"/>
        <w:bottom w:val="none" w:sz="0" w:space="0" w:color="auto"/>
        <w:right w:val="none" w:sz="0" w:space="0" w:color="auto"/>
      </w:divBdr>
    </w:div>
    <w:div w:id="1407997510">
      <w:bodyDiv w:val="1"/>
      <w:marLeft w:val="0"/>
      <w:marRight w:val="0"/>
      <w:marTop w:val="0"/>
      <w:marBottom w:val="0"/>
      <w:divBdr>
        <w:top w:val="none" w:sz="0" w:space="0" w:color="auto"/>
        <w:left w:val="none" w:sz="0" w:space="0" w:color="auto"/>
        <w:bottom w:val="none" w:sz="0" w:space="0" w:color="auto"/>
        <w:right w:val="none" w:sz="0" w:space="0" w:color="auto"/>
      </w:divBdr>
    </w:div>
    <w:div w:id="1409035914">
      <w:bodyDiv w:val="1"/>
      <w:marLeft w:val="0"/>
      <w:marRight w:val="0"/>
      <w:marTop w:val="0"/>
      <w:marBottom w:val="0"/>
      <w:divBdr>
        <w:top w:val="none" w:sz="0" w:space="0" w:color="auto"/>
        <w:left w:val="none" w:sz="0" w:space="0" w:color="auto"/>
        <w:bottom w:val="none" w:sz="0" w:space="0" w:color="auto"/>
        <w:right w:val="none" w:sz="0" w:space="0" w:color="auto"/>
      </w:divBdr>
    </w:div>
    <w:div w:id="1412578600">
      <w:bodyDiv w:val="1"/>
      <w:marLeft w:val="0"/>
      <w:marRight w:val="0"/>
      <w:marTop w:val="0"/>
      <w:marBottom w:val="0"/>
      <w:divBdr>
        <w:top w:val="none" w:sz="0" w:space="0" w:color="auto"/>
        <w:left w:val="none" w:sz="0" w:space="0" w:color="auto"/>
        <w:bottom w:val="none" w:sz="0" w:space="0" w:color="auto"/>
        <w:right w:val="none" w:sz="0" w:space="0" w:color="auto"/>
      </w:divBdr>
    </w:div>
    <w:div w:id="1415124492">
      <w:bodyDiv w:val="1"/>
      <w:marLeft w:val="0"/>
      <w:marRight w:val="0"/>
      <w:marTop w:val="0"/>
      <w:marBottom w:val="0"/>
      <w:divBdr>
        <w:top w:val="none" w:sz="0" w:space="0" w:color="auto"/>
        <w:left w:val="none" w:sz="0" w:space="0" w:color="auto"/>
        <w:bottom w:val="none" w:sz="0" w:space="0" w:color="auto"/>
        <w:right w:val="none" w:sz="0" w:space="0" w:color="auto"/>
      </w:divBdr>
    </w:div>
    <w:div w:id="1415741163">
      <w:bodyDiv w:val="1"/>
      <w:marLeft w:val="0"/>
      <w:marRight w:val="0"/>
      <w:marTop w:val="0"/>
      <w:marBottom w:val="0"/>
      <w:divBdr>
        <w:top w:val="none" w:sz="0" w:space="0" w:color="auto"/>
        <w:left w:val="none" w:sz="0" w:space="0" w:color="auto"/>
        <w:bottom w:val="none" w:sz="0" w:space="0" w:color="auto"/>
        <w:right w:val="none" w:sz="0" w:space="0" w:color="auto"/>
      </w:divBdr>
    </w:div>
    <w:div w:id="1418287979">
      <w:bodyDiv w:val="1"/>
      <w:marLeft w:val="0"/>
      <w:marRight w:val="0"/>
      <w:marTop w:val="0"/>
      <w:marBottom w:val="0"/>
      <w:divBdr>
        <w:top w:val="none" w:sz="0" w:space="0" w:color="auto"/>
        <w:left w:val="none" w:sz="0" w:space="0" w:color="auto"/>
        <w:bottom w:val="none" w:sz="0" w:space="0" w:color="auto"/>
        <w:right w:val="none" w:sz="0" w:space="0" w:color="auto"/>
      </w:divBdr>
    </w:div>
    <w:div w:id="1422876675">
      <w:bodyDiv w:val="1"/>
      <w:marLeft w:val="0"/>
      <w:marRight w:val="0"/>
      <w:marTop w:val="0"/>
      <w:marBottom w:val="0"/>
      <w:divBdr>
        <w:top w:val="none" w:sz="0" w:space="0" w:color="auto"/>
        <w:left w:val="none" w:sz="0" w:space="0" w:color="auto"/>
        <w:bottom w:val="none" w:sz="0" w:space="0" w:color="auto"/>
        <w:right w:val="none" w:sz="0" w:space="0" w:color="auto"/>
      </w:divBdr>
    </w:div>
    <w:div w:id="1424716635">
      <w:bodyDiv w:val="1"/>
      <w:marLeft w:val="0"/>
      <w:marRight w:val="0"/>
      <w:marTop w:val="0"/>
      <w:marBottom w:val="0"/>
      <w:divBdr>
        <w:top w:val="none" w:sz="0" w:space="0" w:color="auto"/>
        <w:left w:val="none" w:sz="0" w:space="0" w:color="auto"/>
        <w:bottom w:val="none" w:sz="0" w:space="0" w:color="auto"/>
        <w:right w:val="none" w:sz="0" w:space="0" w:color="auto"/>
      </w:divBdr>
    </w:div>
    <w:div w:id="1439713324">
      <w:bodyDiv w:val="1"/>
      <w:marLeft w:val="0"/>
      <w:marRight w:val="0"/>
      <w:marTop w:val="0"/>
      <w:marBottom w:val="0"/>
      <w:divBdr>
        <w:top w:val="none" w:sz="0" w:space="0" w:color="auto"/>
        <w:left w:val="none" w:sz="0" w:space="0" w:color="auto"/>
        <w:bottom w:val="none" w:sz="0" w:space="0" w:color="auto"/>
        <w:right w:val="none" w:sz="0" w:space="0" w:color="auto"/>
      </w:divBdr>
    </w:div>
    <w:div w:id="1441952322">
      <w:bodyDiv w:val="1"/>
      <w:marLeft w:val="0"/>
      <w:marRight w:val="0"/>
      <w:marTop w:val="0"/>
      <w:marBottom w:val="0"/>
      <w:divBdr>
        <w:top w:val="none" w:sz="0" w:space="0" w:color="auto"/>
        <w:left w:val="none" w:sz="0" w:space="0" w:color="auto"/>
        <w:bottom w:val="none" w:sz="0" w:space="0" w:color="auto"/>
        <w:right w:val="none" w:sz="0" w:space="0" w:color="auto"/>
      </w:divBdr>
    </w:div>
    <w:div w:id="1442265338">
      <w:bodyDiv w:val="1"/>
      <w:marLeft w:val="0"/>
      <w:marRight w:val="0"/>
      <w:marTop w:val="0"/>
      <w:marBottom w:val="0"/>
      <w:divBdr>
        <w:top w:val="none" w:sz="0" w:space="0" w:color="auto"/>
        <w:left w:val="none" w:sz="0" w:space="0" w:color="auto"/>
        <w:bottom w:val="none" w:sz="0" w:space="0" w:color="auto"/>
        <w:right w:val="none" w:sz="0" w:space="0" w:color="auto"/>
      </w:divBdr>
    </w:div>
    <w:div w:id="1444812430">
      <w:bodyDiv w:val="1"/>
      <w:marLeft w:val="0"/>
      <w:marRight w:val="0"/>
      <w:marTop w:val="0"/>
      <w:marBottom w:val="0"/>
      <w:divBdr>
        <w:top w:val="none" w:sz="0" w:space="0" w:color="auto"/>
        <w:left w:val="none" w:sz="0" w:space="0" w:color="auto"/>
        <w:bottom w:val="none" w:sz="0" w:space="0" w:color="auto"/>
        <w:right w:val="none" w:sz="0" w:space="0" w:color="auto"/>
      </w:divBdr>
    </w:div>
    <w:div w:id="1445341203">
      <w:bodyDiv w:val="1"/>
      <w:marLeft w:val="0"/>
      <w:marRight w:val="0"/>
      <w:marTop w:val="0"/>
      <w:marBottom w:val="0"/>
      <w:divBdr>
        <w:top w:val="none" w:sz="0" w:space="0" w:color="auto"/>
        <w:left w:val="none" w:sz="0" w:space="0" w:color="auto"/>
        <w:bottom w:val="none" w:sz="0" w:space="0" w:color="auto"/>
        <w:right w:val="none" w:sz="0" w:space="0" w:color="auto"/>
      </w:divBdr>
    </w:div>
    <w:div w:id="1447459968">
      <w:bodyDiv w:val="1"/>
      <w:marLeft w:val="0"/>
      <w:marRight w:val="0"/>
      <w:marTop w:val="0"/>
      <w:marBottom w:val="0"/>
      <w:divBdr>
        <w:top w:val="none" w:sz="0" w:space="0" w:color="auto"/>
        <w:left w:val="none" w:sz="0" w:space="0" w:color="auto"/>
        <w:bottom w:val="none" w:sz="0" w:space="0" w:color="auto"/>
        <w:right w:val="none" w:sz="0" w:space="0" w:color="auto"/>
      </w:divBdr>
    </w:div>
    <w:div w:id="1449468953">
      <w:bodyDiv w:val="1"/>
      <w:marLeft w:val="0"/>
      <w:marRight w:val="0"/>
      <w:marTop w:val="0"/>
      <w:marBottom w:val="0"/>
      <w:divBdr>
        <w:top w:val="none" w:sz="0" w:space="0" w:color="auto"/>
        <w:left w:val="none" w:sz="0" w:space="0" w:color="auto"/>
        <w:bottom w:val="none" w:sz="0" w:space="0" w:color="auto"/>
        <w:right w:val="none" w:sz="0" w:space="0" w:color="auto"/>
      </w:divBdr>
    </w:div>
    <w:div w:id="1451630919">
      <w:bodyDiv w:val="1"/>
      <w:marLeft w:val="0"/>
      <w:marRight w:val="0"/>
      <w:marTop w:val="0"/>
      <w:marBottom w:val="0"/>
      <w:divBdr>
        <w:top w:val="none" w:sz="0" w:space="0" w:color="auto"/>
        <w:left w:val="none" w:sz="0" w:space="0" w:color="auto"/>
        <w:bottom w:val="none" w:sz="0" w:space="0" w:color="auto"/>
        <w:right w:val="none" w:sz="0" w:space="0" w:color="auto"/>
      </w:divBdr>
    </w:div>
    <w:div w:id="1452288632">
      <w:bodyDiv w:val="1"/>
      <w:marLeft w:val="0"/>
      <w:marRight w:val="0"/>
      <w:marTop w:val="0"/>
      <w:marBottom w:val="0"/>
      <w:divBdr>
        <w:top w:val="none" w:sz="0" w:space="0" w:color="auto"/>
        <w:left w:val="none" w:sz="0" w:space="0" w:color="auto"/>
        <w:bottom w:val="none" w:sz="0" w:space="0" w:color="auto"/>
        <w:right w:val="none" w:sz="0" w:space="0" w:color="auto"/>
      </w:divBdr>
    </w:div>
    <w:div w:id="1454205291">
      <w:bodyDiv w:val="1"/>
      <w:marLeft w:val="0"/>
      <w:marRight w:val="0"/>
      <w:marTop w:val="0"/>
      <w:marBottom w:val="0"/>
      <w:divBdr>
        <w:top w:val="none" w:sz="0" w:space="0" w:color="auto"/>
        <w:left w:val="none" w:sz="0" w:space="0" w:color="auto"/>
        <w:bottom w:val="none" w:sz="0" w:space="0" w:color="auto"/>
        <w:right w:val="none" w:sz="0" w:space="0" w:color="auto"/>
      </w:divBdr>
    </w:div>
    <w:div w:id="1454783245">
      <w:bodyDiv w:val="1"/>
      <w:marLeft w:val="0"/>
      <w:marRight w:val="0"/>
      <w:marTop w:val="0"/>
      <w:marBottom w:val="0"/>
      <w:divBdr>
        <w:top w:val="none" w:sz="0" w:space="0" w:color="auto"/>
        <w:left w:val="none" w:sz="0" w:space="0" w:color="auto"/>
        <w:bottom w:val="none" w:sz="0" w:space="0" w:color="auto"/>
        <w:right w:val="none" w:sz="0" w:space="0" w:color="auto"/>
      </w:divBdr>
    </w:div>
    <w:div w:id="1454984207">
      <w:bodyDiv w:val="1"/>
      <w:marLeft w:val="0"/>
      <w:marRight w:val="0"/>
      <w:marTop w:val="0"/>
      <w:marBottom w:val="0"/>
      <w:divBdr>
        <w:top w:val="none" w:sz="0" w:space="0" w:color="auto"/>
        <w:left w:val="none" w:sz="0" w:space="0" w:color="auto"/>
        <w:bottom w:val="none" w:sz="0" w:space="0" w:color="auto"/>
        <w:right w:val="none" w:sz="0" w:space="0" w:color="auto"/>
      </w:divBdr>
    </w:div>
    <w:div w:id="1458257677">
      <w:bodyDiv w:val="1"/>
      <w:marLeft w:val="0"/>
      <w:marRight w:val="0"/>
      <w:marTop w:val="0"/>
      <w:marBottom w:val="0"/>
      <w:divBdr>
        <w:top w:val="none" w:sz="0" w:space="0" w:color="auto"/>
        <w:left w:val="none" w:sz="0" w:space="0" w:color="auto"/>
        <w:bottom w:val="none" w:sz="0" w:space="0" w:color="auto"/>
        <w:right w:val="none" w:sz="0" w:space="0" w:color="auto"/>
      </w:divBdr>
    </w:div>
    <w:div w:id="1458572520">
      <w:bodyDiv w:val="1"/>
      <w:marLeft w:val="0"/>
      <w:marRight w:val="0"/>
      <w:marTop w:val="0"/>
      <w:marBottom w:val="0"/>
      <w:divBdr>
        <w:top w:val="none" w:sz="0" w:space="0" w:color="auto"/>
        <w:left w:val="none" w:sz="0" w:space="0" w:color="auto"/>
        <w:bottom w:val="none" w:sz="0" w:space="0" w:color="auto"/>
        <w:right w:val="none" w:sz="0" w:space="0" w:color="auto"/>
      </w:divBdr>
    </w:div>
    <w:div w:id="1460414232">
      <w:bodyDiv w:val="1"/>
      <w:marLeft w:val="0"/>
      <w:marRight w:val="0"/>
      <w:marTop w:val="0"/>
      <w:marBottom w:val="0"/>
      <w:divBdr>
        <w:top w:val="none" w:sz="0" w:space="0" w:color="auto"/>
        <w:left w:val="none" w:sz="0" w:space="0" w:color="auto"/>
        <w:bottom w:val="none" w:sz="0" w:space="0" w:color="auto"/>
        <w:right w:val="none" w:sz="0" w:space="0" w:color="auto"/>
      </w:divBdr>
    </w:div>
    <w:div w:id="1463839101">
      <w:bodyDiv w:val="1"/>
      <w:marLeft w:val="0"/>
      <w:marRight w:val="0"/>
      <w:marTop w:val="0"/>
      <w:marBottom w:val="0"/>
      <w:divBdr>
        <w:top w:val="none" w:sz="0" w:space="0" w:color="auto"/>
        <w:left w:val="none" w:sz="0" w:space="0" w:color="auto"/>
        <w:bottom w:val="none" w:sz="0" w:space="0" w:color="auto"/>
        <w:right w:val="none" w:sz="0" w:space="0" w:color="auto"/>
      </w:divBdr>
    </w:div>
    <w:div w:id="1466005521">
      <w:bodyDiv w:val="1"/>
      <w:marLeft w:val="0"/>
      <w:marRight w:val="0"/>
      <w:marTop w:val="0"/>
      <w:marBottom w:val="0"/>
      <w:divBdr>
        <w:top w:val="none" w:sz="0" w:space="0" w:color="auto"/>
        <w:left w:val="none" w:sz="0" w:space="0" w:color="auto"/>
        <w:bottom w:val="none" w:sz="0" w:space="0" w:color="auto"/>
        <w:right w:val="none" w:sz="0" w:space="0" w:color="auto"/>
      </w:divBdr>
    </w:div>
    <w:div w:id="1466240721">
      <w:bodyDiv w:val="1"/>
      <w:marLeft w:val="0"/>
      <w:marRight w:val="0"/>
      <w:marTop w:val="0"/>
      <w:marBottom w:val="0"/>
      <w:divBdr>
        <w:top w:val="none" w:sz="0" w:space="0" w:color="auto"/>
        <w:left w:val="none" w:sz="0" w:space="0" w:color="auto"/>
        <w:bottom w:val="none" w:sz="0" w:space="0" w:color="auto"/>
        <w:right w:val="none" w:sz="0" w:space="0" w:color="auto"/>
      </w:divBdr>
    </w:div>
    <w:div w:id="1468083564">
      <w:bodyDiv w:val="1"/>
      <w:marLeft w:val="0"/>
      <w:marRight w:val="0"/>
      <w:marTop w:val="0"/>
      <w:marBottom w:val="0"/>
      <w:divBdr>
        <w:top w:val="none" w:sz="0" w:space="0" w:color="auto"/>
        <w:left w:val="none" w:sz="0" w:space="0" w:color="auto"/>
        <w:bottom w:val="none" w:sz="0" w:space="0" w:color="auto"/>
        <w:right w:val="none" w:sz="0" w:space="0" w:color="auto"/>
      </w:divBdr>
    </w:div>
    <w:div w:id="1469786520">
      <w:bodyDiv w:val="1"/>
      <w:marLeft w:val="0"/>
      <w:marRight w:val="0"/>
      <w:marTop w:val="0"/>
      <w:marBottom w:val="0"/>
      <w:divBdr>
        <w:top w:val="none" w:sz="0" w:space="0" w:color="auto"/>
        <w:left w:val="none" w:sz="0" w:space="0" w:color="auto"/>
        <w:bottom w:val="none" w:sz="0" w:space="0" w:color="auto"/>
        <w:right w:val="none" w:sz="0" w:space="0" w:color="auto"/>
      </w:divBdr>
    </w:div>
    <w:div w:id="1471094520">
      <w:bodyDiv w:val="1"/>
      <w:marLeft w:val="0"/>
      <w:marRight w:val="0"/>
      <w:marTop w:val="0"/>
      <w:marBottom w:val="0"/>
      <w:divBdr>
        <w:top w:val="none" w:sz="0" w:space="0" w:color="auto"/>
        <w:left w:val="none" w:sz="0" w:space="0" w:color="auto"/>
        <w:bottom w:val="none" w:sz="0" w:space="0" w:color="auto"/>
        <w:right w:val="none" w:sz="0" w:space="0" w:color="auto"/>
      </w:divBdr>
    </w:div>
    <w:div w:id="1471285410">
      <w:bodyDiv w:val="1"/>
      <w:marLeft w:val="0"/>
      <w:marRight w:val="0"/>
      <w:marTop w:val="0"/>
      <w:marBottom w:val="0"/>
      <w:divBdr>
        <w:top w:val="none" w:sz="0" w:space="0" w:color="auto"/>
        <w:left w:val="none" w:sz="0" w:space="0" w:color="auto"/>
        <w:bottom w:val="none" w:sz="0" w:space="0" w:color="auto"/>
        <w:right w:val="none" w:sz="0" w:space="0" w:color="auto"/>
      </w:divBdr>
    </w:div>
    <w:div w:id="1473447324">
      <w:bodyDiv w:val="1"/>
      <w:marLeft w:val="0"/>
      <w:marRight w:val="0"/>
      <w:marTop w:val="0"/>
      <w:marBottom w:val="0"/>
      <w:divBdr>
        <w:top w:val="none" w:sz="0" w:space="0" w:color="auto"/>
        <w:left w:val="none" w:sz="0" w:space="0" w:color="auto"/>
        <w:bottom w:val="none" w:sz="0" w:space="0" w:color="auto"/>
        <w:right w:val="none" w:sz="0" w:space="0" w:color="auto"/>
      </w:divBdr>
    </w:div>
    <w:div w:id="1474716563">
      <w:bodyDiv w:val="1"/>
      <w:marLeft w:val="0"/>
      <w:marRight w:val="0"/>
      <w:marTop w:val="0"/>
      <w:marBottom w:val="0"/>
      <w:divBdr>
        <w:top w:val="none" w:sz="0" w:space="0" w:color="auto"/>
        <w:left w:val="none" w:sz="0" w:space="0" w:color="auto"/>
        <w:bottom w:val="none" w:sz="0" w:space="0" w:color="auto"/>
        <w:right w:val="none" w:sz="0" w:space="0" w:color="auto"/>
      </w:divBdr>
    </w:div>
    <w:div w:id="1483548651">
      <w:bodyDiv w:val="1"/>
      <w:marLeft w:val="0"/>
      <w:marRight w:val="0"/>
      <w:marTop w:val="0"/>
      <w:marBottom w:val="0"/>
      <w:divBdr>
        <w:top w:val="none" w:sz="0" w:space="0" w:color="auto"/>
        <w:left w:val="none" w:sz="0" w:space="0" w:color="auto"/>
        <w:bottom w:val="none" w:sz="0" w:space="0" w:color="auto"/>
        <w:right w:val="none" w:sz="0" w:space="0" w:color="auto"/>
      </w:divBdr>
    </w:div>
    <w:div w:id="1484661854">
      <w:bodyDiv w:val="1"/>
      <w:marLeft w:val="0"/>
      <w:marRight w:val="0"/>
      <w:marTop w:val="0"/>
      <w:marBottom w:val="0"/>
      <w:divBdr>
        <w:top w:val="none" w:sz="0" w:space="0" w:color="auto"/>
        <w:left w:val="none" w:sz="0" w:space="0" w:color="auto"/>
        <w:bottom w:val="none" w:sz="0" w:space="0" w:color="auto"/>
        <w:right w:val="none" w:sz="0" w:space="0" w:color="auto"/>
      </w:divBdr>
    </w:div>
    <w:div w:id="1485199852">
      <w:bodyDiv w:val="1"/>
      <w:marLeft w:val="0"/>
      <w:marRight w:val="0"/>
      <w:marTop w:val="0"/>
      <w:marBottom w:val="0"/>
      <w:divBdr>
        <w:top w:val="none" w:sz="0" w:space="0" w:color="auto"/>
        <w:left w:val="none" w:sz="0" w:space="0" w:color="auto"/>
        <w:bottom w:val="none" w:sz="0" w:space="0" w:color="auto"/>
        <w:right w:val="none" w:sz="0" w:space="0" w:color="auto"/>
      </w:divBdr>
    </w:div>
    <w:div w:id="1488277646">
      <w:bodyDiv w:val="1"/>
      <w:marLeft w:val="0"/>
      <w:marRight w:val="0"/>
      <w:marTop w:val="0"/>
      <w:marBottom w:val="0"/>
      <w:divBdr>
        <w:top w:val="none" w:sz="0" w:space="0" w:color="auto"/>
        <w:left w:val="none" w:sz="0" w:space="0" w:color="auto"/>
        <w:bottom w:val="none" w:sz="0" w:space="0" w:color="auto"/>
        <w:right w:val="none" w:sz="0" w:space="0" w:color="auto"/>
      </w:divBdr>
    </w:div>
    <w:div w:id="1489248453">
      <w:bodyDiv w:val="1"/>
      <w:marLeft w:val="0"/>
      <w:marRight w:val="0"/>
      <w:marTop w:val="0"/>
      <w:marBottom w:val="0"/>
      <w:divBdr>
        <w:top w:val="none" w:sz="0" w:space="0" w:color="auto"/>
        <w:left w:val="none" w:sz="0" w:space="0" w:color="auto"/>
        <w:bottom w:val="none" w:sz="0" w:space="0" w:color="auto"/>
        <w:right w:val="none" w:sz="0" w:space="0" w:color="auto"/>
      </w:divBdr>
    </w:div>
    <w:div w:id="1490319616">
      <w:bodyDiv w:val="1"/>
      <w:marLeft w:val="0"/>
      <w:marRight w:val="0"/>
      <w:marTop w:val="0"/>
      <w:marBottom w:val="0"/>
      <w:divBdr>
        <w:top w:val="none" w:sz="0" w:space="0" w:color="auto"/>
        <w:left w:val="none" w:sz="0" w:space="0" w:color="auto"/>
        <w:bottom w:val="none" w:sz="0" w:space="0" w:color="auto"/>
        <w:right w:val="none" w:sz="0" w:space="0" w:color="auto"/>
      </w:divBdr>
    </w:div>
    <w:div w:id="1494681172">
      <w:bodyDiv w:val="1"/>
      <w:marLeft w:val="0"/>
      <w:marRight w:val="0"/>
      <w:marTop w:val="0"/>
      <w:marBottom w:val="0"/>
      <w:divBdr>
        <w:top w:val="none" w:sz="0" w:space="0" w:color="auto"/>
        <w:left w:val="none" w:sz="0" w:space="0" w:color="auto"/>
        <w:bottom w:val="none" w:sz="0" w:space="0" w:color="auto"/>
        <w:right w:val="none" w:sz="0" w:space="0" w:color="auto"/>
      </w:divBdr>
    </w:div>
    <w:div w:id="1496997036">
      <w:bodyDiv w:val="1"/>
      <w:marLeft w:val="0"/>
      <w:marRight w:val="0"/>
      <w:marTop w:val="0"/>
      <w:marBottom w:val="0"/>
      <w:divBdr>
        <w:top w:val="none" w:sz="0" w:space="0" w:color="auto"/>
        <w:left w:val="none" w:sz="0" w:space="0" w:color="auto"/>
        <w:bottom w:val="none" w:sz="0" w:space="0" w:color="auto"/>
        <w:right w:val="none" w:sz="0" w:space="0" w:color="auto"/>
      </w:divBdr>
    </w:div>
    <w:div w:id="1497383687">
      <w:bodyDiv w:val="1"/>
      <w:marLeft w:val="0"/>
      <w:marRight w:val="0"/>
      <w:marTop w:val="0"/>
      <w:marBottom w:val="0"/>
      <w:divBdr>
        <w:top w:val="none" w:sz="0" w:space="0" w:color="auto"/>
        <w:left w:val="none" w:sz="0" w:space="0" w:color="auto"/>
        <w:bottom w:val="none" w:sz="0" w:space="0" w:color="auto"/>
        <w:right w:val="none" w:sz="0" w:space="0" w:color="auto"/>
      </w:divBdr>
    </w:div>
    <w:div w:id="1502768766">
      <w:bodyDiv w:val="1"/>
      <w:marLeft w:val="0"/>
      <w:marRight w:val="0"/>
      <w:marTop w:val="0"/>
      <w:marBottom w:val="0"/>
      <w:divBdr>
        <w:top w:val="none" w:sz="0" w:space="0" w:color="auto"/>
        <w:left w:val="none" w:sz="0" w:space="0" w:color="auto"/>
        <w:bottom w:val="none" w:sz="0" w:space="0" w:color="auto"/>
        <w:right w:val="none" w:sz="0" w:space="0" w:color="auto"/>
      </w:divBdr>
    </w:div>
    <w:div w:id="1507942122">
      <w:bodyDiv w:val="1"/>
      <w:marLeft w:val="0"/>
      <w:marRight w:val="0"/>
      <w:marTop w:val="0"/>
      <w:marBottom w:val="0"/>
      <w:divBdr>
        <w:top w:val="none" w:sz="0" w:space="0" w:color="auto"/>
        <w:left w:val="none" w:sz="0" w:space="0" w:color="auto"/>
        <w:bottom w:val="none" w:sz="0" w:space="0" w:color="auto"/>
        <w:right w:val="none" w:sz="0" w:space="0" w:color="auto"/>
      </w:divBdr>
    </w:div>
    <w:div w:id="1508717387">
      <w:bodyDiv w:val="1"/>
      <w:marLeft w:val="0"/>
      <w:marRight w:val="0"/>
      <w:marTop w:val="0"/>
      <w:marBottom w:val="0"/>
      <w:divBdr>
        <w:top w:val="none" w:sz="0" w:space="0" w:color="auto"/>
        <w:left w:val="none" w:sz="0" w:space="0" w:color="auto"/>
        <w:bottom w:val="none" w:sz="0" w:space="0" w:color="auto"/>
        <w:right w:val="none" w:sz="0" w:space="0" w:color="auto"/>
      </w:divBdr>
    </w:div>
    <w:div w:id="1516534585">
      <w:bodyDiv w:val="1"/>
      <w:marLeft w:val="0"/>
      <w:marRight w:val="0"/>
      <w:marTop w:val="0"/>
      <w:marBottom w:val="0"/>
      <w:divBdr>
        <w:top w:val="none" w:sz="0" w:space="0" w:color="auto"/>
        <w:left w:val="none" w:sz="0" w:space="0" w:color="auto"/>
        <w:bottom w:val="none" w:sz="0" w:space="0" w:color="auto"/>
        <w:right w:val="none" w:sz="0" w:space="0" w:color="auto"/>
      </w:divBdr>
    </w:div>
    <w:div w:id="1520925466">
      <w:bodyDiv w:val="1"/>
      <w:marLeft w:val="0"/>
      <w:marRight w:val="0"/>
      <w:marTop w:val="0"/>
      <w:marBottom w:val="0"/>
      <w:divBdr>
        <w:top w:val="none" w:sz="0" w:space="0" w:color="auto"/>
        <w:left w:val="none" w:sz="0" w:space="0" w:color="auto"/>
        <w:bottom w:val="none" w:sz="0" w:space="0" w:color="auto"/>
        <w:right w:val="none" w:sz="0" w:space="0" w:color="auto"/>
      </w:divBdr>
    </w:div>
    <w:div w:id="1522276709">
      <w:bodyDiv w:val="1"/>
      <w:marLeft w:val="0"/>
      <w:marRight w:val="0"/>
      <w:marTop w:val="0"/>
      <w:marBottom w:val="0"/>
      <w:divBdr>
        <w:top w:val="none" w:sz="0" w:space="0" w:color="auto"/>
        <w:left w:val="none" w:sz="0" w:space="0" w:color="auto"/>
        <w:bottom w:val="none" w:sz="0" w:space="0" w:color="auto"/>
        <w:right w:val="none" w:sz="0" w:space="0" w:color="auto"/>
      </w:divBdr>
    </w:div>
    <w:div w:id="1526553505">
      <w:bodyDiv w:val="1"/>
      <w:marLeft w:val="0"/>
      <w:marRight w:val="0"/>
      <w:marTop w:val="0"/>
      <w:marBottom w:val="0"/>
      <w:divBdr>
        <w:top w:val="none" w:sz="0" w:space="0" w:color="auto"/>
        <w:left w:val="none" w:sz="0" w:space="0" w:color="auto"/>
        <w:bottom w:val="none" w:sz="0" w:space="0" w:color="auto"/>
        <w:right w:val="none" w:sz="0" w:space="0" w:color="auto"/>
      </w:divBdr>
    </w:div>
    <w:div w:id="1528324939">
      <w:bodyDiv w:val="1"/>
      <w:marLeft w:val="0"/>
      <w:marRight w:val="0"/>
      <w:marTop w:val="0"/>
      <w:marBottom w:val="0"/>
      <w:divBdr>
        <w:top w:val="none" w:sz="0" w:space="0" w:color="auto"/>
        <w:left w:val="none" w:sz="0" w:space="0" w:color="auto"/>
        <w:bottom w:val="none" w:sz="0" w:space="0" w:color="auto"/>
        <w:right w:val="none" w:sz="0" w:space="0" w:color="auto"/>
      </w:divBdr>
    </w:div>
    <w:div w:id="1529754979">
      <w:bodyDiv w:val="1"/>
      <w:marLeft w:val="0"/>
      <w:marRight w:val="0"/>
      <w:marTop w:val="0"/>
      <w:marBottom w:val="0"/>
      <w:divBdr>
        <w:top w:val="none" w:sz="0" w:space="0" w:color="auto"/>
        <w:left w:val="none" w:sz="0" w:space="0" w:color="auto"/>
        <w:bottom w:val="none" w:sz="0" w:space="0" w:color="auto"/>
        <w:right w:val="none" w:sz="0" w:space="0" w:color="auto"/>
      </w:divBdr>
    </w:div>
    <w:div w:id="1530214330">
      <w:bodyDiv w:val="1"/>
      <w:marLeft w:val="0"/>
      <w:marRight w:val="0"/>
      <w:marTop w:val="0"/>
      <w:marBottom w:val="0"/>
      <w:divBdr>
        <w:top w:val="none" w:sz="0" w:space="0" w:color="auto"/>
        <w:left w:val="none" w:sz="0" w:space="0" w:color="auto"/>
        <w:bottom w:val="none" w:sz="0" w:space="0" w:color="auto"/>
        <w:right w:val="none" w:sz="0" w:space="0" w:color="auto"/>
      </w:divBdr>
    </w:div>
    <w:div w:id="1532840827">
      <w:bodyDiv w:val="1"/>
      <w:marLeft w:val="0"/>
      <w:marRight w:val="0"/>
      <w:marTop w:val="0"/>
      <w:marBottom w:val="0"/>
      <w:divBdr>
        <w:top w:val="none" w:sz="0" w:space="0" w:color="auto"/>
        <w:left w:val="none" w:sz="0" w:space="0" w:color="auto"/>
        <w:bottom w:val="none" w:sz="0" w:space="0" w:color="auto"/>
        <w:right w:val="none" w:sz="0" w:space="0" w:color="auto"/>
      </w:divBdr>
    </w:div>
    <w:div w:id="1534416585">
      <w:bodyDiv w:val="1"/>
      <w:marLeft w:val="0"/>
      <w:marRight w:val="0"/>
      <w:marTop w:val="0"/>
      <w:marBottom w:val="0"/>
      <w:divBdr>
        <w:top w:val="none" w:sz="0" w:space="0" w:color="auto"/>
        <w:left w:val="none" w:sz="0" w:space="0" w:color="auto"/>
        <w:bottom w:val="none" w:sz="0" w:space="0" w:color="auto"/>
        <w:right w:val="none" w:sz="0" w:space="0" w:color="auto"/>
      </w:divBdr>
    </w:div>
    <w:div w:id="1537620897">
      <w:bodyDiv w:val="1"/>
      <w:marLeft w:val="0"/>
      <w:marRight w:val="0"/>
      <w:marTop w:val="0"/>
      <w:marBottom w:val="0"/>
      <w:divBdr>
        <w:top w:val="none" w:sz="0" w:space="0" w:color="auto"/>
        <w:left w:val="none" w:sz="0" w:space="0" w:color="auto"/>
        <w:bottom w:val="none" w:sz="0" w:space="0" w:color="auto"/>
        <w:right w:val="none" w:sz="0" w:space="0" w:color="auto"/>
      </w:divBdr>
    </w:div>
    <w:div w:id="1541892658">
      <w:bodyDiv w:val="1"/>
      <w:marLeft w:val="0"/>
      <w:marRight w:val="0"/>
      <w:marTop w:val="0"/>
      <w:marBottom w:val="0"/>
      <w:divBdr>
        <w:top w:val="none" w:sz="0" w:space="0" w:color="auto"/>
        <w:left w:val="none" w:sz="0" w:space="0" w:color="auto"/>
        <w:bottom w:val="none" w:sz="0" w:space="0" w:color="auto"/>
        <w:right w:val="none" w:sz="0" w:space="0" w:color="auto"/>
      </w:divBdr>
    </w:div>
    <w:div w:id="1542203279">
      <w:bodyDiv w:val="1"/>
      <w:marLeft w:val="0"/>
      <w:marRight w:val="0"/>
      <w:marTop w:val="0"/>
      <w:marBottom w:val="0"/>
      <w:divBdr>
        <w:top w:val="none" w:sz="0" w:space="0" w:color="auto"/>
        <w:left w:val="none" w:sz="0" w:space="0" w:color="auto"/>
        <w:bottom w:val="none" w:sz="0" w:space="0" w:color="auto"/>
        <w:right w:val="none" w:sz="0" w:space="0" w:color="auto"/>
      </w:divBdr>
    </w:div>
    <w:div w:id="1542207558">
      <w:bodyDiv w:val="1"/>
      <w:marLeft w:val="0"/>
      <w:marRight w:val="0"/>
      <w:marTop w:val="0"/>
      <w:marBottom w:val="0"/>
      <w:divBdr>
        <w:top w:val="none" w:sz="0" w:space="0" w:color="auto"/>
        <w:left w:val="none" w:sz="0" w:space="0" w:color="auto"/>
        <w:bottom w:val="none" w:sz="0" w:space="0" w:color="auto"/>
        <w:right w:val="none" w:sz="0" w:space="0" w:color="auto"/>
      </w:divBdr>
    </w:div>
    <w:div w:id="1546215922">
      <w:bodyDiv w:val="1"/>
      <w:marLeft w:val="0"/>
      <w:marRight w:val="0"/>
      <w:marTop w:val="0"/>
      <w:marBottom w:val="0"/>
      <w:divBdr>
        <w:top w:val="none" w:sz="0" w:space="0" w:color="auto"/>
        <w:left w:val="none" w:sz="0" w:space="0" w:color="auto"/>
        <w:bottom w:val="none" w:sz="0" w:space="0" w:color="auto"/>
        <w:right w:val="none" w:sz="0" w:space="0" w:color="auto"/>
      </w:divBdr>
    </w:div>
    <w:div w:id="1551267002">
      <w:bodyDiv w:val="1"/>
      <w:marLeft w:val="0"/>
      <w:marRight w:val="0"/>
      <w:marTop w:val="0"/>
      <w:marBottom w:val="0"/>
      <w:divBdr>
        <w:top w:val="none" w:sz="0" w:space="0" w:color="auto"/>
        <w:left w:val="none" w:sz="0" w:space="0" w:color="auto"/>
        <w:bottom w:val="none" w:sz="0" w:space="0" w:color="auto"/>
        <w:right w:val="none" w:sz="0" w:space="0" w:color="auto"/>
      </w:divBdr>
    </w:div>
    <w:div w:id="1553540147">
      <w:bodyDiv w:val="1"/>
      <w:marLeft w:val="0"/>
      <w:marRight w:val="0"/>
      <w:marTop w:val="0"/>
      <w:marBottom w:val="0"/>
      <w:divBdr>
        <w:top w:val="none" w:sz="0" w:space="0" w:color="auto"/>
        <w:left w:val="none" w:sz="0" w:space="0" w:color="auto"/>
        <w:bottom w:val="none" w:sz="0" w:space="0" w:color="auto"/>
        <w:right w:val="none" w:sz="0" w:space="0" w:color="auto"/>
      </w:divBdr>
    </w:div>
    <w:div w:id="1554197462">
      <w:bodyDiv w:val="1"/>
      <w:marLeft w:val="0"/>
      <w:marRight w:val="0"/>
      <w:marTop w:val="0"/>
      <w:marBottom w:val="0"/>
      <w:divBdr>
        <w:top w:val="none" w:sz="0" w:space="0" w:color="auto"/>
        <w:left w:val="none" w:sz="0" w:space="0" w:color="auto"/>
        <w:bottom w:val="none" w:sz="0" w:space="0" w:color="auto"/>
        <w:right w:val="none" w:sz="0" w:space="0" w:color="auto"/>
      </w:divBdr>
    </w:div>
    <w:div w:id="1554467669">
      <w:bodyDiv w:val="1"/>
      <w:marLeft w:val="0"/>
      <w:marRight w:val="0"/>
      <w:marTop w:val="0"/>
      <w:marBottom w:val="0"/>
      <w:divBdr>
        <w:top w:val="none" w:sz="0" w:space="0" w:color="auto"/>
        <w:left w:val="none" w:sz="0" w:space="0" w:color="auto"/>
        <w:bottom w:val="none" w:sz="0" w:space="0" w:color="auto"/>
        <w:right w:val="none" w:sz="0" w:space="0" w:color="auto"/>
      </w:divBdr>
    </w:div>
    <w:div w:id="1556551878">
      <w:bodyDiv w:val="1"/>
      <w:marLeft w:val="0"/>
      <w:marRight w:val="0"/>
      <w:marTop w:val="0"/>
      <w:marBottom w:val="0"/>
      <w:divBdr>
        <w:top w:val="none" w:sz="0" w:space="0" w:color="auto"/>
        <w:left w:val="none" w:sz="0" w:space="0" w:color="auto"/>
        <w:bottom w:val="none" w:sz="0" w:space="0" w:color="auto"/>
        <w:right w:val="none" w:sz="0" w:space="0" w:color="auto"/>
      </w:divBdr>
    </w:div>
    <w:div w:id="1556968669">
      <w:bodyDiv w:val="1"/>
      <w:marLeft w:val="0"/>
      <w:marRight w:val="0"/>
      <w:marTop w:val="0"/>
      <w:marBottom w:val="0"/>
      <w:divBdr>
        <w:top w:val="none" w:sz="0" w:space="0" w:color="auto"/>
        <w:left w:val="none" w:sz="0" w:space="0" w:color="auto"/>
        <w:bottom w:val="none" w:sz="0" w:space="0" w:color="auto"/>
        <w:right w:val="none" w:sz="0" w:space="0" w:color="auto"/>
      </w:divBdr>
    </w:div>
    <w:div w:id="1561096142">
      <w:bodyDiv w:val="1"/>
      <w:marLeft w:val="0"/>
      <w:marRight w:val="0"/>
      <w:marTop w:val="0"/>
      <w:marBottom w:val="0"/>
      <w:divBdr>
        <w:top w:val="none" w:sz="0" w:space="0" w:color="auto"/>
        <w:left w:val="none" w:sz="0" w:space="0" w:color="auto"/>
        <w:bottom w:val="none" w:sz="0" w:space="0" w:color="auto"/>
        <w:right w:val="none" w:sz="0" w:space="0" w:color="auto"/>
      </w:divBdr>
    </w:div>
    <w:div w:id="1564104113">
      <w:bodyDiv w:val="1"/>
      <w:marLeft w:val="0"/>
      <w:marRight w:val="0"/>
      <w:marTop w:val="0"/>
      <w:marBottom w:val="0"/>
      <w:divBdr>
        <w:top w:val="none" w:sz="0" w:space="0" w:color="auto"/>
        <w:left w:val="none" w:sz="0" w:space="0" w:color="auto"/>
        <w:bottom w:val="none" w:sz="0" w:space="0" w:color="auto"/>
        <w:right w:val="none" w:sz="0" w:space="0" w:color="auto"/>
      </w:divBdr>
    </w:div>
    <w:div w:id="1564754745">
      <w:bodyDiv w:val="1"/>
      <w:marLeft w:val="0"/>
      <w:marRight w:val="0"/>
      <w:marTop w:val="0"/>
      <w:marBottom w:val="0"/>
      <w:divBdr>
        <w:top w:val="none" w:sz="0" w:space="0" w:color="auto"/>
        <w:left w:val="none" w:sz="0" w:space="0" w:color="auto"/>
        <w:bottom w:val="none" w:sz="0" w:space="0" w:color="auto"/>
        <w:right w:val="none" w:sz="0" w:space="0" w:color="auto"/>
      </w:divBdr>
    </w:div>
    <w:div w:id="1566725032">
      <w:bodyDiv w:val="1"/>
      <w:marLeft w:val="0"/>
      <w:marRight w:val="0"/>
      <w:marTop w:val="0"/>
      <w:marBottom w:val="0"/>
      <w:divBdr>
        <w:top w:val="none" w:sz="0" w:space="0" w:color="auto"/>
        <w:left w:val="none" w:sz="0" w:space="0" w:color="auto"/>
        <w:bottom w:val="none" w:sz="0" w:space="0" w:color="auto"/>
        <w:right w:val="none" w:sz="0" w:space="0" w:color="auto"/>
      </w:divBdr>
    </w:div>
    <w:div w:id="1567455927">
      <w:bodyDiv w:val="1"/>
      <w:marLeft w:val="0"/>
      <w:marRight w:val="0"/>
      <w:marTop w:val="0"/>
      <w:marBottom w:val="0"/>
      <w:divBdr>
        <w:top w:val="none" w:sz="0" w:space="0" w:color="auto"/>
        <w:left w:val="none" w:sz="0" w:space="0" w:color="auto"/>
        <w:bottom w:val="none" w:sz="0" w:space="0" w:color="auto"/>
        <w:right w:val="none" w:sz="0" w:space="0" w:color="auto"/>
      </w:divBdr>
    </w:div>
    <w:div w:id="1572546935">
      <w:bodyDiv w:val="1"/>
      <w:marLeft w:val="0"/>
      <w:marRight w:val="0"/>
      <w:marTop w:val="0"/>
      <w:marBottom w:val="0"/>
      <w:divBdr>
        <w:top w:val="none" w:sz="0" w:space="0" w:color="auto"/>
        <w:left w:val="none" w:sz="0" w:space="0" w:color="auto"/>
        <w:bottom w:val="none" w:sz="0" w:space="0" w:color="auto"/>
        <w:right w:val="none" w:sz="0" w:space="0" w:color="auto"/>
      </w:divBdr>
    </w:div>
    <w:div w:id="1574394269">
      <w:bodyDiv w:val="1"/>
      <w:marLeft w:val="0"/>
      <w:marRight w:val="0"/>
      <w:marTop w:val="0"/>
      <w:marBottom w:val="0"/>
      <w:divBdr>
        <w:top w:val="none" w:sz="0" w:space="0" w:color="auto"/>
        <w:left w:val="none" w:sz="0" w:space="0" w:color="auto"/>
        <w:bottom w:val="none" w:sz="0" w:space="0" w:color="auto"/>
        <w:right w:val="none" w:sz="0" w:space="0" w:color="auto"/>
      </w:divBdr>
    </w:div>
    <w:div w:id="1574973956">
      <w:bodyDiv w:val="1"/>
      <w:marLeft w:val="0"/>
      <w:marRight w:val="0"/>
      <w:marTop w:val="0"/>
      <w:marBottom w:val="0"/>
      <w:divBdr>
        <w:top w:val="none" w:sz="0" w:space="0" w:color="auto"/>
        <w:left w:val="none" w:sz="0" w:space="0" w:color="auto"/>
        <w:bottom w:val="none" w:sz="0" w:space="0" w:color="auto"/>
        <w:right w:val="none" w:sz="0" w:space="0" w:color="auto"/>
      </w:divBdr>
    </w:div>
    <w:div w:id="1575778725">
      <w:bodyDiv w:val="1"/>
      <w:marLeft w:val="0"/>
      <w:marRight w:val="0"/>
      <w:marTop w:val="0"/>
      <w:marBottom w:val="0"/>
      <w:divBdr>
        <w:top w:val="none" w:sz="0" w:space="0" w:color="auto"/>
        <w:left w:val="none" w:sz="0" w:space="0" w:color="auto"/>
        <w:bottom w:val="none" w:sz="0" w:space="0" w:color="auto"/>
        <w:right w:val="none" w:sz="0" w:space="0" w:color="auto"/>
      </w:divBdr>
    </w:div>
    <w:div w:id="1581983362">
      <w:bodyDiv w:val="1"/>
      <w:marLeft w:val="0"/>
      <w:marRight w:val="0"/>
      <w:marTop w:val="0"/>
      <w:marBottom w:val="0"/>
      <w:divBdr>
        <w:top w:val="none" w:sz="0" w:space="0" w:color="auto"/>
        <w:left w:val="none" w:sz="0" w:space="0" w:color="auto"/>
        <w:bottom w:val="none" w:sz="0" w:space="0" w:color="auto"/>
        <w:right w:val="none" w:sz="0" w:space="0" w:color="auto"/>
      </w:divBdr>
    </w:div>
    <w:div w:id="1584871576">
      <w:bodyDiv w:val="1"/>
      <w:marLeft w:val="0"/>
      <w:marRight w:val="0"/>
      <w:marTop w:val="0"/>
      <w:marBottom w:val="0"/>
      <w:divBdr>
        <w:top w:val="none" w:sz="0" w:space="0" w:color="auto"/>
        <w:left w:val="none" w:sz="0" w:space="0" w:color="auto"/>
        <w:bottom w:val="none" w:sz="0" w:space="0" w:color="auto"/>
        <w:right w:val="none" w:sz="0" w:space="0" w:color="auto"/>
      </w:divBdr>
    </w:div>
    <w:div w:id="1593389264">
      <w:bodyDiv w:val="1"/>
      <w:marLeft w:val="0"/>
      <w:marRight w:val="0"/>
      <w:marTop w:val="0"/>
      <w:marBottom w:val="0"/>
      <w:divBdr>
        <w:top w:val="none" w:sz="0" w:space="0" w:color="auto"/>
        <w:left w:val="none" w:sz="0" w:space="0" w:color="auto"/>
        <w:bottom w:val="none" w:sz="0" w:space="0" w:color="auto"/>
        <w:right w:val="none" w:sz="0" w:space="0" w:color="auto"/>
      </w:divBdr>
    </w:div>
    <w:div w:id="1597203942">
      <w:bodyDiv w:val="1"/>
      <w:marLeft w:val="0"/>
      <w:marRight w:val="0"/>
      <w:marTop w:val="0"/>
      <w:marBottom w:val="0"/>
      <w:divBdr>
        <w:top w:val="none" w:sz="0" w:space="0" w:color="auto"/>
        <w:left w:val="none" w:sz="0" w:space="0" w:color="auto"/>
        <w:bottom w:val="none" w:sz="0" w:space="0" w:color="auto"/>
        <w:right w:val="none" w:sz="0" w:space="0" w:color="auto"/>
      </w:divBdr>
    </w:div>
    <w:div w:id="1597669357">
      <w:bodyDiv w:val="1"/>
      <w:marLeft w:val="0"/>
      <w:marRight w:val="0"/>
      <w:marTop w:val="0"/>
      <w:marBottom w:val="0"/>
      <w:divBdr>
        <w:top w:val="none" w:sz="0" w:space="0" w:color="auto"/>
        <w:left w:val="none" w:sz="0" w:space="0" w:color="auto"/>
        <w:bottom w:val="none" w:sz="0" w:space="0" w:color="auto"/>
        <w:right w:val="none" w:sz="0" w:space="0" w:color="auto"/>
      </w:divBdr>
    </w:div>
    <w:div w:id="1598752953">
      <w:bodyDiv w:val="1"/>
      <w:marLeft w:val="0"/>
      <w:marRight w:val="0"/>
      <w:marTop w:val="0"/>
      <w:marBottom w:val="0"/>
      <w:divBdr>
        <w:top w:val="none" w:sz="0" w:space="0" w:color="auto"/>
        <w:left w:val="none" w:sz="0" w:space="0" w:color="auto"/>
        <w:bottom w:val="none" w:sz="0" w:space="0" w:color="auto"/>
        <w:right w:val="none" w:sz="0" w:space="0" w:color="auto"/>
      </w:divBdr>
    </w:div>
    <w:div w:id="1599948416">
      <w:bodyDiv w:val="1"/>
      <w:marLeft w:val="0"/>
      <w:marRight w:val="0"/>
      <w:marTop w:val="0"/>
      <w:marBottom w:val="0"/>
      <w:divBdr>
        <w:top w:val="none" w:sz="0" w:space="0" w:color="auto"/>
        <w:left w:val="none" w:sz="0" w:space="0" w:color="auto"/>
        <w:bottom w:val="none" w:sz="0" w:space="0" w:color="auto"/>
        <w:right w:val="none" w:sz="0" w:space="0" w:color="auto"/>
      </w:divBdr>
    </w:div>
    <w:div w:id="1600717209">
      <w:bodyDiv w:val="1"/>
      <w:marLeft w:val="0"/>
      <w:marRight w:val="0"/>
      <w:marTop w:val="0"/>
      <w:marBottom w:val="0"/>
      <w:divBdr>
        <w:top w:val="none" w:sz="0" w:space="0" w:color="auto"/>
        <w:left w:val="none" w:sz="0" w:space="0" w:color="auto"/>
        <w:bottom w:val="none" w:sz="0" w:space="0" w:color="auto"/>
        <w:right w:val="none" w:sz="0" w:space="0" w:color="auto"/>
      </w:divBdr>
    </w:div>
    <w:div w:id="1601447919">
      <w:bodyDiv w:val="1"/>
      <w:marLeft w:val="0"/>
      <w:marRight w:val="0"/>
      <w:marTop w:val="0"/>
      <w:marBottom w:val="0"/>
      <w:divBdr>
        <w:top w:val="none" w:sz="0" w:space="0" w:color="auto"/>
        <w:left w:val="none" w:sz="0" w:space="0" w:color="auto"/>
        <w:bottom w:val="none" w:sz="0" w:space="0" w:color="auto"/>
        <w:right w:val="none" w:sz="0" w:space="0" w:color="auto"/>
      </w:divBdr>
    </w:div>
    <w:div w:id="1603108833">
      <w:bodyDiv w:val="1"/>
      <w:marLeft w:val="0"/>
      <w:marRight w:val="0"/>
      <w:marTop w:val="0"/>
      <w:marBottom w:val="0"/>
      <w:divBdr>
        <w:top w:val="none" w:sz="0" w:space="0" w:color="auto"/>
        <w:left w:val="none" w:sz="0" w:space="0" w:color="auto"/>
        <w:bottom w:val="none" w:sz="0" w:space="0" w:color="auto"/>
        <w:right w:val="none" w:sz="0" w:space="0" w:color="auto"/>
      </w:divBdr>
    </w:div>
    <w:div w:id="1604339198">
      <w:bodyDiv w:val="1"/>
      <w:marLeft w:val="0"/>
      <w:marRight w:val="0"/>
      <w:marTop w:val="0"/>
      <w:marBottom w:val="0"/>
      <w:divBdr>
        <w:top w:val="none" w:sz="0" w:space="0" w:color="auto"/>
        <w:left w:val="none" w:sz="0" w:space="0" w:color="auto"/>
        <w:bottom w:val="none" w:sz="0" w:space="0" w:color="auto"/>
        <w:right w:val="none" w:sz="0" w:space="0" w:color="auto"/>
      </w:divBdr>
    </w:div>
    <w:div w:id="1604533380">
      <w:bodyDiv w:val="1"/>
      <w:marLeft w:val="0"/>
      <w:marRight w:val="0"/>
      <w:marTop w:val="0"/>
      <w:marBottom w:val="0"/>
      <w:divBdr>
        <w:top w:val="none" w:sz="0" w:space="0" w:color="auto"/>
        <w:left w:val="none" w:sz="0" w:space="0" w:color="auto"/>
        <w:bottom w:val="none" w:sz="0" w:space="0" w:color="auto"/>
        <w:right w:val="none" w:sz="0" w:space="0" w:color="auto"/>
      </w:divBdr>
    </w:div>
    <w:div w:id="1605574712">
      <w:bodyDiv w:val="1"/>
      <w:marLeft w:val="0"/>
      <w:marRight w:val="0"/>
      <w:marTop w:val="0"/>
      <w:marBottom w:val="0"/>
      <w:divBdr>
        <w:top w:val="none" w:sz="0" w:space="0" w:color="auto"/>
        <w:left w:val="none" w:sz="0" w:space="0" w:color="auto"/>
        <w:bottom w:val="none" w:sz="0" w:space="0" w:color="auto"/>
        <w:right w:val="none" w:sz="0" w:space="0" w:color="auto"/>
      </w:divBdr>
    </w:div>
    <w:div w:id="1605722207">
      <w:bodyDiv w:val="1"/>
      <w:marLeft w:val="0"/>
      <w:marRight w:val="0"/>
      <w:marTop w:val="0"/>
      <w:marBottom w:val="0"/>
      <w:divBdr>
        <w:top w:val="none" w:sz="0" w:space="0" w:color="auto"/>
        <w:left w:val="none" w:sz="0" w:space="0" w:color="auto"/>
        <w:bottom w:val="none" w:sz="0" w:space="0" w:color="auto"/>
        <w:right w:val="none" w:sz="0" w:space="0" w:color="auto"/>
      </w:divBdr>
    </w:div>
    <w:div w:id="1608735781">
      <w:bodyDiv w:val="1"/>
      <w:marLeft w:val="0"/>
      <w:marRight w:val="0"/>
      <w:marTop w:val="0"/>
      <w:marBottom w:val="0"/>
      <w:divBdr>
        <w:top w:val="none" w:sz="0" w:space="0" w:color="auto"/>
        <w:left w:val="none" w:sz="0" w:space="0" w:color="auto"/>
        <w:bottom w:val="none" w:sz="0" w:space="0" w:color="auto"/>
        <w:right w:val="none" w:sz="0" w:space="0" w:color="auto"/>
      </w:divBdr>
    </w:div>
    <w:div w:id="1611089245">
      <w:bodyDiv w:val="1"/>
      <w:marLeft w:val="0"/>
      <w:marRight w:val="0"/>
      <w:marTop w:val="0"/>
      <w:marBottom w:val="0"/>
      <w:divBdr>
        <w:top w:val="none" w:sz="0" w:space="0" w:color="auto"/>
        <w:left w:val="none" w:sz="0" w:space="0" w:color="auto"/>
        <w:bottom w:val="none" w:sz="0" w:space="0" w:color="auto"/>
        <w:right w:val="none" w:sz="0" w:space="0" w:color="auto"/>
      </w:divBdr>
    </w:div>
    <w:div w:id="1612274036">
      <w:bodyDiv w:val="1"/>
      <w:marLeft w:val="0"/>
      <w:marRight w:val="0"/>
      <w:marTop w:val="0"/>
      <w:marBottom w:val="0"/>
      <w:divBdr>
        <w:top w:val="none" w:sz="0" w:space="0" w:color="auto"/>
        <w:left w:val="none" w:sz="0" w:space="0" w:color="auto"/>
        <w:bottom w:val="none" w:sz="0" w:space="0" w:color="auto"/>
        <w:right w:val="none" w:sz="0" w:space="0" w:color="auto"/>
      </w:divBdr>
    </w:div>
    <w:div w:id="1623338560">
      <w:bodyDiv w:val="1"/>
      <w:marLeft w:val="0"/>
      <w:marRight w:val="0"/>
      <w:marTop w:val="0"/>
      <w:marBottom w:val="0"/>
      <w:divBdr>
        <w:top w:val="none" w:sz="0" w:space="0" w:color="auto"/>
        <w:left w:val="none" w:sz="0" w:space="0" w:color="auto"/>
        <w:bottom w:val="none" w:sz="0" w:space="0" w:color="auto"/>
        <w:right w:val="none" w:sz="0" w:space="0" w:color="auto"/>
      </w:divBdr>
    </w:div>
    <w:div w:id="1625037875">
      <w:bodyDiv w:val="1"/>
      <w:marLeft w:val="0"/>
      <w:marRight w:val="0"/>
      <w:marTop w:val="0"/>
      <w:marBottom w:val="0"/>
      <w:divBdr>
        <w:top w:val="none" w:sz="0" w:space="0" w:color="auto"/>
        <w:left w:val="none" w:sz="0" w:space="0" w:color="auto"/>
        <w:bottom w:val="none" w:sz="0" w:space="0" w:color="auto"/>
        <w:right w:val="none" w:sz="0" w:space="0" w:color="auto"/>
      </w:divBdr>
    </w:div>
    <w:div w:id="1625189552">
      <w:bodyDiv w:val="1"/>
      <w:marLeft w:val="0"/>
      <w:marRight w:val="0"/>
      <w:marTop w:val="0"/>
      <w:marBottom w:val="0"/>
      <w:divBdr>
        <w:top w:val="none" w:sz="0" w:space="0" w:color="auto"/>
        <w:left w:val="none" w:sz="0" w:space="0" w:color="auto"/>
        <w:bottom w:val="none" w:sz="0" w:space="0" w:color="auto"/>
        <w:right w:val="none" w:sz="0" w:space="0" w:color="auto"/>
      </w:divBdr>
    </w:div>
    <w:div w:id="1626958039">
      <w:bodyDiv w:val="1"/>
      <w:marLeft w:val="0"/>
      <w:marRight w:val="0"/>
      <w:marTop w:val="0"/>
      <w:marBottom w:val="0"/>
      <w:divBdr>
        <w:top w:val="none" w:sz="0" w:space="0" w:color="auto"/>
        <w:left w:val="none" w:sz="0" w:space="0" w:color="auto"/>
        <w:bottom w:val="none" w:sz="0" w:space="0" w:color="auto"/>
        <w:right w:val="none" w:sz="0" w:space="0" w:color="auto"/>
      </w:divBdr>
    </w:div>
    <w:div w:id="1627617519">
      <w:bodyDiv w:val="1"/>
      <w:marLeft w:val="0"/>
      <w:marRight w:val="0"/>
      <w:marTop w:val="0"/>
      <w:marBottom w:val="0"/>
      <w:divBdr>
        <w:top w:val="none" w:sz="0" w:space="0" w:color="auto"/>
        <w:left w:val="none" w:sz="0" w:space="0" w:color="auto"/>
        <w:bottom w:val="none" w:sz="0" w:space="0" w:color="auto"/>
        <w:right w:val="none" w:sz="0" w:space="0" w:color="auto"/>
      </w:divBdr>
    </w:div>
    <w:div w:id="1632445423">
      <w:bodyDiv w:val="1"/>
      <w:marLeft w:val="0"/>
      <w:marRight w:val="0"/>
      <w:marTop w:val="0"/>
      <w:marBottom w:val="0"/>
      <w:divBdr>
        <w:top w:val="none" w:sz="0" w:space="0" w:color="auto"/>
        <w:left w:val="none" w:sz="0" w:space="0" w:color="auto"/>
        <w:bottom w:val="none" w:sz="0" w:space="0" w:color="auto"/>
        <w:right w:val="none" w:sz="0" w:space="0" w:color="auto"/>
      </w:divBdr>
    </w:div>
    <w:div w:id="1636636458">
      <w:bodyDiv w:val="1"/>
      <w:marLeft w:val="0"/>
      <w:marRight w:val="0"/>
      <w:marTop w:val="0"/>
      <w:marBottom w:val="0"/>
      <w:divBdr>
        <w:top w:val="none" w:sz="0" w:space="0" w:color="auto"/>
        <w:left w:val="none" w:sz="0" w:space="0" w:color="auto"/>
        <w:bottom w:val="none" w:sz="0" w:space="0" w:color="auto"/>
        <w:right w:val="none" w:sz="0" w:space="0" w:color="auto"/>
      </w:divBdr>
    </w:div>
    <w:div w:id="1638030309">
      <w:bodyDiv w:val="1"/>
      <w:marLeft w:val="0"/>
      <w:marRight w:val="0"/>
      <w:marTop w:val="0"/>
      <w:marBottom w:val="0"/>
      <w:divBdr>
        <w:top w:val="none" w:sz="0" w:space="0" w:color="auto"/>
        <w:left w:val="none" w:sz="0" w:space="0" w:color="auto"/>
        <w:bottom w:val="none" w:sz="0" w:space="0" w:color="auto"/>
        <w:right w:val="none" w:sz="0" w:space="0" w:color="auto"/>
      </w:divBdr>
    </w:div>
    <w:div w:id="1638798661">
      <w:bodyDiv w:val="1"/>
      <w:marLeft w:val="0"/>
      <w:marRight w:val="0"/>
      <w:marTop w:val="0"/>
      <w:marBottom w:val="0"/>
      <w:divBdr>
        <w:top w:val="none" w:sz="0" w:space="0" w:color="auto"/>
        <w:left w:val="none" w:sz="0" w:space="0" w:color="auto"/>
        <w:bottom w:val="none" w:sz="0" w:space="0" w:color="auto"/>
        <w:right w:val="none" w:sz="0" w:space="0" w:color="auto"/>
      </w:divBdr>
    </w:div>
    <w:div w:id="1640304341">
      <w:bodyDiv w:val="1"/>
      <w:marLeft w:val="0"/>
      <w:marRight w:val="0"/>
      <w:marTop w:val="0"/>
      <w:marBottom w:val="0"/>
      <w:divBdr>
        <w:top w:val="none" w:sz="0" w:space="0" w:color="auto"/>
        <w:left w:val="none" w:sz="0" w:space="0" w:color="auto"/>
        <w:bottom w:val="none" w:sz="0" w:space="0" w:color="auto"/>
        <w:right w:val="none" w:sz="0" w:space="0" w:color="auto"/>
      </w:divBdr>
    </w:div>
    <w:div w:id="1640720142">
      <w:bodyDiv w:val="1"/>
      <w:marLeft w:val="0"/>
      <w:marRight w:val="0"/>
      <w:marTop w:val="0"/>
      <w:marBottom w:val="0"/>
      <w:divBdr>
        <w:top w:val="none" w:sz="0" w:space="0" w:color="auto"/>
        <w:left w:val="none" w:sz="0" w:space="0" w:color="auto"/>
        <w:bottom w:val="none" w:sz="0" w:space="0" w:color="auto"/>
        <w:right w:val="none" w:sz="0" w:space="0" w:color="auto"/>
      </w:divBdr>
    </w:div>
    <w:div w:id="1641884648">
      <w:bodyDiv w:val="1"/>
      <w:marLeft w:val="0"/>
      <w:marRight w:val="0"/>
      <w:marTop w:val="0"/>
      <w:marBottom w:val="0"/>
      <w:divBdr>
        <w:top w:val="none" w:sz="0" w:space="0" w:color="auto"/>
        <w:left w:val="none" w:sz="0" w:space="0" w:color="auto"/>
        <w:bottom w:val="none" w:sz="0" w:space="0" w:color="auto"/>
        <w:right w:val="none" w:sz="0" w:space="0" w:color="auto"/>
      </w:divBdr>
    </w:div>
    <w:div w:id="1643654706">
      <w:bodyDiv w:val="1"/>
      <w:marLeft w:val="0"/>
      <w:marRight w:val="0"/>
      <w:marTop w:val="0"/>
      <w:marBottom w:val="0"/>
      <w:divBdr>
        <w:top w:val="none" w:sz="0" w:space="0" w:color="auto"/>
        <w:left w:val="none" w:sz="0" w:space="0" w:color="auto"/>
        <w:bottom w:val="none" w:sz="0" w:space="0" w:color="auto"/>
        <w:right w:val="none" w:sz="0" w:space="0" w:color="auto"/>
      </w:divBdr>
    </w:div>
    <w:div w:id="1657955840">
      <w:bodyDiv w:val="1"/>
      <w:marLeft w:val="0"/>
      <w:marRight w:val="0"/>
      <w:marTop w:val="0"/>
      <w:marBottom w:val="0"/>
      <w:divBdr>
        <w:top w:val="none" w:sz="0" w:space="0" w:color="auto"/>
        <w:left w:val="none" w:sz="0" w:space="0" w:color="auto"/>
        <w:bottom w:val="none" w:sz="0" w:space="0" w:color="auto"/>
        <w:right w:val="none" w:sz="0" w:space="0" w:color="auto"/>
      </w:divBdr>
    </w:div>
    <w:div w:id="1659336710">
      <w:bodyDiv w:val="1"/>
      <w:marLeft w:val="0"/>
      <w:marRight w:val="0"/>
      <w:marTop w:val="0"/>
      <w:marBottom w:val="0"/>
      <w:divBdr>
        <w:top w:val="none" w:sz="0" w:space="0" w:color="auto"/>
        <w:left w:val="none" w:sz="0" w:space="0" w:color="auto"/>
        <w:bottom w:val="none" w:sz="0" w:space="0" w:color="auto"/>
        <w:right w:val="none" w:sz="0" w:space="0" w:color="auto"/>
      </w:divBdr>
    </w:div>
    <w:div w:id="1659772989">
      <w:bodyDiv w:val="1"/>
      <w:marLeft w:val="0"/>
      <w:marRight w:val="0"/>
      <w:marTop w:val="0"/>
      <w:marBottom w:val="0"/>
      <w:divBdr>
        <w:top w:val="none" w:sz="0" w:space="0" w:color="auto"/>
        <w:left w:val="none" w:sz="0" w:space="0" w:color="auto"/>
        <w:bottom w:val="none" w:sz="0" w:space="0" w:color="auto"/>
        <w:right w:val="none" w:sz="0" w:space="0" w:color="auto"/>
      </w:divBdr>
    </w:div>
    <w:div w:id="1661887650">
      <w:bodyDiv w:val="1"/>
      <w:marLeft w:val="0"/>
      <w:marRight w:val="0"/>
      <w:marTop w:val="0"/>
      <w:marBottom w:val="0"/>
      <w:divBdr>
        <w:top w:val="none" w:sz="0" w:space="0" w:color="auto"/>
        <w:left w:val="none" w:sz="0" w:space="0" w:color="auto"/>
        <w:bottom w:val="none" w:sz="0" w:space="0" w:color="auto"/>
        <w:right w:val="none" w:sz="0" w:space="0" w:color="auto"/>
      </w:divBdr>
    </w:div>
    <w:div w:id="1664815447">
      <w:bodyDiv w:val="1"/>
      <w:marLeft w:val="0"/>
      <w:marRight w:val="0"/>
      <w:marTop w:val="0"/>
      <w:marBottom w:val="0"/>
      <w:divBdr>
        <w:top w:val="none" w:sz="0" w:space="0" w:color="auto"/>
        <w:left w:val="none" w:sz="0" w:space="0" w:color="auto"/>
        <w:bottom w:val="none" w:sz="0" w:space="0" w:color="auto"/>
        <w:right w:val="none" w:sz="0" w:space="0" w:color="auto"/>
      </w:divBdr>
    </w:div>
    <w:div w:id="1669869384">
      <w:bodyDiv w:val="1"/>
      <w:marLeft w:val="0"/>
      <w:marRight w:val="0"/>
      <w:marTop w:val="0"/>
      <w:marBottom w:val="0"/>
      <w:divBdr>
        <w:top w:val="none" w:sz="0" w:space="0" w:color="auto"/>
        <w:left w:val="none" w:sz="0" w:space="0" w:color="auto"/>
        <w:bottom w:val="none" w:sz="0" w:space="0" w:color="auto"/>
        <w:right w:val="none" w:sz="0" w:space="0" w:color="auto"/>
      </w:divBdr>
    </w:div>
    <w:div w:id="1670936997">
      <w:bodyDiv w:val="1"/>
      <w:marLeft w:val="0"/>
      <w:marRight w:val="0"/>
      <w:marTop w:val="0"/>
      <w:marBottom w:val="0"/>
      <w:divBdr>
        <w:top w:val="none" w:sz="0" w:space="0" w:color="auto"/>
        <w:left w:val="none" w:sz="0" w:space="0" w:color="auto"/>
        <w:bottom w:val="none" w:sz="0" w:space="0" w:color="auto"/>
        <w:right w:val="none" w:sz="0" w:space="0" w:color="auto"/>
      </w:divBdr>
    </w:div>
    <w:div w:id="1671759888">
      <w:bodyDiv w:val="1"/>
      <w:marLeft w:val="0"/>
      <w:marRight w:val="0"/>
      <w:marTop w:val="0"/>
      <w:marBottom w:val="0"/>
      <w:divBdr>
        <w:top w:val="none" w:sz="0" w:space="0" w:color="auto"/>
        <w:left w:val="none" w:sz="0" w:space="0" w:color="auto"/>
        <w:bottom w:val="none" w:sz="0" w:space="0" w:color="auto"/>
        <w:right w:val="none" w:sz="0" w:space="0" w:color="auto"/>
      </w:divBdr>
    </w:div>
    <w:div w:id="1676106705">
      <w:bodyDiv w:val="1"/>
      <w:marLeft w:val="0"/>
      <w:marRight w:val="0"/>
      <w:marTop w:val="0"/>
      <w:marBottom w:val="0"/>
      <w:divBdr>
        <w:top w:val="none" w:sz="0" w:space="0" w:color="auto"/>
        <w:left w:val="none" w:sz="0" w:space="0" w:color="auto"/>
        <w:bottom w:val="none" w:sz="0" w:space="0" w:color="auto"/>
        <w:right w:val="none" w:sz="0" w:space="0" w:color="auto"/>
      </w:divBdr>
    </w:div>
    <w:div w:id="1680161510">
      <w:bodyDiv w:val="1"/>
      <w:marLeft w:val="0"/>
      <w:marRight w:val="0"/>
      <w:marTop w:val="0"/>
      <w:marBottom w:val="0"/>
      <w:divBdr>
        <w:top w:val="none" w:sz="0" w:space="0" w:color="auto"/>
        <w:left w:val="none" w:sz="0" w:space="0" w:color="auto"/>
        <w:bottom w:val="none" w:sz="0" w:space="0" w:color="auto"/>
        <w:right w:val="none" w:sz="0" w:space="0" w:color="auto"/>
      </w:divBdr>
    </w:div>
    <w:div w:id="1680546775">
      <w:bodyDiv w:val="1"/>
      <w:marLeft w:val="0"/>
      <w:marRight w:val="0"/>
      <w:marTop w:val="0"/>
      <w:marBottom w:val="0"/>
      <w:divBdr>
        <w:top w:val="none" w:sz="0" w:space="0" w:color="auto"/>
        <w:left w:val="none" w:sz="0" w:space="0" w:color="auto"/>
        <w:bottom w:val="none" w:sz="0" w:space="0" w:color="auto"/>
        <w:right w:val="none" w:sz="0" w:space="0" w:color="auto"/>
      </w:divBdr>
    </w:div>
    <w:div w:id="1681158421">
      <w:bodyDiv w:val="1"/>
      <w:marLeft w:val="0"/>
      <w:marRight w:val="0"/>
      <w:marTop w:val="0"/>
      <w:marBottom w:val="0"/>
      <w:divBdr>
        <w:top w:val="none" w:sz="0" w:space="0" w:color="auto"/>
        <w:left w:val="none" w:sz="0" w:space="0" w:color="auto"/>
        <w:bottom w:val="none" w:sz="0" w:space="0" w:color="auto"/>
        <w:right w:val="none" w:sz="0" w:space="0" w:color="auto"/>
      </w:divBdr>
    </w:div>
    <w:div w:id="1682508561">
      <w:bodyDiv w:val="1"/>
      <w:marLeft w:val="0"/>
      <w:marRight w:val="0"/>
      <w:marTop w:val="0"/>
      <w:marBottom w:val="0"/>
      <w:divBdr>
        <w:top w:val="none" w:sz="0" w:space="0" w:color="auto"/>
        <w:left w:val="none" w:sz="0" w:space="0" w:color="auto"/>
        <w:bottom w:val="none" w:sz="0" w:space="0" w:color="auto"/>
        <w:right w:val="none" w:sz="0" w:space="0" w:color="auto"/>
      </w:divBdr>
    </w:div>
    <w:div w:id="1682926911">
      <w:bodyDiv w:val="1"/>
      <w:marLeft w:val="0"/>
      <w:marRight w:val="0"/>
      <w:marTop w:val="0"/>
      <w:marBottom w:val="0"/>
      <w:divBdr>
        <w:top w:val="none" w:sz="0" w:space="0" w:color="auto"/>
        <w:left w:val="none" w:sz="0" w:space="0" w:color="auto"/>
        <w:bottom w:val="none" w:sz="0" w:space="0" w:color="auto"/>
        <w:right w:val="none" w:sz="0" w:space="0" w:color="auto"/>
      </w:divBdr>
    </w:div>
    <w:div w:id="1683122091">
      <w:bodyDiv w:val="1"/>
      <w:marLeft w:val="0"/>
      <w:marRight w:val="0"/>
      <w:marTop w:val="0"/>
      <w:marBottom w:val="0"/>
      <w:divBdr>
        <w:top w:val="none" w:sz="0" w:space="0" w:color="auto"/>
        <w:left w:val="none" w:sz="0" w:space="0" w:color="auto"/>
        <w:bottom w:val="none" w:sz="0" w:space="0" w:color="auto"/>
        <w:right w:val="none" w:sz="0" w:space="0" w:color="auto"/>
      </w:divBdr>
    </w:div>
    <w:div w:id="1690834813">
      <w:bodyDiv w:val="1"/>
      <w:marLeft w:val="0"/>
      <w:marRight w:val="0"/>
      <w:marTop w:val="0"/>
      <w:marBottom w:val="0"/>
      <w:divBdr>
        <w:top w:val="none" w:sz="0" w:space="0" w:color="auto"/>
        <w:left w:val="none" w:sz="0" w:space="0" w:color="auto"/>
        <w:bottom w:val="none" w:sz="0" w:space="0" w:color="auto"/>
        <w:right w:val="none" w:sz="0" w:space="0" w:color="auto"/>
      </w:divBdr>
    </w:div>
    <w:div w:id="1693610087">
      <w:bodyDiv w:val="1"/>
      <w:marLeft w:val="0"/>
      <w:marRight w:val="0"/>
      <w:marTop w:val="0"/>
      <w:marBottom w:val="0"/>
      <w:divBdr>
        <w:top w:val="none" w:sz="0" w:space="0" w:color="auto"/>
        <w:left w:val="none" w:sz="0" w:space="0" w:color="auto"/>
        <w:bottom w:val="none" w:sz="0" w:space="0" w:color="auto"/>
        <w:right w:val="none" w:sz="0" w:space="0" w:color="auto"/>
      </w:divBdr>
    </w:div>
    <w:div w:id="1697384690">
      <w:bodyDiv w:val="1"/>
      <w:marLeft w:val="0"/>
      <w:marRight w:val="0"/>
      <w:marTop w:val="0"/>
      <w:marBottom w:val="0"/>
      <w:divBdr>
        <w:top w:val="none" w:sz="0" w:space="0" w:color="auto"/>
        <w:left w:val="none" w:sz="0" w:space="0" w:color="auto"/>
        <w:bottom w:val="none" w:sz="0" w:space="0" w:color="auto"/>
        <w:right w:val="none" w:sz="0" w:space="0" w:color="auto"/>
      </w:divBdr>
    </w:div>
    <w:div w:id="1700277047">
      <w:bodyDiv w:val="1"/>
      <w:marLeft w:val="0"/>
      <w:marRight w:val="0"/>
      <w:marTop w:val="0"/>
      <w:marBottom w:val="0"/>
      <w:divBdr>
        <w:top w:val="none" w:sz="0" w:space="0" w:color="auto"/>
        <w:left w:val="none" w:sz="0" w:space="0" w:color="auto"/>
        <w:bottom w:val="none" w:sz="0" w:space="0" w:color="auto"/>
        <w:right w:val="none" w:sz="0" w:space="0" w:color="auto"/>
      </w:divBdr>
    </w:div>
    <w:div w:id="1700277423">
      <w:bodyDiv w:val="1"/>
      <w:marLeft w:val="0"/>
      <w:marRight w:val="0"/>
      <w:marTop w:val="0"/>
      <w:marBottom w:val="0"/>
      <w:divBdr>
        <w:top w:val="none" w:sz="0" w:space="0" w:color="auto"/>
        <w:left w:val="none" w:sz="0" w:space="0" w:color="auto"/>
        <w:bottom w:val="none" w:sz="0" w:space="0" w:color="auto"/>
        <w:right w:val="none" w:sz="0" w:space="0" w:color="auto"/>
      </w:divBdr>
    </w:div>
    <w:div w:id="1709257230">
      <w:bodyDiv w:val="1"/>
      <w:marLeft w:val="0"/>
      <w:marRight w:val="0"/>
      <w:marTop w:val="0"/>
      <w:marBottom w:val="0"/>
      <w:divBdr>
        <w:top w:val="none" w:sz="0" w:space="0" w:color="auto"/>
        <w:left w:val="none" w:sz="0" w:space="0" w:color="auto"/>
        <w:bottom w:val="none" w:sz="0" w:space="0" w:color="auto"/>
        <w:right w:val="none" w:sz="0" w:space="0" w:color="auto"/>
      </w:divBdr>
    </w:div>
    <w:div w:id="1713337248">
      <w:bodyDiv w:val="1"/>
      <w:marLeft w:val="0"/>
      <w:marRight w:val="0"/>
      <w:marTop w:val="0"/>
      <w:marBottom w:val="0"/>
      <w:divBdr>
        <w:top w:val="none" w:sz="0" w:space="0" w:color="auto"/>
        <w:left w:val="none" w:sz="0" w:space="0" w:color="auto"/>
        <w:bottom w:val="none" w:sz="0" w:space="0" w:color="auto"/>
        <w:right w:val="none" w:sz="0" w:space="0" w:color="auto"/>
      </w:divBdr>
    </w:div>
    <w:div w:id="1713656219">
      <w:bodyDiv w:val="1"/>
      <w:marLeft w:val="0"/>
      <w:marRight w:val="0"/>
      <w:marTop w:val="0"/>
      <w:marBottom w:val="0"/>
      <w:divBdr>
        <w:top w:val="none" w:sz="0" w:space="0" w:color="auto"/>
        <w:left w:val="none" w:sz="0" w:space="0" w:color="auto"/>
        <w:bottom w:val="none" w:sz="0" w:space="0" w:color="auto"/>
        <w:right w:val="none" w:sz="0" w:space="0" w:color="auto"/>
      </w:divBdr>
    </w:div>
    <w:div w:id="1717124131">
      <w:bodyDiv w:val="1"/>
      <w:marLeft w:val="0"/>
      <w:marRight w:val="0"/>
      <w:marTop w:val="0"/>
      <w:marBottom w:val="0"/>
      <w:divBdr>
        <w:top w:val="none" w:sz="0" w:space="0" w:color="auto"/>
        <w:left w:val="none" w:sz="0" w:space="0" w:color="auto"/>
        <w:bottom w:val="none" w:sz="0" w:space="0" w:color="auto"/>
        <w:right w:val="none" w:sz="0" w:space="0" w:color="auto"/>
      </w:divBdr>
    </w:div>
    <w:div w:id="1717776786">
      <w:bodyDiv w:val="1"/>
      <w:marLeft w:val="0"/>
      <w:marRight w:val="0"/>
      <w:marTop w:val="0"/>
      <w:marBottom w:val="0"/>
      <w:divBdr>
        <w:top w:val="none" w:sz="0" w:space="0" w:color="auto"/>
        <w:left w:val="none" w:sz="0" w:space="0" w:color="auto"/>
        <w:bottom w:val="none" w:sz="0" w:space="0" w:color="auto"/>
        <w:right w:val="none" w:sz="0" w:space="0" w:color="auto"/>
      </w:divBdr>
    </w:div>
    <w:div w:id="1717850340">
      <w:bodyDiv w:val="1"/>
      <w:marLeft w:val="0"/>
      <w:marRight w:val="0"/>
      <w:marTop w:val="0"/>
      <w:marBottom w:val="0"/>
      <w:divBdr>
        <w:top w:val="none" w:sz="0" w:space="0" w:color="auto"/>
        <w:left w:val="none" w:sz="0" w:space="0" w:color="auto"/>
        <w:bottom w:val="none" w:sz="0" w:space="0" w:color="auto"/>
        <w:right w:val="none" w:sz="0" w:space="0" w:color="auto"/>
      </w:divBdr>
    </w:div>
    <w:div w:id="1718434697">
      <w:bodyDiv w:val="1"/>
      <w:marLeft w:val="0"/>
      <w:marRight w:val="0"/>
      <w:marTop w:val="0"/>
      <w:marBottom w:val="0"/>
      <w:divBdr>
        <w:top w:val="none" w:sz="0" w:space="0" w:color="auto"/>
        <w:left w:val="none" w:sz="0" w:space="0" w:color="auto"/>
        <w:bottom w:val="none" w:sz="0" w:space="0" w:color="auto"/>
        <w:right w:val="none" w:sz="0" w:space="0" w:color="auto"/>
      </w:divBdr>
    </w:div>
    <w:div w:id="1720590920">
      <w:bodyDiv w:val="1"/>
      <w:marLeft w:val="0"/>
      <w:marRight w:val="0"/>
      <w:marTop w:val="0"/>
      <w:marBottom w:val="0"/>
      <w:divBdr>
        <w:top w:val="none" w:sz="0" w:space="0" w:color="auto"/>
        <w:left w:val="none" w:sz="0" w:space="0" w:color="auto"/>
        <w:bottom w:val="none" w:sz="0" w:space="0" w:color="auto"/>
        <w:right w:val="none" w:sz="0" w:space="0" w:color="auto"/>
      </w:divBdr>
    </w:div>
    <w:div w:id="1721854665">
      <w:bodyDiv w:val="1"/>
      <w:marLeft w:val="0"/>
      <w:marRight w:val="0"/>
      <w:marTop w:val="0"/>
      <w:marBottom w:val="0"/>
      <w:divBdr>
        <w:top w:val="none" w:sz="0" w:space="0" w:color="auto"/>
        <w:left w:val="none" w:sz="0" w:space="0" w:color="auto"/>
        <w:bottom w:val="none" w:sz="0" w:space="0" w:color="auto"/>
        <w:right w:val="none" w:sz="0" w:space="0" w:color="auto"/>
      </w:divBdr>
      <w:divsChild>
        <w:div w:id="11410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596145">
      <w:bodyDiv w:val="1"/>
      <w:marLeft w:val="0"/>
      <w:marRight w:val="0"/>
      <w:marTop w:val="0"/>
      <w:marBottom w:val="0"/>
      <w:divBdr>
        <w:top w:val="none" w:sz="0" w:space="0" w:color="auto"/>
        <w:left w:val="none" w:sz="0" w:space="0" w:color="auto"/>
        <w:bottom w:val="none" w:sz="0" w:space="0" w:color="auto"/>
        <w:right w:val="none" w:sz="0" w:space="0" w:color="auto"/>
      </w:divBdr>
    </w:div>
    <w:div w:id="1725641323">
      <w:bodyDiv w:val="1"/>
      <w:marLeft w:val="0"/>
      <w:marRight w:val="0"/>
      <w:marTop w:val="0"/>
      <w:marBottom w:val="0"/>
      <w:divBdr>
        <w:top w:val="none" w:sz="0" w:space="0" w:color="auto"/>
        <w:left w:val="none" w:sz="0" w:space="0" w:color="auto"/>
        <w:bottom w:val="none" w:sz="0" w:space="0" w:color="auto"/>
        <w:right w:val="none" w:sz="0" w:space="0" w:color="auto"/>
      </w:divBdr>
    </w:div>
    <w:div w:id="1728528253">
      <w:bodyDiv w:val="1"/>
      <w:marLeft w:val="0"/>
      <w:marRight w:val="0"/>
      <w:marTop w:val="0"/>
      <w:marBottom w:val="0"/>
      <w:divBdr>
        <w:top w:val="none" w:sz="0" w:space="0" w:color="auto"/>
        <w:left w:val="none" w:sz="0" w:space="0" w:color="auto"/>
        <w:bottom w:val="none" w:sz="0" w:space="0" w:color="auto"/>
        <w:right w:val="none" w:sz="0" w:space="0" w:color="auto"/>
      </w:divBdr>
    </w:div>
    <w:div w:id="1728606123">
      <w:bodyDiv w:val="1"/>
      <w:marLeft w:val="0"/>
      <w:marRight w:val="0"/>
      <w:marTop w:val="0"/>
      <w:marBottom w:val="0"/>
      <w:divBdr>
        <w:top w:val="none" w:sz="0" w:space="0" w:color="auto"/>
        <w:left w:val="none" w:sz="0" w:space="0" w:color="auto"/>
        <w:bottom w:val="none" w:sz="0" w:space="0" w:color="auto"/>
        <w:right w:val="none" w:sz="0" w:space="0" w:color="auto"/>
      </w:divBdr>
    </w:div>
    <w:div w:id="1730028939">
      <w:bodyDiv w:val="1"/>
      <w:marLeft w:val="0"/>
      <w:marRight w:val="0"/>
      <w:marTop w:val="0"/>
      <w:marBottom w:val="0"/>
      <w:divBdr>
        <w:top w:val="none" w:sz="0" w:space="0" w:color="auto"/>
        <w:left w:val="none" w:sz="0" w:space="0" w:color="auto"/>
        <w:bottom w:val="none" w:sz="0" w:space="0" w:color="auto"/>
        <w:right w:val="none" w:sz="0" w:space="0" w:color="auto"/>
      </w:divBdr>
    </w:div>
    <w:div w:id="1738898355">
      <w:bodyDiv w:val="1"/>
      <w:marLeft w:val="0"/>
      <w:marRight w:val="0"/>
      <w:marTop w:val="0"/>
      <w:marBottom w:val="0"/>
      <w:divBdr>
        <w:top w:val="none" w:sz="0" w:space="0" w:color="auto"/>
        <w:left w:val="none" w:sz="0" w:space="0" w:color="auto"/>
        <w:bottom w:val="none" w:sz="0" w:space="0" w:color="auto"/>
        <w:right w:val="none" w:sz="0" w:space="0" w:color="auto"/>
      </w:divBdr>
    </w:div>
    <w:div w:id="1739280990">
      <w:bodyDiv w:val="1"/>
      <w:marLeft w:val="0"/>
      <w:marRight w:val="0"/>
      <w:marTop w:val="0"/>
      <w:marBottom w:val="0"/>
      <w:divBdr>
        <w:top w:val="none" w:sz="0" w:space="0" w:color="auto"/>
        <w:left w:val="none" w:sz="0" w:space="0" w:color="auto"/>
        <w:bottom w:val="none" w:sz="0" w:space="0" w:color="auto"/>
        <w:right w:val="none" w:sz="0" w:space="0" w:color="auto"/>
      </w:divBdr>
    </w:div>
    <w:div w:id="1742406146">
      <w:bodyDiv w:val="1"/>
      <w:marLeft w:val="0"/>
      <w:marRight w:val="0"/>
      <w:marTop w:val="0"/>
      <w:marBottom w:val="0"/>
      <w:divBdr>
        <w:top w:val="none" w:sz="0" w:space="0" w:color="auto"/>
        <w:left w:val="none" w:sz="0" w:space="0" w:color="auto"/>
        <w:bottom w:val="none" w:sz="0" w:space="0" w:color="auto"/>
        <w:right w:val="none" w:sz="0" w:space="0" w:color="auto"/>
      </w:divBdr>
    </w:div>
    <w:div w:id="1744058704">
      <w:bodyDiv w:val="1"/>
      <w:marLeft w:val="0"/>
      <w:marRight w:val="0"/>
      <w:marTop w:val="0"/>
      <w:marBottom w:val="0"/>
      <w:divBdr>
        <w:top w:val="none" w:sz="0" w:space="0" w:color="auto"/>
        <w:left w:val="none" w:sz="0" w:space="0" w:color="auto"/>
        <w:bottom w:val="none" w:sz="0" w:space="0" w:color="auto"/>
        <w:right w:val="none" w:sz="0" w:space="0" w:color="auto"/>
      </w:divBdr>
    </w:div>
    <w:div w:id="1746151239">
      <w:bodyDiv w:val="1"/>
      <w:marLeft w:val="0"/>
      <w:marRight w:val="0"/>
      <w:marTop w:val="0"/>
      <w:marBottom w:val="0"/>
      <w:divBdr>
        <w:top w:val="none" w:sz="0" w:space="0" w:color="auto"/>
        <w:left w:val="none" w:sz="0" w:space="0" w:color="auto"/>
        <w:bottom w:val="none" w:sz="0" w:space="0" w:color="auto"/>
        <w:right w:val="none" w:sz="0" w:space="0" w:color="auto"/>
      </w:divBdr>
    </w:div>
    <w:div w:id="1746560949">
      <w:bodyDiv w:val="1"/>
      <w:marLeft w:val="0"/>
      <w:marRight w:val="0"/>
      <w:marTop w:val="0"/>
      <w:marBottom w:val="0"/>
      <w:divBdr>
        <w:top w:val="none" w:sz="0" w:space="0" w:color="auto"/>
        <w:left w:val="none" w:sz="0" w:space="0" w:color="auto"/>
        <w:bottom w:val="none" w:sz="0" w:space="0" w:color="auto"/>
        <w:right w:val="none" w:sz="0" w:space="0" w:color="auto"/>
      </w:divBdr>
    </w:div>
    <w:div w:id="1748385261">
      <w:bodyDiv w:val="1"/>
      <w:marLeft w:val="0"/>
      <w:marRight w:val="0"/>
      <w:marTop w:val="0"/>
      <w:marBottom w:val="0"/>
      <w:divBdr>
        <w:top w:val="none" w:sz="0" w:space="0" w:color="auto"/>
        <w:left w:val="none" w:sz="0" w:space="0" w:color="auto"/>
        <w:bottom w:val="none" w:sz="0" w:space="0" w:color="auto"/>
        <w:right w:val="none" w:sz="0" w:space="0" w:color="auto"/>
      </w:divBdr>
    </w:div>
    <w:div w:id="1751196347">
      <w:bodyDiv w:val="1"/>
      <w:marLeft w:val="0"/>
      <w:marRight w:val="0"/>
      <w:marTop w:val="0"/>
      <w:marBottom w:val="0"/>
      <w:divBdr>
        <w:top w:val="none" w:sz="0" w:space="0" w:color="auto"/>
        <w:left w:val="none" w:sz="0" w:space="0" w:color="auto"/>
        <w:bottom w:val="none" w:sz="0" w:space="0" w:color="auto"/>
        <w:right w:val="none" w:sz="0" w:space="0" w:color="auto"/>
      </w:divBdr>
    </w:div>
    <w:div w:id="1752776753">
      <w:bodyDiv w:val="1"/>
      <w:marLeft w:val="0"/>
      <w:marRight w:val="0"/>
      <w:marTop w:val="0"/>
      <w:marBottom w:val="0"/>
      <w:divBdr>
        <w:top w:val="none" w:sz="0" w:space="0" w:color="auto"/>
        <w:left w:val="none" w:sz="0" w:space="0" w:color="auto"/>
        <w:bottom w:val="none" w:sz="0" w:space="0" w:color="auto"/>
        <w:right w:val="none" w:sz="0" w:space="0" w:color="auto"/>
      </w:divBdr>
    </w:div>
    <w:div w:id="1753622135">
      <w:bodyDiv w:val="1"/>
      <w:marLeft w:val="0"/>
      <w:marRight w:val="0"/>
      <w:marTop w:val="0"/>
      <w:marBottom w:val="0"/>
      <w:divBdr>
        <w:top w:val="none" w:sz="0" w:space="0" w:color="auto"/>
        <w:left w:val="none" w:sz="0" w:space="0" w:color="auto"/>
        <w:bottom w:val="none" w:sz="0" w:space="0" w:color="auto"/>
        <w:right w:val="none" w:sz="0" w:space="0" w:color="auto"/>
      </w:divBdr>
    </w:div>
    <w:div w:id="1754160904">
      <w:bodyDiv w:val="1"/>
      <w:marLeft w:val="0"/>
      <w:marRight w:val="0"/>
      <w:marTop w:val="0"/>
      <w:marBottom w:val="0"/>
      <w:divBdr>
        <w:top w:val="none" w:sz="0" w:space="0" w:color="auto"/>
        <w:left w:val="none" w:sz="0" w:space="0" w:color="auto"/>
        <w:bottom w:val="none" w:sz="0" w:space="0" w:color="auto"/>
        <w:right w:val="none" w:sz="0" w:space="0" w:color="auto"/>
      </w:divBdr>
    </w:div>
    <w:div w:id="1756245397">
      <w:bodyDiv w:val="1"/>
      <w:marLeft w:val="0"/>
      <w:marRight w:val="0"/>
      <w:marTop w:val="0"/>
      <w:marBottom w:val="0"/>
      <w:divBdr>
        <w:top w:val="none" w:sz="0" w:space="0" w:color="auto"/>
        <w:left w:val="none" w:sz="0" w:space="0" w:color="auto"/>
        <w:bottom w:val="none" w:sz="0" w:space="0" w:color="auto"/>
        <w:right w:val="none" w:sz="0" w:space="0" w:color="auto"/>
      </w:divBdr>
    </w:div>
    <w:div w:id="1765834628">
      <w:bodyDiv w:val="1"/>
      <w:marLeft w:val="0"/>
      <w:marRight w:val="0"/>
      <w:marTop w:val="0"/>
      <w:marBottom w:val="0"/>
      <w:divBdr>
        <w:top w:val="none" w:sz="0" w:space="0" w:color="auto"/>
        <w:left w:val="none" w:sz="0" w:space="0" w:color="auto"/>
        <w:bottom w:val="none" w:sz="0" w:space="0" w:color="auto"/>
        <w:right w:val="none" w:sz="0" w:space="0" w:color="auto"/>
      </w:divBdr>
    </w:div>
    <w:div w:id="1766267616">
      <w:bodyDiv w:val="1"/>
      <w:marLeft w:val="0"/>
      <w:marRight w:val="0"/>
      <w:marTop w:val="0"/>
      <w:marBottom w:val="0"/>
      <w:divBdr>
        <w:top w:val="none" w:sz="0" w:space="0" w:color="auto"/>
        <w:left w:val="none" w:sz="0" w:space="0" w:color="auto"/>
        <w:bottom w:val="none" w:sz="0" w:space="0" w:color="auto"/>
        <w:right w:val="none" w:sz="0" w:space="0" w:color="auto"/>
      </w:divBdr>
    </w:div>
    <w:div w:id="1766342043">
      <w:bodyDiv w:val="1"/>
      <w:marLeft w:val="0"/>
      <w:marRight w:val="0"/>
      <w:marTop w:val="0"/>
      <w:marBottom w:val="0"/>
      <w:divBdr>
        <w:top w:val="none" w:sz="0" w:space="0" w:color="auto"/>
        <w:left w:val="none" w:sz="0" w:space="0" w:color="auto"/>
        <w:bottom w:val="none" w:sz="0" w:space="0" w:color="auto"/>
        <w:right w:val="none" w:sz="0" w:space="0" w:color="auto"/>
      </w:divBdr>
    </w:div>
    <w:div w:id="1767771674">
      <w:bodyDiv w:val="1"/>
      <w:marLeft w:val="0"/>
      <w:marRight w:val="0"/>
      <w:marTop w:val="0"/>
      <w:marBottom w:val="0"/>
      <w:divBdr>
        <w:top w:val="none" w:sz="0" w:space="0" w:color="auto"/>
        <w:left w:val="none" w:sz="0" w:space="0" w:color="auto"/>
        <w:bottom w:val="none" w:sz="0" w:space="0" w:color="auto"/>
        <w:right w:val="none" w:sz="0" w:space="0" w:color="auto"/>
      </w:divBdr>
    </w:div>
    <w:div w:id="1769151378">
      <w:bodyDiv w:val="1"/>
      <w:marLeft w:val="0"/>
      <w:marRight w:val="0"/>
      <w:marTop w:val="0"/>
      <w:marBottom w:val="0"/>
      <w:divBdr>
        <w:top w:val="none" w:sz="0" w:space="0" w:color="auto"/>
        <w:left w:val="none" w:sz="0" w:space="0" w:color="auto"/>
        <w:bottom w:val="none" w:sz="0" w:space="0" w:color="auto"/>
        <w:right w:val="none" w:sz="0" w:space="0" w:color="auto"/>
      </w:divBdr>
    </w:div>
    <w:div w:id="1771313113">
      <w:bodyDiv w:val="1"/>
      <w:marLeft w:val="0"/>
      <w:marRight w:val="0"/>
      <w:marTop w:val="0"/>
      <w:marBottom w:val="0"/>
      <w:divBdr>
        <w:top w:val="none" w:sz="0" w:space="0" w:color="auto"/>
        <w:left w:val="none" w:sz="0" w:space="0" w:color="auto"/>
        <w:bottom w:val="none" w:sz="0" w:space="0" w:color="auto"/>
        <w:right w:val="none" w:sz="0" w:space="0" w:color="auto"/>
      </w:divBdr>
    </w:div>
    <w:div w:id="1772240746">
      <w:bodyDiv w:val="1"/>
      <w:marLeft w:val="0"/>
      <w:marRight w:val="0"/>
      <w:marTop w:val="0"/>
      <w:marBottom w:val="0"/>
      <w:divBdr>
        <w:top w:val="none" w:sz="0" w:space="0" w:color="auto"/>
        <w:left w:val="none" w:sz="0" w:space="0" w:color="auto"/>
        <w:bottom w:val="none" w:sz="0" w:space="0" w:color="auto"/>
        <w:right w:val="none" w:sz="0" w:space="0" w:color="auto"/>
      </w:divBdr>
    </w:div>
    <w:div w:id="1772510579">
      <w:bodyDiv w:val="1"/>
      <w:marLeft w:val="0"/>
      <w:marRight w:val="0"/>
      <w:marTop w:val="0"/>
      <w:marBottom w:val="0"/>
      <w:divBdr>
        <w:top w:val="none" w:sz="0" w:space="0" w:color="auto"/>
        <w:left w:val="none" w:sz="0" w:space="0" w:color="auto"/>
        <w:bottom w:val="none" w:sz="0" w:space="0" w:color="auto"/>
        <w:right w:val="none" w:sz="0" w:space="0" w:color="auto"/>
      </w:divBdr>
    </w:div>
    <w:div w:id="1775055871">
      <w:bodyDiv w:val="1"/>
      <w:marLeft w:val="0"/>
      <w:marRight w:val="0"/>
      <w:marTop w:val="0"/>
      <w:marBottom w:val="0"/>
      <w:divBdr>
        <w:top w:val="none" w:sz="0" w:space="0" w:color="auto"/>
        <w:left w:val="none" w:sz="0" w:space="0" w:color="auto"/>
        <w:bottom w:val="none" w:sz="0" w:space="0" w:color="auto"/>
        <w:right w:val="none" w:sz="0" w:space="0" w:color="auto"/>
      </w:divBdr>
    </w:div>
    <w:div w:id="1776556485">
      <w:bodyDiv w:val="1"/>
      <w:marLeft w:val="0"/>
      <w:marRight w:val="0"/>
      <w:marTop w:val="0"/>
      <w:marBottom w:val="0"/>
      <w:divBdr>
        <w:top w:val="none" w:sz="0" w:space="0" w:color="auto"/>
        <w:left w:val="none" w:sz="0" w:space="0" w:color="auto"/>
        <w:bottom w:val="none" w:sz="0" w:space="0" w:color="auto"/>
        <w:right w:val="none" w:sz="0" w:space="0" w:color="auto"/>
      </w:divBdr>
    </w:div>
    <w:div w:id="1776748832">
      <w:bodyDiv w:val="1"/>
      <w:marLeft w:val="0"/>
      <w:marRight w:val="0"/>
      <w:marTop w:val="0"/>
      <w:marBottom w:val="0"/>
      <w:divBdr>
        <w:top w:val="none" w:sz="0" w:space="0" w:color="auto"/>
        <w:left w:val="none" w:sz="0" w:space="0" w:color="auto"/>
        <w:bottom w:val="none" w:sz="0" w:space="0" w:color="auto"/>
        <w:right w:val="none" w:sz="0" w:space="0" w:color="auto"/>
      </w:divBdr>
    </w:div>
    <w:div w:id="1776821515">
      <w:bodyDiv w:val="1"/>
      <w:marLeft w:val="0"/>
      <w:marRight w:val="0"/>
      <w:marTop w:val="0"/>
      <w:marBottom w:val="0"/>
      <w:divBdr>
        <w:top w:val="none" w:sz="0" w:space="0" w:color="auto"/>
        <w:left w:val="none" w:sz="0" w:space="0" w:color="auto"/>
        <w:bottom w:val="none" w:sz="0" w:space="0" w:color="auto"/>
        <w:right w:val="none" w:sz="0" w:space="0" w:color="auto"/>
      </w:divBdr>
    </w:div>
    <w:div w:id="1780298865">
      <w:bodyDiv w:val="1"/>
      <w:marLeft w:val="0"/>
      <w:marRight w:val="0"/>
      <w:marTop w:val="0"/>
      <w:marBottom w:val="0"/>
      <w:divBdr>
        <w:top w:val="none" w:sz="0" w:space="0" w:color="auto"/>
        <w:left w:val="none" w:sz="0" w:space="0" w:color="auto"/>
        <w:bottom w:val="none" w:sz="0" w:space="0" w:color="auto"/>
        <w:right w:val="none" w:sz="0" w:space="0" w:color="auto"/>
      </w:divBdr>
    </w:div>
    <w:div w:id="1781412729">
      <w:bodyDiv w:val="1"/>
      <w:marLeft w:val="0"/>
      <w:marRight w:val="0"/>
      <w:marTop w:val="0"/>
      <w:marBottom w:val="0"/>
      <w:divBdr>
        <w:top w:val="none" w:sz="0" w:space="0" w:color="auto"/>
        <w:left w:val="none" w:sz="0" w:space="0" w:color="auto"/>
        <w:bottom w:val="none" w:sz="0" w:space="0" w:color="auto"/>
        <w:right w:val="none" w:sz="0" w:space="0" w:color="auto"/>
      </w:divBdr>
    </w:div>
    <w:div w:id="1781870446">
      <w:bodyDiv w:val="1"/>
      <w:marLeft w:val="0"/>
      <w:marRight w:val="0"/>
      <w:marTop w:val="0"/>
      <w:marBottom w:val="0"/>
      <w:divBdr>
        <w:top w:val="none" w:sz="0" w:space="0" w:color="auto"/>
        <w:left w:val="none" w:sz="0" w:space="0" w:color="auto"/>
        <w:bottom w:val="none" w:sz="0" w:space="0" w:color="auto"/>
        <w:right w:val="none" w:sz="0" w:space="0" w:color="auto"/>
      </w:divBdr>
    </w:div>
    <w:div w:id="1781947123">
      <w:bodyDiv w:val="1"/>
      <w:marLeft w:val="0"/>
      <w:marRight w:val="0"/>
      <w:marTop w:val="0"/>
      <w:marBottom w:val="0"/>
      <w:divBdr>
        <w:top w:val="none" w:sz="0" w:space="0" w:color="auto"/>
        <w:left w:val="none" w:sz="0" w:space="0" w:color="auto"/>
        <w:bottom w:val="none" w:sz="0" w:space="0" w:color="auto"/>
        <w:right w:val="none" w:sz="0" w:space="0" w:color="auto"/>
      </w:divBdr>
    </w:div>
    <w:div w:id="1785342158">
      <w:bodyDiv w:val="1"/>
      <w:marLeft w:val="0"/>
      <w:marRight w:val="0"/>
      <w:marTop w:val="0"/>
      <w:marBottom w:val="0"/>
      <w:divBdr>
        <w:top w:val="none" w:sz="0" w:space="0" w:color="auto"/>
        <w:left w:val="none" w:sz="0" w:space="0" w:color="auto"/>
        <w:bottom w:val="none" w:sz="0" w:space="0" w:color="auto"/>
        <w:right w:val="none" w:sz="0" w:space="0" w:color="auto"/>
      </w:divBdr>
    </w:div>
    <w:div w:id="1792900103">
      <w:bodyDiv w:val="1"/>
      <w:marLeft w:val="0"/>
      <w:marRight w:val="0"/>
      <w:marTop w:val="0"/>
      <w:marBottom w:val="0"/>
      <w:divBdr>
        <w:top w:val="none" w:sz="0" w:space="0" w:color="auto"/>
        <w:left w:val="none" w:sz="0" w:space="0" w:color="auto"/>
        <w:bottom w:val="none" w:sz="0" w:space="0" w:color="auto"/>
        <w:right w:val="none" w:sz="0" w:space="0" w:color="auto"/>
      </w:divBdr>
    </w:div>
    <w:div w:id="1793094291">
      <w:bodyDiv w:val="1"/>
      <w:marLeft w:val="0"/>
      <w:marRight w:val="0"/>
      <w:marTop w:val="0"/>
      <w:marBottom w:val="0"/>
      <w:divBdr>
        <w:top w:val="none" w:sz="0" w:space="0" w:color="auto"/>
        <w:left w:val="none" w:sz="0" w:space="0" w:color="auto"/>
        <w:bottom w:val="none" w:sz="0" w:space="0" w:color="auto"/>
        <w:right w:val="none" w:sz="0" w:space="0" w:color="auto"/>
      </w:divBdr>
    </w:div>
    <w:div w:id="1793209358">
      <w:bodyDiv w:val="1"/>
      <w:marLeft w:val="0"/>
      <w:marRight w:val="0"/>
      <w:marTop w:val="0"/>
      <w:marBottom w:val="0"/>
      <w:divBdr>
        <w:top w:val="none" w:sz="0" w:space="0" w:color="auto"/>
        <w:left w:val="none" w:sz="0" w:space="0" w:color="auto"/>
        <w:bottom w:val="none" w:sz="0" w:space="0" w:color="auto"/>
        <w:right w:val="none" w:sz="0" w:space="0" w:color="auto"/>
      </w:divBdr>
    </w:div>
    <w:div w:id="1793862153">
      <w:bodyDiv w:val="1"/>
      <w:marLeft w:val="0"/>
      <w:marRight w:val="0"/>
      <w:marTop w:val="0"/>
      <w:marBottom w:val="0"/>
      <w:divBdr>
        <w:top w:val="none" w:sz="0" w:space="0" w:color="auto"/>
        <w:left w:val="none" w:sz="0" w:space="0" w:color="auto"/>
        <w:bottom w:val="none" w:sz="0" w:space="0" w:color="auto"/>
        <w:right w:val="none" w:sz="0" w:space="0" w:color="auto"/>
      </w:divBdr>
    </w:div>
    <w:div w:id="1795438189">
      <w:bodyDiv w:val="1"/>
      <w:marLeft w:val="0"/>
      <w:marRight w:val="0"/>
      <w:marTop w:val="0"/>
      <w:marBottom w:val="0"/>
      <w:divBdr>
        <w:top w:val="none" w:sz="0" w:space="0" w:color="auto"/>
        <w:left w:val="none" w:sz="0" w:space="0" w:color="auto"/>
        <w:bottom w:val="none" w:sz="0" w:space="0" w:color="auto"/>
        <w:right w:val="none" w:sz="0" w:space="0" w:color="auto"/>
      </w:divBdr>
    </w:div>
    <w:div w:id="1799369833">
      <w:bodyDiv w:val="1"/>
      <w:marLeft w:val="0"/>
      <w:marRight w:val="0"/>
      <w:marTop w:val="0"/>
      <w:marBottom w:val="0"/>
      <w:divBdr>
        <w:top w:val="none" w:sz="0" w:space="0" w:color="auto"/>
        <w:left w:val="none" w:sz="0" w:space="0" w:color="auto"/>
        <w:bottom w:val="none" w:sz="0" w:space="0" w:color="auto"/>
        <w:right w:val="none" w:sz="0" w:space="0" w:color="auto"/>
      </w:divBdr>
    </w:div>
    <w:div w:id="1801072528">
      <w:bodyDiv w:val="1"/>
      <w:marLeft w:val="0"/>
      <w:marRight w:val="0"/>
      <w:marTop w:val="0"/>
      <w:marBottom w:val="0"/>
      <w:divBdr>
        <w:top w:val="none" w:sz="0" w:space="0" w:color="auto"/>
        <w:left w:val="none" w:sz="0" w:space="0" w:color="auto"/>
        <w:bottom w:val="none" w:sz="0" w:space="0" w:color="auto"/>
        <w:right w:val="none" w:sz="0" w:space="0" w:color="auto"/>
      </w:divBdr>
    </w:div>
    <w:div w:id="1806846024">
      <w:bodyDiv w:val="1"/>
      <w:marLeft w:val="0"/>
      <w:marRight w:val="0"/>
      <w:marTop w:val="0"/>
      <w:marBottom w:val="0"/>
      <w:divBdr>
        <w:top w:val="none" w:sz="0" w:space="0" w:color="auto"/>
        <w:left w:val="none" w:sz="0" w:space="0" w:color="auto"/>
        <w:bottom w:val="none" w:sz="0" w:space="0" w:color="auto"/>
        <w:right w:val="none" w:sz="0" w:space="0" w:color="auto"/>
      </w:divBdr>
    </w:div>
    <w:div w:id="1808350883">
      <w:bodyDiv w:val="1"/>
      <w:marLeft w:val="0"/>
      <w:marRight w:val="0"/>
      <w:marTop w:val="0"/>
      <w:marBottom w:val="0"/>
      <w:divBdr>
        <w:top w:val="none" w:sz="0" w:space="0" w:color="auto"/>
        <w:left w:val="none" w:sz="0" w:space="0" w:color="auto"/>
        <w:bottom w:val="none" w:sz="0" w:space="0" w:color="auto"/>
        <w:right w:val="none" w:sz="0" w:space="0" w:color="auto"/>
      </w:divBdr>
    </w:div>
    <w:div w:id="1810903441">
      <w:bodyDiv w:val="1"/>
      <w:marLeft w:val="0"/>
      <w:marRight w:val="0"/>
      <w:marTop w:val="0"/>
      <w:marBottom w:val="0"/>
      <w:divBdr>
        <w:top w:val="none" w:sz="0" w:space="0" w:color="auto"/>
        <w:left w:val="none" w:sz="0" w:space="0" w:color="auto"/>
        <w:bottom w:val="none" w:sz="0" w:space="0" w:color="auto"/>
        <w:right w:val="none" w:sz="0" w:space="0" w:color="auto"/>
      </w:divBdr>
    </w:div>
    <w:div w:id="1812094913">
      <w:bodyDiv w:val="1"/>
      <w:marLeft w:val="0"/>
      <w:marRight w:val="0"/>
      <w:marTop w:val="0"/>
      <w:marBottom w:val="0"/>
      <w:divBdr>
        <w:top w:val="none" w:sz="0" w:space="0" w:color="auto"/>
        <w:left w:val="none" w:sz="0" w:space="0" w:color="auto"/>
        <w:bottom w:val="none" w:sz="0" w:space="0" w:color="auto"/>
        <w:right w:val="none" w:sz="0" w:space="0" w:color="auto"/>
      </w:divBdr>
    </w:div>
    <w:div w:id="1812210092">
      <w:bodyDiv w:val="1"/>
      <w:marLeft w:val="0"/>
      <w:marRight w:val="0"/>
      <w:marTop w:val="0"/>
      <w:marBottom w:val="0"/>
      <w:divBdr>
        <w:top w:val="none" w:sz="0" w:space="0" w:color="auto"/>
        <w:left w:val="none" w:sz="0" w:space="0" w:color="auto"/>
        <w:bottom w:val="none" w:sz="0" w:space="0" w:color="auto"/>
        <w:right w:val="none" w:sz="0" w:space="0" w:color="auto"/>
      </w:divBdr>
    </w:div>
    <w:div w:id="1816599470">
      <w:bodyDiv w:val="1"/>
      <w:marLeft w:val="0"/>
      <w:marRight w:val="0"/>
      <w:marTop w:val="0"/>
      <w:marBottom w:val="0"/>
      <w:divBdr>
        <w:top w:val="none" w:sz="0" w:space="0" w:color="auto"/>
        <w:left w:val="none" w:sz="0" w:space="0" w:color="auto"/>
        <w:bottom w:val="none" w:sz="0" w:space="0" w:color="auto"/>
        <w:right w:val="none" w:sz="0" w:space="0" w:color="auto"/>
      </w:divBdr>
    </w:div>
    <w:div w:id="1818959389">
      <w:bodyDiv w:val="1"/>
      <w:marLeft w:val="0"/>
      <w:marRight w:val="0"/>
      <w:marTop w:val="0"/>
      <w:marBottom w:val="0"/>
      <w:divBdr>
        <w:top w:val="none" w:sz="0" w:space="0" w:color="auto"/>
        <w:left w:val="none" w:sz="0" w:space="0" w:color="auto"/>
        <w:bottom w:val="none" w:sz="0" w:space="0" w:color="auto"/>
        <w:right w:val="none" w:sz="0" w:space="0" w:color="auto"/>
      </w:divBdr>
    </w:div>
    <w:div w:id="1825775890">
      <w:bodyDiv w:val="1"/>
      <w:marLeft w:val="0"/>
      <w:marRight w:val="0"/>
      <w:marTop w:val="0"/>
      <w:marBottom w:val="0"/>
      <w:divBdr>
        <w:top w:val="none" w:sz="0" w:space="0" w:color="auto"/>
        <w:left w:val="none" w:sz="0" w:space="0" w:color="auto"/>
        <w:bottom w:val="none" w:sz="0" w:space="0" w:color="auto"/>
        <w:right w:val="none" w:sz="0" w:space="0" w:color="auto"/>
      </w:divBdr>
    </w:div>
    <w:div w:id="1826043084">
      <w:bodyDiv w:val="1"/>
      <w:marLeft w:val="0"/>
      <w:marRight w:val="0"/>
      <w:marTop w:val="0"/>
      <w:marBottom w:val="0"/>
      <w:divBdr>
        <w:top w:val="none" w:sz="0" w:space="0" w:color="auto"/>
        <w:left w:val="none" w:sz="0" w:space="0" w:color="auto"/>
        <w:bottom w:val="none" w:sz="0" w:space="0" w:color="auto"/>
        <w:right w:val="none" w:sz="0" w:space="0" w:color="auto"/>
      </w:divBdr>
    </w:div>
    <w:div w:id="1828328451">
      <w:bodyDiv w:val="1"/>
      <w:marLeft w:val="0"/>
      <w:marRight w:val="0"/>
      <w:marTop w:val="0"/>
      <w:marBottom w:val="0"/>
      <w:divBdr>
        <w:top w:val="none" w:sz="0" w:space="0" w:color="auto"/>
        <w:left w:val="none" w:sz="0" w:space="0" w:color="auto"/>
        <w:bottom w:val="none" w:sz="0" w:space="0" w:color="auto"/>
        <w:right w:val="none" w:sz="0" w:space="0" w:color="auto"/>
      </w:divBdr>
    </w:div>
    <w:div w:id="1834222089">
      <w:bodyDiv w:val="1"/>
      <w:marLeft w:val="0"/>
      <w:marRight w:val="0"/>
      <w:marTop w:val="0"/>
      <w:marBottom w:val="0"/>
      <w:divBdr>
        <w:top w:val="none" w:sz="0" w:space="0" w:color="auto"/>
        <w:left w:val="none" w:sz="0" w:space="0" w:color="auto"/>
        <w:bottom w:val="none" w:sz="0" w:space="0" w:color="auto"/>
        <w:right w:val="none" w:sz="0" w:space="0" w:color="auto"/>
      </w:divBdr>
    </w:div>
    <w:div w:id="1835729407">
      <w:bodyDiv w:val="1"/>
      <w:marLeft w:val="0"/>
      <w:marRight w:val="0"/>
      <w:marTop w:val="0"/>
      <w:marBottom w:val="0"/>
      <w:divBdr>
        <w:top w:val="none" w:sz="0" w:space="0" w:color="auto"/>
        <w:left w:val="none" w:sz="0" w:space="0" w:color="auto"/>
        <w:bottom w:val="none" w:sz="0" w:space="0" w:color="auto"/>
        <w:right w:val="none" w:sz="0" w:space="0" w:color="auto"/>
      </w:divBdr>
    </w:div>
    <w:div w:id="1836336478">
      <w:bodyDiv w:val="1"/>
      <w:marLeft w:val="0"/>
      <w:marRight w:val="0"/>
      <w:marTop w:val="0"/>
      <w:marBottom w:val="0"/>
      <w:divBdr>
        <w:top w:val="none" w:sz="0" w:space="0" w:color="auto"/>
        <w:left w:val="none" w:sz="0" w:space="0" w:color="auto"/>
        <w:bottom w:val="none" w:sz="0" w:space="0" w:color="auto"/>
        <w:right w:val="none" w:sz="0" w:space="0" w:color="auto"/>
      </w:divBdr>
    </w:div>
    <w:div w:id="1842696502">
      <w:bodyDiv w:val="1"/>
      <w:marLeft w:val="0"/>
      <w:marRight w:val="0"/>
      <w:marTop w:val="0"/>
      <w:marBottom w:val="0"/>
      <w:divBdr>
        <w:top w:val="none" w:sz="0" w:space="0" w:color="auto"/>
        <w:left w:val="none" w:sz="0" w:space="0" w:color="auto"/>
        <w:bottom w:val="none" w:sz="0" w:space="0" w:color="auto"/>
        <w:right w:val="none" w:sz="0" w:space="0" w:color="auto"/>
      </w:divBdr>
    </w:div>
    <w:div w:id="1843205567">
      <w:bodyDiv w:val="1"/>
      <w:marLeft w:val="0"/>
      <w:marRight w:val="0"/>
      <w:marTop w:val="0"/>
      <w:marBottom w:val="0"/>
      <w:divBdr>
        <w:top w:val="none" w:sz="0" w:space="0" w:color="auto"/>
        <w:left w:val="none" w:sz="0" w:space="0" w:color="auto"/>
        <w:bottom w:val="none" w:sz="0" w:space="0" w:color="auto"/>
        <w:right w:val="none" w:sz="0" w:space="0" w:color="auto"/>
      </w:divBdr>
    </w:div>
    <w:div w:id="1843621523">
      <w:bodyDiv w:val="1"/>
      <w:marLeft w:val="0"/>
      <w:marRight w:val="0"/>
      <w:marTop w:val="0"/>
      <w:marBottom w:val="0"/>
      <w:divBdr>
        <w:top w:val="none" w:sz="0" w:space="0" w:color="auto"/>
        <w:left w:val="none" w:sz="0" w:space="0" w:color="auto"/>
        <w:bottom w:val="none" w:sz="0" w:space="0" w:color="auto"/>
        <w:right w:val="none" w:sz="0" w:space="0" w:color="auto"/>
      </w:divBdr>
    </w:div>
    <w:div w:id="1847789968">
      <w:bodyDiv w:val="1"/>
      <w:marLeft w:val="0"/>
      <w:marRight w:val="0"/>
      <w:marTop w:val="0"/>
      <w:marBottom w:val="0"/>
      <w:divBdr>
        <w:top w:val="none" w:sz="0" w:space="0" w:color="auto"/>
        <w:left w:val="none" w:sz="0" w:space="0" w:color="auto"/>
        <w:bottom w:val="none" w:sz="0" w:space="0" w:color="auto"/>
        <w:right w:val="none" w:sz="0" w:space="0" w:color="auto"/>
      </w:divBdr>
    </w:div>
    <w:div w:id="1848397786">
      <w:bodyDiv w:val="1"/>
      <w:marLeft w:val="0"/>
      <w:marRight w:val="0"/>
      <w:marTop w:val="0"/>
      <w:marBottom w:val="0"/>
      <w:divBdr>
        <w:top w:val="none" w:sz="0" w:space="0" w:color="auto"/>
        <w:left w:val="none" w:sz="0" w:space="0" w:color="auto"/>
        <w:bottom w:val="none" w:sz="0" w:space="0" w:color="auto"/>
        <w:right w:val="none" w:sz="0" w:space="0" w:color="auto"/>
      </w:divBdr>
    </w:div>
    <w:div w:id="1858419181">
      <w:bodyDiv w:val="1"/>
      <w:marLeft w:val="0"/>
      <w:marRight w:val="0"/>
      <w:marTop w:val="0"/>
      <w:marBottom w:val="0"/>
      <w:divBdr>
        <w:top w:val="none" w:sz="0" w:space="0" w:color="auto"/>
        <w:left w:val="none" w:sz="0" w:space="0" w:color="auto"/>
        <w:bottom w:val="none" w:sz="0" w:space="0" w:color="auto"/>
        <w:right w:val="none" w:sz="0" w:space="0" w:color="auto"/>
      </w:divBdr>
    </w:div>
    <w:div w:id="1869249776">
      <w:bodyDiv w:val="1"/>
      <w:marLeft w:val="0"/>
      <w:marRight w:val="0"/>
      <w:marTop w:val="0"/>
      <w:marBottom w:val="0"/>
      <w:divBdr>
        <w:top w:val="none" w:sz="0" w:space="0" w:color="auto"/>
        <w:left w:val="none" w:sz="0" w:space="0" w:color="auto"/>
        <w:bottom w:val="none" w:sz="0" w:space="0" w:color="auto"/>
        <w:right w:val="none" w:sz="0" w:space="0" w:color="auto"/>
      </w:divBdr>
    </w:div>
    <w:div w:id="1871066185">
      <w:bodyDiv w:val="1"/>
      <w:marLeft w:val="0"/>
      <w:marRight w:val="0"/>
      <w:marTop w:val="0"/>
      <w:marBottom w:val="0"/>
      <w:divBdr>
        <w:top w:val="none" w:sz="0" w:space="0" w:color="auto"/>
        <w:left w:val="none" w:sz="0" w:space="0" w:color="auto"/>
        <w:bottom w:val="none" w:sz="0" w:space="0" w:color="auto"/>
        <w:right w:val="none" w:sz="0" w:space="0" w:color="auto"/>
      </w:divBdr>
    </w:div>
    <w:div w:id="1871650724">
      <w:bodyDiv w:val="1"/>
      <w:marLeft w:val="0"/>
      <w:marRight w:val="0"/>
      <w:marTop w:val="0"/>
      <w:marBottom w:val="0"/>
      <w:divBdr>
        <w:top w:val="none" w:sz="0" w:space="0" w:color="auto"/>
        <w:left w:val="none" w:sz="0" w:space="0" w:color="auto"/>
        <w:bottom w:val="none" w:sz="0" w:space="0" w:color="auto"/>
        <w:right w:val="none" w:sz="0" w:space="0" w:color="auto"/>
      </w:divBdr>
    </w:div>
    <w:div w:id="1872722176">
      <w:bodyDiv w:val="1"/>
      <w:marLeft w:val="0"/>
      <w:marRight w:val="0"/>
      <w:marTop w:val="0"/>
      <w:marBottom w:val="0"/>
      <w:divBdr>
        <w:top w:val="none" w:sz="0" w:space="0" w:color="auto"/>
        <w:left w:val="none" w:sz="0" w:space="0" w:color="auto"/>
        <w:bottom w:val="none" w:sz="0" w:space="0" w:color="auto"/>
        <w:right w:val="none" w:sz="0" w:space="0" w:color="auto"/>
      </w:divBdr>
    </w:div>
    <w:div w:id="1880703741">
      <w:bodyDiv w:val="1"/>
      <w:marLeft w:val="0"/>
      <w:marRight w:val="0"/>
      <w:marTop w:val="0"/>
      <w:marBottom w:val="0"/>
      <w:divBdr>
        <w:top w:val="none" w:sz="0" w:space="0" w:color="auto"/>
        <w:left w:val="none" w:sz="0" w:space="0" w:color="auto"/>
        <w:bottom w:val="none" w:sz="0" w:space="0" w:color="auto"/>
        <w:right w:val="none" w:sz="0" w:space="0" w:color="auto"/>
      </w:divBdr>
    </w:div>
    <w:div w:id="1880975361">
      <w:bodyDiv w:val="1"/>
      <w:marLeft w:val="0"/>
      <w:marRight w:val="0"/>
      <w:marTop w:val="0"/>
      <w:marBottom w:val="0"/>
      <w:divBdr>
        <w:top w:val="none" w:sz="0" w:space="0" w:color="auto"/>
        <w:left w:val="none" w:sz="0" w:space="0" w:color="auto"/>
        <w:bottom w:val="none" w:sz="0" w:space="0" w:color="auto"/>
        <w:right w:val="none" w:sz="0" w:space="0" w:color="auto"/>
      </w:divBdr>
    </w:div>
    <w:div w:id="1884750723">
      <w:bodyDiv w:val="1"/>
      <w:marLeft w:val="0"/>
      <w:marRight w:val="0"/>
      <w:marTop w:val="0"/>
      <w:marBottom w:val="0"/>
      <w:divBdr>
        <w:top w:val="none" w:sz="0" w:space="0" w:color="auto"/>
        <w:left w:val="none" w:sz="0" w:space="0" w:color="auto"/>
        <w:bottom w:val="none" w:sz="0" w:space="0" w:color="auto"/>
        <w:right w:val="none" w:sz="0" w:space="0" w:color="auto"/>
      </w:divBdr>
    </w:div>
    <w:div w:id="1885289216">
      <w:bodyDiv w:val="1"/>
      <w:marLeft w:val="0"/>
      <w:marRight w:val="0"/>
      <w:marTop w:val="0"/>
      <w:marBottom w:val="0"/>
      <w:divBdr>
        <w:top w:val="none" w:sz="0" w:space="0" w:color="auto"/>
        <w:left w:val="none" w:sz="0" w:space="0" w:color="auto"/>
        <w:bottom w:val="none" w:sz="0" w:space="0" w:color="auto"/>
        <w:right w:val="none" w:sz="0" w:space="0" w:color="auto"/>
      </w:divBdr>
    </w:div>
    <w:div w:id="1885823592">
      <w:bodyDiv w:val="1"/>
      <w:marLeft w:val="0"/>
      <w:marRight w:val="0"/>
      <w:marTop w:val="0"/>
      <w:marBottom w:val="0"/>
      <w:divBdr>
        <w:top w:val="none" w:sz="0" w:space="0" w:color="auto"/>
        <w:left w:val="none" w:sz="0" w:space="0" w:color="auto"/>
        <w:bottom w:val="none" w:sz="0" w:space="0" w:color="auto"/>
        <w:right w:val="none" w:sz="0" w:space="0" w:color="auto"/>
      </w:divBdr>
    </w:div>
    <w:div w:id="1887141144">
      <w:bodyDiv w:val="1"/>
      <w:marLeft w:val="0"/>
      <w:marRight w:val="0"/>
      <w:marTop w:val="0"/>
      <w:marBottom w:val="0"/>
      <w:divBdr>
        <w:top w:val="none" w:sz="0" w:space="0" w:color="auto"/>
        <w:left w:val="none" w:sz="0" w:space="0" w:color="auto"/>
        <w:bottom w:val="none" w:sz="0" w:space="0" w:color="auto"/>
        <w:right w:val="none" w:sz="0" w:space="0" w:color="auto"/>
      </w:divBdr>
    </w:div>
    <w:div w:id="1887987156">
      <w:bodyDiv w:val="1"/>
      <w:marLeft w:val="0"/>
      <w:marRight w:val="0"/>
      <w:marTop w:val="0"/>
      <w:marBottom w:val="0"/>
      <w:divBdr>
        <w:top w:val="none" w:sz="0" w:space="0" w:color="auto"/>
        <w:left w:val="none" w:sz="0" w:space="0" w:color="auto"/>
        <w:bottom w:val="none" w:sz="0" w:space="0" w:color="auto"/>
        <w:right w:val="none" w:sz="0" w:space="0" w:color="auto"/>
      </w:divBdr>
    </w:div>
    <w:div w:id="1889099533">
      <w:bodyDiv w:val="1"/>
      <w:marLeft w:val="0"/>
      <w:marRight w:val="0"/>
      <w:marTop w:val="0"/>
      <w:marBottom w:val="0"/>
      <w:divBdr>
        <w:top w:val="none" w:sz="0" w:space="0" w:color="auto"/>
        <w:left w:val="none" w:sz="0" w:space="0" w:color="auto"/>
        <w:bottom w:val="none" w:sz="0" w:space="0" w:color="auto"/>
        <w:right w:val="none" w:sz="0" w:space="0" w:color="auto"/>
      </w:divBdr>
    </w:div>
    <w:div w:id="1890534675">
      <w:bodyDiv w:val="1"/>
      <w:marLeft w:val="0"/>
      <w:marRight w:val="0"/>
      <w:marTop w:val="0"/>
      <w:marBottom w:val="0"/>
      <w:divBdr>
        <w:top w:val="none" w:sz="0" w:space="0" w:color="auto"/>
        <w:left w:val="none" w:sz="0" w:space="0" w:color="auto"/>
        <w:bottom w:val="none" w:sz="0" w:space="0" w:color="auto"/>
        <w:right w:val="none" w:sz="0" w:space="0" w:color="auto"/>
      </w:divBdr>
    </w:div>
    <w:div w:id="1903326451">
      <w:bodyDiv w:val="1"/>
      <w:marLeft w:val="0"/>
      <w:marRight w:val="0"/>
      <w:marTop w:val="0"/>
      <w:marBottom w:val="0"/>
      <w:divBdr>
        <w:top w:val="none" w:sz="0" w:space="0" w:color="auto"/>
        <w:left w:val="none" w:sz="0" w:space="0" w:color="auto"/>
        <w:bottom w:val="none" w:sz="0" w:space="0" w:color="auto"/>
        <w:right w:val="none" w:sz="0" w:space="0" w:color="auto"/>
      </w:divBdr>
    </w:div>
    <w:div w:id="1905992807">
      <w:bodyDiv w:val="1"/>
      <w:marLeft w:val="0"/>
      <w:marRight w:val="0"/>
      <w:marTop w:val="0"/>
      <w:marBottom w:val="0"/>
      <w:divBdr>
        <w:top w:val="none" w:sz="0" w:space="0" w:color="auto"/>
        <w:left w:val="none" w:sz="0" w:space="0" w:color="auto"/>
        <w:bottom w:val="none" w:sz="0" w:space="0" w:color="auto"/>
        <w:right w:val="none" w:sz="0" w:space="0" w:color="auto"/>
      </w:divBdr>
    </w:div>
    <w:div w:id="1906185819">
      <w:bodyDiv w:val="1"/>
      <w:marLeft w:val="0"/>
      <w:marRight w:val="0"/>
      <w:marTop w:val="0"/>
      <w:marBottom w:val="0"/>
      <w:divBdr>
        <w:top w:val="none" w:sz="0" w:space="0" w:color="auto"/>
        <w:left w:val="none" w:sz="0" w:space="0" w:color="auto"/>
        <w:bottom w:val="none" w:sz="0" w:space="0" w:color="auto"/>
        <w:right w:val="none" w:sz="0" w:space="0" w:color="auto"/>
      </w:divBdr>
    </w:div>
    <w:div w:id="1911891381">
      <w:bodyDiv w:val="1"/>
      <w:marLeft w:val="0"/>
      <w:marRight w:val="0"/>
      <w:marTop w:val="0"/>
      <w:marBottom w:val="0"/>
      <w:divBdr>
        <w:top w:val="none" w:sz="0" w:space="0" w:color="auto"/>
        <w:left w:val="none" w:sz="0" w:space="0" w:color="auto"/>
        <w:bottom w:val="none" w:sz="0" w:space="0" w:color="auto"/>
        <w:right w:val="none" w:sz="0" w:space="0" w:color="auto"/>
      </w:divBdr>
    </w:div>
    <w:div w:id="1912151640">
      <w:bodyDiv w:val="1"/>
      <w:marLeft w:val="0"/>
      <w:marRight w:val="0"/>
      <w:marTop w:val="0"/>
      <w:marBottom w:val="0"/>
      <w:divBdr>
        <w:top w:val="none" w:sz="0" w:space="0" w:color="auto"/>
        <w:left w:val="none" w:sz="0" w:space="0" w:color="auto"/>
        <w:bottom w:val="none" w:sz="0" w:space="0" w:color="auto"/>
        <w:right w:val="none" w:sz="0" w:space="0" w:color="auto"/>
      </w:divBdr>
    </w:div>
    <w:div w:id="1916622028">
      <w:bodyDiv w:val="1"/>
      <w:marLeft w:val="0"/>
      <w:marRight w:val="0"/>
      <w:marTop w:val="0"/>
      <w:marBottom w:val="0"/>
      <w:divBdr>
        <w:top w:val="none" w:sz="0" w:space="0" w:color="auto"/>
        <w:left w:val="none" w:sz="0" w:space="0" w:color="auto"/>
        <w:bottom w:val="none" w:sz="0" w:space="0" w:color="auto"/>
        <w:right w:val="none" w:sz="0" w:space="0" w:color="auto"/>
      </w:divBdr>
    </w:div>
    <w:div w:id="1917133295">
      <w:bodyDiv w:val="1"/>
      <w:marLeft w:val="0"/>
      <w:marRight w:val="0"/>
      <w:marTop w:val="0"/>
      <w:marBottom w:val="0"/>
      <w:divBdr>
        <w:top w:val="none" w:sz="0" w:space="0" w:color="auto"/>
        <w:left w:val="none" w:sz="0" w:space="0" w:color="auto"/>
        <w:bottom w:val="none" w:sz="0" w:space="0" w:color="auto"/>
        <w:right w:val="none" w:sz="0" w:space="0" w:color="auto"/>
      </w:divBdr>
    </w:div>
    <w:div w:id="1919290569">
      <w:bodyDiv w:val="1"/>
      <w:marLeft w:val="0"/>
      <w:marRight w:val="0"/>
      <w:marTop w:val="0"/>
      <w:marBottom w:val="0"/>
      <w:divBdr>
        <w:top w:val="none" w:sz="0" w:space="0" w:color="auto"/>
        <w:left w:val="none" w:sz="0" w:space="0" w:color="auto"/>
        <w:bottom w:val="none" w:sz="0" w:space="0" w:color="auto"/>
        <w:right w:val="none" w:sz="0" w:space="0" w:color="auto"/>
      </w:divBdr>
    </w:div>
    <w:div w:id="1921140185">
      <w:bodyDiv w:val="1"/>
      <w:marLeft w:val="0"/>
      <w:marRight w:val="0"/>
      <w:marTop w:val="0"/>
      <w:marBottom w:val="0"/>
      <w:divBdr>
        <w:top w:val="none" w:sz="0" w:space="0" w:color="auto"/>
        <w:left w:val="none" w:sz="0" w:space="0" w:color="auto"/>
        <w:bottom w:val="none" w:sz="0" w:space="0" w:color="auto"/>
        <w:right w:val="none" w:sz="0" w:space="0" w:color="auto"/>
      </w:divBdr>
    </w:div>
    <w:div w:id="1921863078">
      <w:bodyDiv w:val="1"/>
      <w:marLeft w:val="0"/>
      <w:marRight w:val="0"/>
      <w:marTop w:val="0"/>
      <w:marBottom w:val="0"/>
      <w:divBdr>
        <w:top w:val="none" w:sz="0" w:space="0" w:color="auto"/>
        <w:left w:val="none" w:sz="0" w:space="0" w:color="auto"/>
        <w:bottom w:val="none" w:sz="0" w:space="0" w:color="auto"/>
        <w:right w:val="none" w:sz="0" w:space="0" w:color="auto"/>
      </w:divBdr>
    </w:div>
    <w:div w:id="1922057255">
      <w:bodyDiv w:val="1"/>
      <w:marLeft w:val="0"/>
      <w:marRight w:val="0"/>
      <w:marTop w:val="0"/>
      <w:marBottom w:val="0"/>
      <w:divBdr>
        <w:top w:val="none" w:sz="0" w:space="0" w:color="auto"/>
        <w:left w:val="none" w:sz="0" w:space="0" w:color="auto"/>
        <w:bottom w:val="none" w:sz="0" w:space="0" w:color="auto"/>
        <w:right w:val="none" w:sz="0" w:space="0" w:color="auto"/>
      </w:divBdr>
    </w:div>
    <w:div w:id="1923761752">
      <w:bodyDiv w:val="1"/>
      <w:marLeft w:val="0"/>
      <w:marRight w:val="0"/>
      <w:marTop w:val="0"/>
      <w:marBottom w:val="0"/>
      <w:divBdr>
        <w:top w:val="none" w:sz="0" w:space="0" w:color="auto"/>
        <w:left w:val="none" w:sz="0" w:space="0" w:color="auto"/>
        <w:bottom w:val="none" w:sz="0" w:space="0" w:color="auto"/>
        <w:right w:val="none" w:sz="0" w:space="0" w:color="auto"/>
      </w:divBdr>
    </w:div>
    <w:div w:id="1926724767">
      <w:bodyDiv w:val="1"/>
      <w:marLeft w:val="0"/>
      <w:marRight w:val="0"/>
      <w:marTop w:val="0"/>
      <w:marBottom w:val="0"/>
      <w:divBdr>
        <w:top w:val="none" w:sz="0" w:space="0" w:color="auto"/>
        <w:left w:val="none" w:sz="0" w:space="0" w:color="auto"/>
        <w:bottom w:val="none" w:sz="0" w:space="0" w:color="auto"/>
        <w:right w:val="none" w:sz="0" w:space="0" w:color="auto"/>
      </w:divBdr>
    </w:div>
    <w:div w:id="1927838730">
      <w:bodyDiv w:val="1"/>
      <w:marLeft w:val="0"/>
      <w:marRight w:val="0"/>
      <w:marTop w:val="0"/>
      <w:marBottom w:val="0"/>
      <w:divBdr>
        <w:top w:val="none" w:sz="0" w:space="0" w:color="auto"/>
        <w:left w:val="none" w:sz="0" w:space="0" w:color="auto"/>
        <w:bottom w:val="none" w:sz="0" w:space="0" w:color="auto"/>
        <w:right w:val="none" w:sz="0" w:space="0" w:color="auto"/>
      </w:divBdr>
    </w:div>
    <w:div w:id="1928998568">
      <w:bodyDiv w:val="1"/>
      <w:marLeft w:val="0"/>
      <w:marRight w:val="0"/>
      <w:marTop w:val="0"/>
      <w:marBottom w:val="0"/>
      <w:divBdr>
        <w:top w:val="none" w:sz="0" w:space="0" w:color="auto"/>
        <w:left w:val="none" w:sz="0" w:space="0" w:color="auto"/>
        <w:bottom w:val="none" w:sz="0" w:space="0" w:color="auto"/>
        <w:right w:val="none" w:sz="0" w:space="0" w:color="auto"/>
      </w:divBdr>
    </w:div>
    <w:div w:id="1929146247">
      <w:bodyDiv w:val="1"/>
      <w:marLeft w:val="0"/>
      <w:marRight w:val="0"/>
      <w:marTop w:val="0"/>
      <w:marBottom w:val="0"/>
      <w:divBdr>
        <w:top w:val="none" w:sz="0" w:space="0" w:color="auto"/>
        <w:left w:val="none" w:sz="0" w:space="0" w:color="auto"/>
        <w:bottom w:val="none" w:sz="0" w:space="0" w:color="auto"/>
        <w:right w:val="none" w:sz="0" w:space="0" w:color="auto"/>
      </w:divBdr>
    </w:div>
    <w:div w:id="1931617282">
      <w:bodyDiv w:val="1"/>
      <w:marLeft w:val="0"/>
      <w:marRight w:val="0"/>
      <w:marTop w:val="0"/>
      <w:marBottom w:val="0"/>
      <w:divBdr>
        <w:top w:val="none" w:sz="0" w:space="0" w:color="auto"/>
        <w:left w:val="none" w:sz="0" w:space="0" w:color="auto"/>
        <w:bottom w:val="none" w:sz="0" w:space="0" w:color="auto"/>
        <w:right w:val="none" w:sz="0" w:space="0" w:color="auto"/>
      </w:divBdr>
    </w:div>
    <w:div w:id="1937900736">
      <w:bodyDiv w:val="1"/>
      <w:marLeft w:val="0"/>
      <w:marRight w:val="0"/>
      <w:marTop w:val="0"/>
      <w:marBottom w:val="0"/>
      <w:divBdr>
        <w:top w:val="none" w:sz="0" w:space="0" w:color="auto"/>
        <w:left w:val="none" w:sz="0" w:space="0" w:color="auto"/>
        <w:bottom w:val="none" w:sz="0" w:space="0" w:color="auto"/>
        <w:right w:val="none" w:sz="0" w:space="0" w:color="auto"/>
      </w:divBdr>
    </w:div>
    <w:div w:id="1940409428">
      <w:bodyDiv w:val="1"/>
      <w:marLeft w:val="0"/>
      <w:marRight w:val="0"/>
      <w:marTop w:val="0"/>
      <w:marBottom w:val="0"/>
      <w:divBdr>
        <w:top w:val="none" w:sz="0" w:space="0" w:color="auto"/>
        <w:left w:val="none" w:sz="0" w:space="0" w:color="auto"/>
        <w:bottom w:val="none" w:sz="0" w:space="0" w:color="auto"/>
        <w:right w:val="none" w:sz="0" w:space="0" w:color="auto"/>
      </w:divBdr>
    </w:div>
    <w:div w:id="1940869628">
      <w:bodyDiv w:val="1"/>
      <w:marLeft w:val="0"/>
      <w:marRight w:val="0"/>
      <w:marTop w:val="0"/>
      <w:marBottom w:val="0"/>
      <w:divBdr>
        <w:top w:val="none" w:sz="0" w:space="0" w:color="auto"/>
        <w:left w:val="none" w:sz="0" w:space="0" w:color="auto"/>
        <w:bottom w:val="none" w:sz="0" w:space="0" w:color="auto"/>
        <w:right w:val="none" w:sz="0" w:space="0" w:color="auto"/>
      </w:divBdr>
    </w:div>
    <w:div w:id="1942180095">
      <w:bodyDiv w:val="1"/>
      <w:marLeft w:val="0"/>
      <w:marRight w:val="0"/>
      <w:marTop w:val="0"/>
      <w:marBottom w:val="0"/>
      <w:divBdr>
        <w:top w:val="none" w:sz="0" w:space="0" w:color="auto"/>
        <w:left w:val="none" w:sz="0" w:space="0" w:color="auto"/>
        <w:bottom w:val="none" w:sz="0" w:space="0" w:color="auto"/>
        <w:right w:val="none" w:sz="0" w:space="0" w:color="auto"/>
      </w:divBdr>
    </w:div>
    <w:div w:id="1945574835">
      <w:bodyDiv w:val="1"/>
      <w:marLeft w:val="0"/>
      <w:marRight w:val="0"/>
      <w:marTop w:val="0"/>
      <w:marBottom w:val="0"/>
      <w:divBdr>
        <w:top w:val="none" w:sz="0" w:space="0" w:color="auto"/>
        <w:left w:val="none" w:sz="0" w:space="0" w:color="auto"/>
        <w:bottom w:val="none" w:sz="0" w:space="0" w:color="auto"/>
        <w:right w:val="none" w:sz="0" w:space="0" w:color="auto"/>
      </w:divBdr>
    </w:div>
    <w:div w:id="1946036796">
      <w:bodyDiv w:val="1"/>
      <w:marLeft w:val="0"/>
      <w:marRight w:val="0"/>
      <w:marTop w:val="0"/>
      <w:marBottom w:val="0"/>
      <w:divBdr>
        <w:top w:val="none" w:sz="0" w:space="0" w:color="auto"/>
        <w:left w:val="none" w:sz="0" w:space="0" w:color="auto"/>
        <w:bottom w:val="none" w:sz="0" w:space="0" w:color="auto"/>
        <w:right w:val="none" w:sz="0" w:space="0" w:color="auto"/>
      </w:divBdr>
    </w:div>
    <w:div w:id="1950314813">
      <w:bodyDiv w:val="1"/>
      <w:marLeft w:val="0"/>
      <w:marRight w:val="0"/>
      <w:marTop w:val="0"/>
      <w:marBottom w:val="0"/>
      <w:divBdr>
        <w:top w:val="none" w:sz="0" w:space="0" w:color="auto"/>
        <w:left w:val="none" w:sz="0" w:space="0" w:color="auto"/>
        <w:bottom w:val="none" w:sz="0" w:space="0" w:color="auto"/>
        <w:right w:val="none" w:sz="0" w:space="0" w:color="auto"/>
      </w:divBdr>
    </w:div>
    <w:div w:id="1958366387">
      <w:bodyDiv w:val="1"/>
      <w:marLeft w:val="0"/>
      <w:marRight w:val="0"/>
      <w:marTop w:val="0"/>
      <w:marBottom w:val="0"/>
      <w:divBdr>
        <w:top w:val="none" w:sz="0" w:space="0" w:color="auto"/>
        <w:left w:val="none" w:sz="0" w:space="0" w:color="auto"/>
        <w:bottom w:val="none" w:sz="0" w:space="0" w:color="auto"/>
        <w:right w:val="none" w:sz="0" w:space="0" w:color="auto"/>
      </w:divBdr>
    </w:div>
    <w:div w:id="1958442893">
      <w:bodyDiv w:val="1"/>
      <w:marLeft w:val="0"/>
      <w:marRight w:val="0"/>
      <w:marTop w:val="0"/>
      <w:marBottom w:val="0"/>
      <w:divBdr>
        <w:top w:val="none" w:sz="0" w:space="0" w:color="auto"/>
        <w:left w:val="none" w:sz="0" w:space="0" w:color="auto"/>
        <w:bottom w:val="none" w:sz="0" w:space="0" w:color="auto"/>
        <w:right w:val="none" w:sz="0" w:space="0" w:color="auto"/>
      </w:divBdr>
    </w:div>
    <w:div w:id="1959723043">
      <w:bodyDiv w:val="1"/>
      <w:marLeft w:val="0"/>
      <w:marRight w:val="0"/>
      <w:marTop w:val="0"/>
      <w:marBottom w:val="0"/>
      <w:divBdr>
        <w:top w:val="none" w:sz="0" w:space="0" w:color="auto"/>
        <w:left w:val="none" w:sz="0" w:space="0" w:color="auto"/>
        <w:bottom w:val="none" w:sz="0" w:space="0" w:color="auto"/>
        <w:right w:val="none" w:sz="0" w:space="0" w:color="auto"/>
      </w:divBdr>
    </w:div>
    <w:div w:id="1959799773">
      <w:bodyDiv w:val="1"/>
      <w:marLeft w:val="0"/>
      <w:marRight w:val="0"/>
      <w:marTop w:val="0"/>
      <w:marBottom w:val="0"/>
      <w:divBdr>
        <w:top w:val="none" w:sz="0" w:space="0" w:color="auto"/>
        <w:left w:val="none" w:sz="0" w:space="0" w:color="auto"/>
        <w:bottom w:val="none" w:sz="0" w:space="0" w:color="auto"/>
        <w:right w:val="none" w:sz="0" w:space="0" w:color="auto"/>
      </w:divBdr>
    </w:div>
    <w:div w:id="1962765356">
      <w:bodyDiv w:val="1"/>
      <w:marLeft w:val="0"/>
      <w:marRight w:val="0"/>
      <w:marTop w:val="0"/>
      <w:marBottom w:val="0"/>
      <w:divBdr>
        <w:top w:val="none" w:sz="0" w:space="0" w:color="auto"/>
        <w:left w:val="none" w:sz="0" w:space="0" w:color="auto"/>
        <w:bottom w:val="none" w:sz="0" w:space="0" w:color="auto"/>
        <w:right w:val="none" w:sz="0" w:space="0" w:color="auto"/>
      </w:divBdr>
    </w:div>
    <w:div w:id="1962835733">
      <w:bodyDiv w:val="1"/>
      <w:marLeft w:val="0"/>
      <w:marRight w:val="0"/>
      <w:marTop w:val="0"/>
      <w:marBottom w:val="0"/>
      <w:divBdr>
        <w:top w:val="none" w:sz="0" w:space="0" w:color="auto"/>
        <w:left w:val="none" w:sz="0" w:space="0" w:color="auto"/>
        <w:bottom w:val="none" w:sz="0" w:space="0" w:color="auto"/>
        <w:right w:val="none" w:sz="0" w:space="0" w:color="auto"/>
      </w:divBdr>
    </w:div>
    <w:div w:id="1963992566">
      <w:bodyDiv w:val="1"/>
      <w:marLeft w:val="0"/>
      <w:marRight w:val="0"/>
      <w:marTop w:val="0"/>
      <w:marBottom w:val="0"/>
      <w:divBdr>
        <w:top w:val="none" w:sz="0" w:space="0" w:color="auto"/>
        <w:left w:val="none" w:sz="0" w:space="0" w:color="auto"/>
        <w:bottom w:val="none" w:sz="0" w:space="0" w:color="auto"/>
        <w:right w:val="none" w:sz="0" w:space="0" w:color="auto"/>
      </w:divBdr>
    </w:div>
    <w:div w:id="1964117833">
      <w:bodyDiv w:val="1"/>
      <w:marLeft w:val="0"/>
      <w:marRight w:val="0"/>
      <w:marTop w:val="0"/>
      <w:marBottom w:val="0"/>
      <w:divBdr>
        <w:top w:val="none" w:sz="0" w:space="0" w:color="auto"/>
        <w:left w:val="none" w:sz="0" w:space="0" w:color="auto"/>
        <w:bottom w:val="none" w:sz="0" w:space="0" w:color="auto"/>
        <w:right w:val="none" w:sz="0" w:space="0" w:color="auto"/>
      </w:divBdr>
    </w:div>
    <w:div w:id="1964728857">
      <w:bodyDiv w:val="1"/>
      <w:marLeft w:val="0"/>
      <w:marRight w:val="0"/>
      <w:marTop w:val="0"/>
      <w:marBottom w:val="0"/>
      <w:divBdr>
        <w:top w:val="none" w:sz="0" w:space="0" w:color="auto"/>
        <w:left w:val="none" w:sz="0" w:space="0" w:color="auto"/>
        <w:bottom w:val="none" w:sz="0" w:space="0" w:color="auto"/>
        <w:right w:val="none" w:sz="0" w:space="0" w:color="auto"/>
      </w:divBdr>
    </w:div>
    <w:div w:id="1965504905">
      <w:bodyDiv w:val="1"/>
      <w:marLeft w:val="0"/>
      <w:marRight w:val="0"/>
      <w:marTop w:val="0"/>
      <w:marBottom w:val="0"/>
      <w:divBdr>
        <w:top w:val="none" w:sz="0" w:space="0" w:color="auto"/>
        <w:left w:val="none" w:sz="0" w:space="0" w:color="auto"/>
        <w:bottom w:val="none" w:sz="0" w:space="0" w:color="auto"/>
        <w:right w:val="none" w:sz="0" w:space="0" w:color="auto"/>
      </w:divBdr>
    </w:div>
    <w:div w:id="1971935262">
      <w:bodyDiv w:val="1"/>
      <w:marLeft w:val="0"/>
      <w:marRight w:val="0"/>
      <w:marTop w:val="0"/>
      <w:marBottom w:val="0"/>
      <w:divBdr>
        <w:top w:val="none" w:sz="0" w:space="0" w:color="auto"/>
        <w:left w:val="none" w:sz="0" w:space="0" w:color="auto"/>
        <w:bottom w:val="none" w:sz="0" w:space="0" w:color="auto"/>
        <w:right w:val="none" w:sz="0" w:space="0" w:color="auto"/>
      </w:divBdr>
    </w:div>
    <w:div w:id="1976595218">
      <w:bodyDiv w:val="1"/>
      <w:marLeft w:val="0"/>
      <w:marRight w:val="0"/>
      <w:marTop w:val="0"/>
      <w:marBottom w:val="0"/>
      <w:divBdr>
        <w:top w:val="none" w:sz="0" w:space="0" w:color="auto"/>
        <w:left w:val="none" w:sz="0" w:space="0" w:color="auto"/>
        <w:bottom w:val="none" w:sz="0" w:space="0" w:color="auto"/>
        <w:right w:val="none" w:sz="0" w:space="0" w:color="auto"/>
      </w:divBdr>
    </w:div>
    <w:div w:id="1977104556">
      <w:bodyDiv w:val="1"/>
      <w:marLeft w:val="0"/>
      <w:marRight w:val="0"/>
      <w:marTop w:val="0"/>
      <w:marBottom w:val="0"/>
      <w:divBdr>
        <w:top w:val="none" w:sz="0" w:space="0" w:color="auto"/>
        <w:left w:val="none" w:sz="0" w:space="0" w:color="auto"/>
        <w:bottom w:val="none" w:sz="0" w:space="0" w:color="auto"/>
        <w:right w:val="none" w:sz="0" w:space="0" w:color="auto"/>
      </w:divBdr>
    </w:div>
    <w:div w:id="1977559699">
      <w:bodyDiv w:val="1"/>
      <w:marLeft w:val="0"/>
      <w:marRight w:val="0"/>
      <w:marTop w:val="0"/>
      <w:marBottom w:val="0"/>
      <w:divBdr>
        <w:top w:val="none" w:sz="0" w:space="0" w:color="auto"/>
        <w:left w:val="none" w:sz="0" w:space="0" w:color="auto"/>
        <w:bottom w:val="none" w:sz="0" w:space="0" w:color="auto"/>
        <w:right w:val="none" w:sz="0" w:space="0" w:color="auto"/>
      </w:divBdr>
    </w:div>
    <w:div w:id="1980526531">
      <w:bodyDiv w:val="1"/>
      <w:marLeft w:val="0"/>
      <w:marRight w:val="0"/>
      <w:marTop w:val="0"/>
      <w:marBottom w:val="0"/>
      <w:divBdr>
        <w:top w:val="none" w:sz="0" w:space="0" w:color="auto"/>
        <w:left w:val="none" w:sz="0" w:space="0" w:color="auto"/>
        <w:bottom w:val="none" w:sz="0" w:space="0" w:color="auto"/>
        <w:right w:val="none" w:sz="0" w:space="0" w:color="auto"/>
      </w:divBdr>
    </w:div>
    <w:div w:id="1982151473">
      <w:bodyDiv w:val="1"/>
      <w:marLeft w:val="0"/>
      <w:marRight w:val="0"/>
      <w:marTop w:val="0"/>
      <w:marBottom w:val="0"/>
      <w:divBdr>
        <w:top w:val="none" w:sz="0" w:space="0" w:color="auto"/>
        <w:left w:val="none" w:sz="0" w:space="0" w:color="auto"/>
        <w:bottom w:val="none" w:sz="0" w:space="0" w:color="auto"/>
        <w:right w:val="none" w:sz="0" w:space="0" w:color="auto"/>
      </w:divBdr>
    </w:div>
    <w:div w:id="1984235055">
      <w:bodyDiv w:val="1"/>
      <w:marLeft w:val="0"/>
      <w:marRight w:val="0"/>
      <w:marTop w:val="0"/>
      <w:marBottom w:val="0"/>
      <w:divBdr>
        <w:top w:val="none" w:sz="0" w:space="0" w:color="auto"/>
        <w:left w:val="none" w:sz="0" w:space="0" w:color="auto"/>
        <w:bottom w:val="none" w:sz="0" w:space="0" w:color="auto"/>
        <w:right w:val="none" w:sz="0" w:space="0" w:color="auto"/>
      </w:divBdr>
    </w:div>
    <w:div w:id="1984430790">
      <w:bodyDiv w:val="1"/>
      <w:marLeft w:val="0"/>
      <w:marRight w:val="0"/>
      <w:marTop w:val="0"/>
      <w:marBottom w:val="0"/>
      <w:divBdr>
        <w:top w:val="none" w:sz="0" w:space="0" w:color="auto"/>
        <w:left w:val="none" w:sz="0" w:space="0" w:color="auto"/>
        <w:bottom w:val="none" w:sz="0" w:space="0" w:color="auto"/>
        <w:right w:val="none" w:sz="0" w:space="0" w:color="auto"/>
      </w:divBdr>
    </w:div>
    <w:div w:id="1986082239">
      <w:bodyDiv w:val="1"/>
      <w:marLeft w:val="0"/>
      <w:marRight w:val="0"/>
      <w:marTop w:val="0"/>
      <w:marBottom w:val="0"/>
      <w:divBdr>
        <w:top w:val="none" w:sz="0" w:space="0" w:color="auto"/>
        <w:left w:val="none" w:sz="0" w:space="0" w:color="auto"/>
        <w:bottom w:val="none" w:sz="0" w:space="0" w:color="auto"/>
        <w:right w:val="none" w:sz="0" w:space="0" w:color="auto"/>
      </w:divBdr>
    </w:div>
    <w:div w:id="1987313948">
      <w:bodyDiv w:val="1"/>
      <w:marLeft w:val="0"/>
      <w:marRight w:val="0"/>
      <w:marTop w:val="0"/>
      <w:marBottom w:val="0"/>
      <w:divBdr>
        <w:top w:val="none" w:sz="0" w:space="0" w:color="auto"/>
        <w:left w:val="none" w:sz="0" w:space="0" w:color="auto"/>
        <w:bottom w:val="none" w:sz="0" w:space="0" w:color="auto"/>
        <w:right w:val="none" w:sz="0" w:space="0" w:color="auto"/>
      </w:divBdr>
    </w:div>
    <w:div w:id="1991397187">
      <w:bodyDiv w:val="1"/>
      <w:marLeft w:val="0"/>
      <w:marRight w:val="0"/>
      <w:marTop w:val="0"/>
      <w:marBottom w:val="0"/>
      <w:divBdr>
        <w:top w:val="none" w:sz="0" w:space="0" w:color="auto"/>
        <w:left w:val="none" w:sz="0" w:space="0" w:color="auto"/>
        <w:bottom w:val="none" w:sz="0" w:space="0" w:color="auto"/>
        <w:right w:val="none" w:sz="0" w:space="0" w:color="auto"/>
      </w:divBdr>
    </w:div>
    <w:div w:id="1993437554">
      <w:bodyDiv w:val="1"/>
      <w:marLeft w:val="0"/>
      <w:marRight w:val="0"/>
      <w:marTop w:val="0"/>
      <w:marBottom w:val="0"/>
      <w:divBdr>
        <w:top w:val="none" w:sz="0" w:space="0" w:color="auto"/>
        <w:left w:val="none" w:sz="0" w:space="0" w:color="auto"/>
        <w:bottom w:val="none" w:sz="0" w:space="0" w:color="auto"/>
        <w:right w:val="none" w:sz="0" w:space="0" w:color="auto"/>
      </w:divBdr>
    </w:div>
    <w:div w:id="1993948079">
      <w:bodyDiv w:val="1"/>
      <w:marLeft w:val="0"/>
      <w:marRight w:val="0"/>
      <w:marTop w:val="0"/>
      <w:marBottom w:val="0"/>
      <w:divBdr>
        <w:top w:val="none" w:sz="0" w:space="0" w:color="auto"/>
        <w:left w:val="none" w:sz="0" w:space="0" w:color="auto"/>
        <w:bottom w:val="none" w:sz="0" w:space="0" w:color="auto"/>
        <w:right w:val="none" w:sz="0" w:space="0" w:color="auto"/>
      </w:divBdr>
    </w:div>
    <w:div w:id="1997102919">
      <w:bodyDiv w:val="1"/>
      <w:marLeft w:val="0"/>
      <w:marRight w:val="0"/>
      <w:marTop w:val="0"/>
      <w:marBottom w:val="0"/>
      <w:divBdr>
        <w:top w:val="none" w:sz="0" w:space="0" w:color="auto"/>
        <w:left w:val="none" w:sz="0" w:space="0" w:color="auto"/>
        <w:bottom w:val="none" w:sz="0" w:space="0" w:color="auto"/>
        <w:right w:val="none" w:sz="0" w:space="0" w:color="auto"/>
      </w:divBdr>
    </w:div>
    <w:div w:id="1997873427">
      <w:bodyDiv w:val="1"/>
      <w:marLeft w:val="0"/>
      <w:marRight w:val="0"/>
      <w:marTop w:val="0"/>
      <w:marBottom w:val="0"/>
      <w:divBdr>
        <w:top w:val="none" w:sz="0" w:space="0" w:color="auto"/>
        <w:left w:val="none" w:sz="0" w:space="0" w:color="auto"/>
        <w:bottom w:val="none" w:sz="0" w:space="0" w:color="auto"/>
        <w:right w:val="none" w:sz="0" w:space="0" w:color="auto"/>
      </w:divBdr>
    </w:div>
    <w:div w:id="2000039429">
      <w:bodyDiv w:val="1"/>
      <w:marLeft w:val="0"/>
      <w:marRight w:val="0"/>
      <w:marTop w:val="0"/>
      <w:marBottom w:val="0"/>
      <w:divBdr>
        <w:top w:val="none" w:sz="0" w:space="0" w:color="auto"/>
        <w:left w:val="none" w:sz="0" w:space="0" w:color="auto"/>
        <w:bottom w:val="none" w:sz="0" w:space="0" w:color="auto"/>
        <w:right w:val="none" w:sz="0" w:space="0" w:color="auto"/>
      </w:divBdr>
    </w:div>
    <w:div w:id="2001689870">
      <w:bodyDiv w:val="1"/>
      <w:marLeft w:val="0"/>
      <w:marRight w:val="0"/>
      <w:marTop w:val="0"/>
      <w:marBottom w:val="0"/>
      <w:divBdr>
        <w:top w:val="none" w:sz="0" w:space="0" w:color="auto"/>
        <w:left w:val="none" w:sz="0" w:space="0" w:color="auto"/>
        <w:bottom w:val="none" w:sz="0" w:space="0" w:color="auto"/>
        <w:right w:val="none" w:sz="0" w:space="0" w:color="auto"/>
      </w:divBdr>
    </w:div>
    <w:div w:id="2002849763">
      <w:bodyDiv w:val="1"/>
      <w:marLeft w:val="0"/>
      <w:marRight w:val="0"/>
      <w:marTop w:val="0"/>
      <w:marBottom w:val="0"/>
      <w:divBdr>
        <w:top w:val="none" w:sz="0" w:space="0" w:color="auto"/>
        <w:left w:val="none" w:sz="0" w:space="0" w:color="auto"/>
        <w:bottom w:val="none" w:sz="0" w:space="0" w:color="auto"/>
        <w:right w:val="none" w:sz="0" w:space="0" w:color="auto"/>
      </w:divBdr>
    </w:div>
    <w:div w:id="2004234816">
      <w:bodyDiv w:val="1"/>
      <w:marLeft w:val="0"/>
      <w:marRight w:val="0"/>
      <w:marTop w:val="0"/>
      <w:marBottom w:val="0"/>
      <w:divBdr>
        <w:top w:val="none" w:sz="0" w:space="0" w:color="auto"/>
        <w:left w:val="none" w:sz="0" w:space="0" w:color="auto"/>
        <w:bottom w:val="none" w:sz="0" w:space="0" w:color="auto"/>
        <w:right w:val="none" w:sz="0" w:space="0" w:color="auto"/>
      </w:divBdr>
    </w:div>
    <w:div w:id="2005237441">
      <w:bodyDiv w:val="1"/>
      <w:marLeft w:val="0"/>
      <w:marRight w:val="0"/>
      <w:marTop w:val="0"/>
      <w:marBottom w:val="0"/>
      <w:divBdr>
        <w:top w:val="none" w:sz="0" w:space="0" w:color="auto"/>
        <w:left w:val="none" w:sz="0" w:space="0" w:color="auto"/>
        <w:bottom w:val="none" w:sz="0" w:space="0" w:color="auto"/>
        <w:right w:val="none" w:sz="0" w:space="0" w:color="auto"/>
      </w:divBdr>
    </w:div>
    <w:div w:id="2006006537">
      <w:bodyDiv w:val="1"/>
      <w:marLeft w:val="0"/>
      <w:marRight w:val="0"/>
      <w:marTop w:val="0"/>
      <w:marBottom w:val="0"/>
      <w:divBdr>
        <w:top w:val="none" w:sz="0" w:space="0" w:color="auto"/>
        <w:left w:val="none" w:sz="0" w:space="0" w:color="auto"/>
        <w:bottom w:val="none" w:sz="0" w:space="0" w:color="auto"/>
        <w:right w:val="none" w:sz="0" w:space="0" w:color="auto"/>
      </w:divBdr>
    </w:div>
    <w:div w:id="2006009103">
      <w:bodyDiv w:val="1"/>
      <w:marLeft w:val="0"/>
      <w:marRight w:val="0"/>
      <w:marTop w:val="0"/>
      <w:marBottom w:val="0"/>
      <w:divBdr>
        <w:top w:val="none" w:sz="0" w:space="0" w:color="auto"/>
        <w:left w:val="none" w:sz="0" w:space="0" w:color="auto"/>
        <w:bottom w:val="none" w:sz="0" w:space="0" w:color="auto"/>
        <w:right w:val="none" w:sz="0" w:space="0" w:color="auto"/>
      </w:divBdr>
    </w:div>
    <w:div w:id="2007704773">
      <w:bodyDiv w:val="1"/>
      <w:marLeft w:val="0"/>
      <w:marRight w:val="0"/>
      <w:marTop w:val="0"/>
      <w:marBottom w:val="0"/>
      <w:divBdr>
        <w:top w:val="none" w:sz="0" w:space="0" w:color="auto"/>
        <w:left w:val="none" w:sz="0" w:space="0" w:color="auto"/>
        <w:bottom w:val="none" w:sz="0" w:space="0" w:color="auto"/>
        <w:right w:val="none" w:sz="0" w:space="0" w:color="auto"/>
      </w:divBdr>
    </w:div>
    <w:div w:id="2007780547">
      <w:bodyDiv w:val="1"/>
      <w:marLeft w:val="0"/>
      <w:marRight w:val="0"/>
      <w:marTop w:val="0"/>
      <w:marBottom w:val="0"/>
      <w:divBdr>
        <w:top w:val="none" w:sz="0" w:space="0" w:color="auto"/>
        <w:left w:val="none" w:sz="0" w:space="0" w:color="auto"/>
        <w:bottom w:val="none" w:sz="0" w:space="0" w:color="auto"/>
        <w:right w:val="none" w:sz="0" w:space="0" w:color="auto"/>
      </w:divBdr>
    </w:div>
    <w:div w:id="2010331251">
      <w:bodyDiv w:val="1"/>
      <w:marLeft w:val="0"/>
      <w:marRight w:val="0"/>
      <w:marTop w:val="0"/>
      <w:marBottom w:val="0"/>
      <w:divBdr>
        <w:top w:val="none" w:sz="0" w:space="0" w:color="auto"/>
        <w:left w:val="none" w:sz="0" w:space="0" w:color="auto"/>
        <w:bottom w:val="none" w:sz="0" w:space="0" w:color="auto"/>
        <w:right w:val="none" w:sz="0" w:space="0" w:color="auto"/>
      </w:divBdr>
    </w:div>
    <w:div w:id="2017028199">
      <w:bodyDiv w:val="1"/>
      <w:marLeft w:val="0"/>
      <w:marRight w:val="0"/>
      <w:marTop w:val="0"/>
      <w:marBottom w:val="0"/>
      <w:divBdr>
        <w:top w:val="none" w:sz="0" w:space="0" w:color="auto"/>
        <w:left w:val="none" w:sz="0" w:space="0" w:color="auto"/>
        <w:bottom w:val="none" w:sz="0" w:space="0" w:color="auto"/>
        <w:right w:val="none" w:sz="0" w:space="0" w:color="auto"/>
      </w:divBdr>
    </w:div>
    <w:div w:id="2018650182">
      <w:bodyDiv w:val="1"/>
      <w:marLeft w:val="0"/>
      <w:marRight w:val="0"/>
      <w:marTop w:val="0"/>
      <w:marBottom w:val="0"/>
      <w:divBdr>
        <w:top w:val="none" w:sz="0" w:space="0" w:color="auto"/>
        <w:left w:val="none" w:sz="0" w:space="0" w:color="auto"/>
        <w:bottom w:val="none" w:sz="0" w:space="0" w:color="auto"/>
        <w:right w:val="none" w:sz="0" w:space="0" w:color="auto"/>
      </w:divBdr>
    </w:div>
    <w:div w:id="2021270952">
      <w:bodyDiv w:val="1"/>
      <w:marLeft w:val="0"/>
      <w:marRight w:val="0"/>
      <w:marTop w:val="0"/>
      <w:marBottom w:val="0"/>
      <w:divBdr>
        <w:top w:val="none" w:sz="0" w:space="0" w:color="auto"/>
        <w:left w:val="none" w:sz="0" w:space="0" w:color="auto"/>
        <w:bottom w:val="none" w:sz="0" w:space="0" w:color="auto"/>
        <w:right w:val="none" w:sz="0" w:space="0" w:color="auto"/>
      </w:divBdr>
    </w:div>
    <w:div w:id="2022125221">
      <w:bodyDiv w:val="1"/>
      <w:marLeft w:val="0"/>
      <w:marRight w:val="0"/>
      <w:marTop w:val="0"/>
      <w:marBottom w:val="0"/>
      <w:divBdr>
        <w:top w:val="none" w:sz="0" w:space="0" w:color="auto"/>
        <w:left w:val="none" w:sz="0" w:space="0" w:color="auto"/>
        <w:bottom w:val="none" w:sz="0" w:space="0" w:color="auto"/>
        <w:right w:val="none" w:sz="0" w:space="0" w:color="auto"/>
      </w:divBdr>
    </w:div>
    <w:div w:id="2022733172">
      <w:bodyDiv w:val="1"/>
      <w:marLeft w:val="0"/>
      <w:marRight w:val="0"/>
      <w:marTop w:val="0"/>
      <w:marBottom w:val="0"/>
      <w:divBdr>
        <w:top w:val="none" w:sz="0" w:space="0" w:color="auto"/>
        <w:left w:val="none" w:sz="0" w:space="0" w:color="auto"/>
        <w:bottom w:val="none" w:sz="0" w:space="0" w:color="auto"/>
        <w:right w:val="none" w:sz="0" w:space="0" w:color="auto"/>
      </w:divBdr>
    </w:div>
    <w:div w:id="2024041766">
      <w:bodyDiv w:val="1"/>
      <w:marLeft w:val="0"/>
      <w:marRight w:val="0"/>
      <w:marTop w:val="0"/>
      <w:marBottom w:val="0"/>
      <w:divBdr>
        <w:top w:val="none" w:sz="0" w:space="0" w:color="auto"/>
        <w:left w:val="none" w:sz="0" w:space="0" w:color="auto"/>
        <w:bottom w:val="none" w:sz="0" w:space="0" w:color="auto"/>
        <w:right w:val="none" w:sz="0" w:space="0" w:color="auto"/>
      </w:divBdr>
    </w:div>
    <w:div w:id="2025856758">
      <w:bodyDiv w:val="1"/>
      <w:marLeft w:val="0"/>
      <w:marRight w:val="0"/>
      <w:marTop w:val="0"/>
      <w:marBottom w:val="0"/>
      <w:divBdr>
        <w:top w:val="none" w:sz="0" w:space="0" w:color="auto"/>
        <w:left w:val="none" w:sz="0" w:space="0" w:color="auto"/>
        <w:bottom w:val="none" w:sz="0" w:space="0" w:color="auto"/>
        <w:right w:val="none" w:sz="0" w:space="0" w:color="auto"/>
      </w:divBdr>
    </w:div>
    <w:div w:id="2026324794">
      <w:bodyDiv w:val="1"/>
      <w:marLeft w:val="0"/>
      <w:marRight w:val="0"/>
      <w:marTop w:val="0"/>
      <w:marBottom w:val="0"/>
      <w:divBdr>
        <w:top w:val="none" w:sz="0" w:space="0" w:color="auto"/>
        <w:left w:val="none" w:sz="0" w:space="0" w:color="auto"/>
        <w:bottom w:val="none" w:sz="0" w:space="0" w:color="auto"/>
        <w:right w:val="none" w:sz="0" w:space="0" w:color="auto"/>
      </w:divBdr>
    </w:div>
    <w:div w:id="2029988180">
      <w:bodyDiv w:val="1"/>
      <w:marLeft w:val="0"/>
      <w:marRight w:val="0"/>
      <w:marTop w:val="0"/>
      <w:marBottom w:val="0"/>
      <w:divBdr>
        <w:top w:val="none" w:sz="0" w:space="0" w:color="auto"/>
        <w:left w:val="none" w:sz="0" w:space="0" w:color="auto"/>
        <w:bottom w:val="none" w:sz="0" w:space="0" w:color="auto"/>
        <w:right w:val="none" w:sz="0" w:space="0" w:color="auto"/>
      </w:divBdr>
    </w:div>
    <w:div w:id="2030181570">
      <w:bodyDiv w:val="1"/>
      <w:marLeft w:val="0"/>
      <w:marRight w:val="0"/>
      <w:marTop w:val="0"/>
      <w:marBottom w:val="0"/>
      <w:divBdr>
        <w:top w:val="none" w:sz="0" w:space="0" w:color="auto"/>
        <w:left w:val="none" w:sz="0" w:space="0" w:color="auto"/>
        <w:bottom w:val="none" w:sz="0" w:space="0" w:color="auto"/>
        <w:right w:val="none" w:sz="0" w:space="0" w:color="auto"/>
      </w:divBdr>
    </w:div>
    <w:div w:id="2031685913">
      <w:bodyDiv w:val="1"/>
      <w:marLeft w:val="0"/>
      <w:marRight w:val="0"/>
      <w:marTop w:val="0"/>
      <w:marBottom w:val="0"/>
      <w:divBdr>
        <w:top w:val="none" w:sz="0" w:space="0" w:color="auto"/>
        <w:left w:val="none" w:sz="0" w:space="0" w:color="auto"/>
        <w:bottom w:val="none" w:sz="0" w:space="0" w:color="auto"/>
        <w:right w:val="none" w:sz="0" w:space="0" w:color="auto"/>
      </w:divBdr>
    </w:div>
    <w:div w:id="2033725682">
      <w:bodyDiv w:val="1"/>
      <w:marLeft w:val="0"/>
      <w:marRight w:val="0"/>
      <w:marTop w:val="0"/>
      <w:marBottom w:val="0"/>
      <w:divBdr>
        <w:top w:val="none" w:sz="0" w:space="0" w:color="auto"/>
        <w:left w:val="none" w:sz="0" w:space="0" w:color="auto"/>
        <w:bottom w:val="none" w:sz="0" w:space="0" w:color="auto"/>
        <w:right w:val="none" w:sz="0" w:space="0" w:color="auto"/>
      </w:divBdr>
    </w:div>
    <w:div w:id="2035882661">
      <w:bodyDiv w:val="1"/>
      <w:marLeft w:val="0"/>
      <w:marRight w:val="0"/>
      <w:marTop w:val="0"/>
      <w:marBottom w:val="0"/>
      <w:divBdr>
        <w:top w:val="none" w:sz="0" w:space="0" w:color="auto"/>
        <w:left w:val="none" w:sz="0" w:space="0" w:color="auto"/>
        <w:bottom w:val="none" w:sz="0" w:space="0" w:color="auto"/>
        <w:right w:val="none" w:sz="0" w:space="0" w:color="auto"/>
      </w:divBdr>
    </w:div>
    <w:div w:id="2037005074">
      <w:bodyDiv w:val="1"/>
      <w:marLeft w:val="0"/>
      <w:marRight w:val="0"/>
      <w:marTop w:val="0"/>
      <w:marBottom w:val="0"/>
      <w:divBdr>
        <w:top w:val="none" w:sz="0" w:space="0" w:color="auto"/>
        <w:left w:val="none" w:sz="0" w:space="0" w:color="auto"/>
        <w:bottom w:val="none" w:sz="0" w:space="0" w:color="auto"/>
        <w:right w:val="none" w:sz="0" w:space="0" w:color="auto"/>
      </w:divBdr>
    </w:div>
    <w:div w:id="2038969147">
      <w:bodyDiv w:val="1"/>
      <w:marLeft w:val="0"/>
      <w:marRight w:val="0"/>
      <w:marTop w:val="0"/>
      <w:marBottom w:val="0"/>
      <w:divBdr>
        <w:top w:val="none" w:sz="0" w:space="0" w:color="auto"/>
        <w:left w:val="none" w:sz="0" w:space="0" w:color="auto"/>
        <w:bottom w:val="none" w:sz="0" w:space="0" w:color="auto"/>
        <w:right w:val="none" w:sz="0" w:space="0" w:color="auto"/>
      </w:divBdr>
    </w:div>
    <w:div w:id="2045985489">
      <w:bodyDiv w:val="1"/>
      <w:marLeft w:val="0"/>
      <w:marRight w:val="0"/>
      <w:marTop w:val="0"/>
      <w:marBottom w:val="0"/>
      <w:divBdr>
        <w:top w:val="none" w:sz="0" w:space="0" w:color="auto"/>
        <w:left w:val="none" w:sz="0" w:space="0" w:color="auto"/>
        <w:bottom w:val="none" w:sz="0" w:space="0" w:color="auto"/>
        <w:right w:val="none" w:sz="0" w:space="0" w:color="auto"/>
      </w:divBdr>
    </w:div>
    <w:div w:id="2050762125">
      <w:bodyDiv w:val="1"/>
      <w:marLeft w:val="0"/>
      <w:marRight w:val="0"/>
      <w:marTop w:val="0"/>
      <w:marBottom w:val="0"/>
      <w:divBdr>
        <w:top w:val="none" w:sz="0" w:space="0" w:color="auto"/>
        <w:left w:val="none" w:sz="0" w:space="0" w:color="auto"/>
        <w:bottom w:val="none" w:sz="0" w:space="0" w:color="auto"/>
        <w:right w:val="none" w:sz="0" w:space="0" w:color="auto"/>
      </w:divBdr>
    </w:div>
    <w:div w:id="2053456464">
      <w:bodyDiv w:val="1"/>
      <w:marLeft w:val="0"/>
      <w:marRight w:val="0"/>
      <w:marTop w:val="0"/>
      <w:marBottom w:val="0"/>
      <w:divBdr>
        <w:top w:val="none" w:sz="0" w:space="0" w:color="auto"/>
        <w:left w:val="none" w:sz="0" w:space="0" w:color="auto"/>
        <w:bottom w:val="none" w:sz="0" w:space="0" w:color="auto"/>
        <w:right w:val="none" w:sz="0" w:space="0" w:color="auto"/>
      </w:divBdr>
    </w:div>
    <w:div w:id="2053842383">
      <w:bodyDiv w:val="1"/>
      <w:marLeft w:val="0"/>
      <w:marRight w:val="0"/>
      <w:marTop w:val="0"/>
      <w:marBottom w:val="0"/>
      <w:divBdr>
        <w:top w:val="none" w:sz="0" w:space="0" w:color="auto"/>
        <w:left w:val="none" w:sz="0" w:space="0" w:color="auto"/>
        <w:bottom w:val="none" w:sz="0" w:space="0" w:color="auto"/>
        <w:right w:val="none" w:sz="0" w:space="0" w:color="auto"/>
      </w:divBdr>
    </w:div>
    <w:div w:id="2054771502">
      <w:bodyDiv w:val="1"/>
      <w:marLeft w:val="0"/>
      <w:marRight w:val="0"/>
      <w:marTop w:val="0"/>
      <w:marBottom w:val="0"/>
      <w:divBdr>
        <w:top w:val="none" w:sz="0" w:space="0" w:color="auto"/>
        <w:left w:val="none" w:sz="0" w:space="0" w:color="auto"/>
        <w:bottom w:val="none" w:sz="0" w:space="0" w:color="auto"/>
        <w:right w:val="none" w:sz="0" w:space="0" w:color="auto"/>
      </w:divBdr>
    </w:div>
    <w:div w:id="2056848875">
      <w:bodyDiv w:val="1"/>
      <w:marLeft w:val="0"/>
      <w:marRight w:val="0"/>
      <w:marTop w:val="0"/>
      <w:marBottom w:val="0"/>
      <w:divBdr>
        <w:top w:val="none" w:sz="0" w:space="0" w:color="auto"/>
        <w:left w:val="none" w:sz="0" w:space="0" w:color="auto"/>
        <w:bottom w:val="none" w:sz="0" w:space="0" w:color="auto"/>
        <w:right w:val="none" w:sz="0" w:space="0" w:color="auto"/>
      </w:divBdr>
    </w:div>
    <w:div w:id="2058044665">
      <w:bodyDiv w:val="1"/>
      <w:marLeft w:val="0"/>
      <w:marRight w:val="0"/>
      <w:marTop w:val="0"/>
      <w:marBottom w:val="0"/>
      <w:divBdr>
        <w:top w:val="none" w:sz="0" w:space="0" w:color="auto"/>
        <w:left w:val="none" w:sz="0" w:space="0" w:color="auto"/>
        <w:bottom w:val="none" w:sz="0" w:space="0" w:color="auto"/>
        <w:right w:val="none" w:sz="0" w:space="0" w:color="auto"/>
      </w:divBdr>
    </w:div>
    <w:div w:id="2058964966">
      <w:bodyDiv w:val="1"/>
      <w:marLeft w:val="0"/>
      <w:marRight w:val="0"/>
      <w:marTop w:val="0"/>
      <w:marBottom w:val="0"/>
      <w:divBdr>
        <w:top w:val="none" w:sz="0" w:space="0" w:color="auto"/>
        <w:left w:val="none" w:sz="0" w:space="0" w:color="auto"/>
        <w:bottom w:val="none" w:sz="0" w:space="0" w:color="auto"/>
        <w:right w:val="none" w:sz="0" w:space="0" w:color="auto"/>
      </w:divBdr>
    </w:div>
    <w:div w:id="2060669420">
      <w:bodyDiv w:val="1"/>
      <w:marLeft w:val="0"/>
      <w:marRight w:val="0"/>
      <w:marTop w:val="0"/>
      <w:marBottom w:val="0"/>
      <w:divBdr>
        <w:top w:val="none" w:sz="0" w:space="0" w:color="auto"/>
        <w:left w:val="none" w:sz="0" w:space="0" w:color="auto"/>
        <w:bottom w:val="none" w:sz="0" w:space="0" w:color="auto"/>
        <w:right w:val="none" w:sz="0" w:space="0" w:color="auto"/>
      </w:divBdr>
    </w:div>
    <w:div w:id="2061174421">
      <w:bodyDiv w:val="1"/>
      <w:marLeft w:val="0"/>
      <w:marRight w:val="0"/>
      <w:marTop w:val="0"/>
      <w:marBottom w:val="0"/>
      <w:divBdr>
        <w:top w:val="none" w:sz="0" w:space="0" w:color="auto"/>
        <w:left w:val="none" w:sz="0" w:space="0" w:color="auto"/>
        <w:bottom w:val="none" w:sz="0" w:space="0" w:color="auto"/>
        <w:right w:val="none" w:sz="0" w:space="0" w:color="auto"/>
      </w:divBdr>
    </w:div>
    <w:div w:id="2062899756">
      <w:bodyDiv w:val="1"/>
      <w:marLeft w:val="0"/>
      <w:marRight w:val="0"/>
      <w:marTop w:val="0"/>
      <w:marBottom w:val="0"/>
      <w:divBdr>
        <w:top w:val="none" w:sz="0" w:space="0" w:color="auto"/>
        <w:left w:val="none" w:sz="0" w:space="0" w:color="auto"/>
        <w:bottom w:val="none" w:sz="0" w:space="0" w:color="auto"/>
        <w:right w:val="none" w:sz="0" w:space="0" w:color="auto"/>
      </w:divBdr>
    </w:div>
    <w:div w:id="2068335111">
      <w:bodyDiv w:val="1"/>
      <w:marLeft w:val="0"/>
      <w:marRight w:val="0"/>
      <w:marTop w:val="0"/>
      <w:marBottom w:val="0"/>
      <w:divBdr>
        <w:top w:val="none" w:sz="0" w:space="0" w:color="auto"/>
        <w:left w:val="none" w:sz="0" w:space="0" w:color="auto"/>
        <w:bottom w:val="none" w:sz="0" w:space="0" w:color="auto"/>
        <w:right w:val="none" w:sz="0" w:space="0" w:color="auto"/>
      </w:divBdr>
    </w:div>
    <w:div w:id="2069761398">
      <w:bodyDiv w:val="1"/>
      <w:marLeft w:val="0"/>
      <w:marRight w:val="0"/>
      <w:marTop w:val="0"/>
      <w:marBottom w:val="0"/>
      <w:divBdr>
        <w:top w:val="none" w:sz="0" w:space="0" w:color="auto"/>
        <w:left w:val="none" w:sz="0" w:space="0" w:color="auto"/>
        <w:bottom w:val="none" w:sz="0" w:space="0" w:color="auto"/>
        <w:right w:val="none" w:sz="0" w:space="0" w:color="auto"/>
      </w:divBdr>
    </w:div>
    <w:div w:id="2071222146">
      <w:bodyDiv w:val="1"/>
      <w:marLeft w:val="0"/>
      <w:marRight w:val="0"/>
      <w:marTop w:val="0"/>
      <w:marBottom w:val="0"/>
      <w:divBdr>
        <w:top w:val="none" w:sz="0" w:space="0" w:color="auto"/>
        <w:left w:val="none" w:sz="0" w:space="0" w:color="auto"/>
        <w:bottom w:val="none" w:sz="0" w:space="0" w:color="auto"/>
        <w:right w:val="none" w:sz="0" w:space="0" w:color="auto"/>
      </w:divBdr>
    </w:div>
    <w:div w:id="2072264134">
      <w:bodyDiv w:val="1"/>
      <w:marLeft w:val="0"/>
      <w:marRight w:val="0"/>
      <w:marTop w:val="0"/>
      <w:marBottom w:val="0"/>
      <w:divBdr>
        <w:top w:val="none" w:sz="0" w:space="0" w:color="auto"/>
        <w:left w:val="none" w:sz="0" w:space="0" w:color="auto"/>
        <w:bottom w:val="none" w:sz="0" w:space="0" w:color="auto"/>
        <w:right w:val="none" w:sz="0" w:space="0" w:color="auto"/>
      </w:divBdr>
    </w:div>
    <w:div w:id="2073308947">
      <w:bodyDiv w:val="1"/>
      <w:marLeft w:val="0"/>
      <w:marRight w:val="0"/>
      <w:marTop w:val="0"/>
      <w:marBottom w:val="0"/>
      <w:divBdr>
        <w:top w:val="none" w:sz="0" w:space="0" w:color="auto"/>
        <w:left w:val="none" w:sz="0" w:space="0" w:color="auto"/>
        <w:bottom w:val="none" w:sz="0" w:space="0" w:color="auto"/>
        <w:right w:val="none" w:sz="0" w:space="0" w:color="auto"/>
      </w:divBdr>
    </w:div>
    <w:div w:id="2074231909">
      <w:bodyDiv w:val="1"/>
      <w:marLeft w:val="0"/>
      <w:marRight w:val="0"/>
      <w:marTop w:val="0"/>
      <w:marBottom w:val="0"/>
      <w:divBdr>
        <w:top w:val="none" w:sz="0" w:space="0" w:color="auto"/>
        <w:left w:val="none" w:sz="0" w:space="0" w:color="auto"/>
        <w:bottom w:val="none" w:sz="0" w:space="0" w:color="auto"/>
        <w:right w:val="none" w:sz="0" w:space="0" w:color="auto"/>
      </w:divBdr>
    </w:div>
    <w:div w:id="2080665807">
      <w:bodyDiv w:val="1"/>
      <w:marLeft w:val="0"/>
      <w:marRight w:val="0"/>
      <w:marTop w:val="0"/>
      <w:marBottom w:val="0"/>
      <w:divBdr>
        <w:top w:val="none" w:sz="0" w:space="0" w:color="auto"/>
        <w:left w:val="none" w:sz="0" w:space="0" w:color="auto"/>
        <w:bottom w:val="none" w:sz="0" w:space="0" w:color="auto"/>
        <w:right w:val="none" w:sz="0" w:space="0" w:color="auto"/>
      </w:divBdr>
    </w:div>
    <w:div w:id="2082211435">
      <w:bodyDiv w:val="1"/>
      <w:marLeft w:val="0"/>
      <w:marRight w:val="0"/>
      <w:marTop w:val="0"/>
      <w:marBottom w:val="0"/>
      <w:divBdr>
        <w:top w:val="none" w:sz="0" w:space="0" w:color="auto"/>
        <w:left w:val="none" w:sz="0" w:space="0" w:color="auto"/>
        <w:bottom w:val="none" w:sz="0" w:space="0" w:color="auto"/>
        <w:right w:val="none" w:sz="0" w:space="0" w:color="auto"/>
      </w:divBdr>
    </w:div>
    <w:div w:id="2083746306">
      <w:bodyDiv w:val="1"/>
      <w:marLeft w:val="0"/>
      <w:marRight w:val="0"/>
      <w:marTop w:val="0"/>
      <w:marBottom w:val="0"/>
      <w:divBdr>
        <w:top w:val="none" w:sz="0" w:space="0" w:color="auto"/>
        <w:left w:val="none" w:sz="0" w:space="0" w:color="auto"/>
        <w:bottom w:val="none" w:sz="0" w:space="0" w:color="auto"/>
        <w:right w:val="none" w:sz="0" w:space="0" w:color="auto"/>
      </w:divBdr>
    </w:div>
    <w:div w:id="2086874726">
      <w:bodyDiv w:val="1"/>
      <w:marLeft w:val="0"/>
      <w:marRight w:val="0"/>
      <w:marTop w:val="0"/>
      <w:marBottom w:val="0"/>
      <w:divBdr>
        <w:top w:val="none" w:sz="0" w:space="0" w:color="auto"/>
        <w:left w:val="none" w:sz="0" w:space="0" w:color="auto"/>
        <w:bottom w:val="none" w:sz="0" w:space="0" w:color="auto"/>
        <w:right w:val="none" w:sz="0" w:space="0" w:color="auto"/>
      </w:divBdr>
    </w:div>
    <w:div w:id="2089767278">
      <w:bodyDiv w:val="1"/>
      <w:marLeft w:val="0"/>
      <w:marRight w:val="0"/>
      <w:marTop w:val="0"/>
      <w:marBottom w:val="0"/>
      <w:divBdr>
        <w:top w:val="none" w:sz="0" w:space="0" w:color="auto"/>
        <w:left w:val="none" w:sz="0" w:space="0" w:color="auto"/>
        <w:bottom w:val="none" w:sz="0" w:space="0" w:color="auto"/>
        <w:right w:val="none" w:sz="0" w:space="0" w:color="auto"/>
      </w:divBdr>
    </w:div>
    <w:div w:id="2091464560">
      <w:bodyDiv w:val="1"/>
      <w:marLeft w:val="0"/>
      <w:marRight w:val="0"/>
      <w:marTop w:val="0"/>
      <w:marBottom w:val="0"/>
      <w:divBdr>
        <w:top w:val="none" w:sz="0" w:space="0" w:color="auto"/>
        <w:left w:val="none" w:sz="0" w:space="0" w:color="auto"/>
        <w:bottom w:val="none" w:sz="0" w:space="0" w:color="auto"/>
        <w:right w:val="none" w:sz="0" w:space="0" w:color="auto"/>
      </w:divBdr>
    </w:div>
    <w:div w:id="2093156180">
      <w:bodyDiv w:val="1"/>
      <w:marLeft w:val="0"/>
      <w:marRight w:val="0"/>
      <w:marTop w:val="0"/>
      <w:marBottom w:val="0"/>
      <w:divBdr>
        <w:top w:val="none" w:sz="0" w:space="0" w:color="auto"/>
        <w:left w:val="none" w:sz="0" w:space="0" w:color="auto"/>
        <w:bottom w:val="none" w:sz="0" w:space="0" w:color="auto"/>
        <w:right w:val="none" w:sz="0" w:space="0" w:color="auto"/>
      </w:divBdr>
    </w:div>
    <w:div w:id="2096323843">
      <w:bodyDiv w:val="1"/>
      <w:marLeft w:val="0"/>
      <w:marRight w:val="0"/>
      <w:marTop w:val="0"/>
      <w:marBottom w:val="0"/>
      <w:divBdr>
        <w:top w:val="none" w:sz="0" w:space="0" w:color="auto"/>
        <w:left w:val="none" w:sz="0" w:space="0" w:color="auto"/>
        <w:bottom w:val="none" w:sz="0" w:space="0" w:color="auto"/>
        <w:right w:val="none" w:sz="0" w:space="0" w:color="auto"/>
      </w:divBdr>
    </w:div>
    <w:div w:id="2098474267">
      <w:bodyDiv w:val="1"/>
      <w:marLeft w:val="0"/>
      <w:marRight w:val="0"/>
      <w:marTop w:val="0"/>
      <w:marBottom w:val="0"/>
      <w:divBdr>
        <w:top w:val="none" w:sz="0" w:space="0" w:color="auto"/>
        <w:left w:val="none" w:sz="0" w:space="0" w:color="auto"/>
        <w:bottom w:val="none" w:sz="0" w:space="0" w:color="auto"/>
        <w:right w:val="none" w:sz="0" w:space="0" w:color="auto"/>
      </w:divBdr>
    </w:div>
    <w:div w:id="2099281178">
      <w:bodyDiv w:val="1"/>
      <w:marLeft w:val="0"/>
      <w:marRight w:val="0"/>
      <w:marTop w:val="0"/>
      <w:marBottom w:val="0"/>
      <w:divBdr>
        <w:top w:val="none" w:sz="0" w:space="0" w:color="auto"/>
        <w:left w:val="none" w:sz="0" w:space="0" w:color="auto"/>
        <w:bottom w:val="none" w:sz="0" w:space="0" w:color="auto"/>
        <w:right w:val="none" w:sz="0" w:space="0" w:color="auto"/>
      </w:divBdr>
    </w:div>
    <w:div w:id="2099477557">
      <w:bodyDiv w:val="1"/>
      <w:marLeft w:val="0"/>
      <w:marRight w:val="0"/>
      <w:marTop w:val="0"/>
      <w:marBottom w:val="0"/>
      <w:divBdr>
        <w:top w:val="none" w:sz="0" w:space="0" w:color="auto"/>
        <w:left w:val="none" w:sz="0" w:space="0" w:color="auto"/>
        <w:bottom w:val="none" w:sz="0" w:space="0" w:color="auto"/>
        <w:right w:val="none" w:sz="0" w:space="0" w:color="auto"/>
      </w:divBdr>
    </w:div>
    <w:div w:id="2102948664">
      <w:bodyDiv w:val="1"/>
      <w:marLeft w:val="0"/>
      <w:marRight w:val="0"/>
      <w:marTop w:val="0"/>
      <w:marBottom w:val="0"/>
      <w:divBdr>
        <w:top w:val="none" w:sz="0" w:space="0" w:color="auto"/>
        <w:left w:val="none" w:sz="0" w:space="0" w:color="auto"/>
        <w:bottom w:val="none" w:sz="0" w:space="0" w:color="auto"/>
        <w:right w:val="none" w:sz="0" w:space="0" w:color="auto"/>
      </w:divBdr>
    </w:div>
    <w:div w:id="2104102920">
      <w:bodyDiv w:val="1"/>
      <w:marLeft w:val="0"/>
      <w:marRight w:val="0"/>
      <w:marTop w:val="0"/>
      <w:marBottom w:val="0"/>
      <w:divBdr>
        <w:top w:val="none" w:sz="0" w:space="0" w:color="auto"/>
        <w:left w:val="none" w:sz="0" w:space="0" w:color="auto"/>
        <w:bottom w:val="none" w:sz="0" w:space="0" w:color="auto"/>
        <w:right w:val="none" w:sz="0" w:space="0" w:color="auto"/>
      </w:divBdr>
    </w:div>
    <w:div w:id="2107379164">
      <w:bodyDiv w:val="1"/>
      <w:marLeft w:val="0"/>
      <w:marRight w:val="0"/>
      <w:marTop w:val="0"/>
      <w:marBottom w:val="0"/>
      <w:divBdr>
        <w:top w:val="none" w:sz="0" w:space="0" w:color="auto"/>
        <w:left w:val="none" w:sz="0" w:space="0" w:color="auto"/>
        <w:bottom w:val="none" w:sz="0" w:space="0" w:color="auto"/>
        <w:right w:val="none" w:sz="0" w:space="0" w:color="auto"/>
      </w:divBdr>
    </w:div>
    <w:div w:id="2109692571">
      <w:bodyDiv w:val="1"/>
      <w:marLeft w:val="0"/>
      <w:marRight w:val="0"/>
      <w:marTop w:val="0"/>
      <w:marBottom w:val="0"/>
      <w:divBdr>
        <w:top w:val="none" w:sz="0" w:space="0" w:color="auto"/>
        <w:left w:val="none" w:sz="0" w:space="0" w:color="auto"/>
        <w:bottom w:val="none" w:sz="0" w:space="0" w:color="auto"/>
        <w:right w:val="none" w:sz="0" w:space="0" w:color="auto"/>
      </w:divBdr>
    </w:div>
    <w:div w:id="2112703464">
      <w:bodyDiv w:val="1"/>
      <w:marLeft w:val="0"/>
      <w:marRight w:val="0"/>
      <w:marTop w:val="0"/>
      <w:marBottom w:val="0"/>
      <w:divBdr>
        <w:top w:val="none" w:sz="0" w:space="0" w:color="auto"/>
        <w:left w:val="none" w:sz="0" w:space="0" w:color="auto"/>
        <w:bottom w:val="none" w:sz="0" w:space="0" w:color="auto"/>
        <w:right w:val="none" w:sz="0" w:space="0" w:color="auto"/>
      </w:divBdr>
    </w:div>
    <w:div w:id="2114326652">
      <w:bodyDiv w:val="1"/>
      <w:marLeft w:val="0"/>
      <w:marRight w:val="0"/>
      <w:marTop w:val="0"/>
      <w:marBottom w:val="0"/>
      <w:divBdr>
        <w:top w:val="none" w:sz="0" w:space="0" w:color="auto"/>
        <w:left w:val="none" w:sz="0" w:space="0" w:color="auto"/>
        <w:bottom w:val="none" w:sz="0" w:space="0" w:color="auto"/>
        <w:right w:val="none" w:sz="0" w:space="0" w:color="auto"/>
      </w:divBdr>
    </w:div>
    <w:div w:id="2115199263">
      <w:bodyDiv w:val="1"/>
      <w:marLeft w:val="0"/>
      <w:marRight w:val="0"/>
      <w:marTop w:val="0"/>
      <w:marBottom w:val="0"/>
      <w:divBdr>
        <w:top w:val="none" w:sz="0" w:space="0" w:color="auto"/>
        <w:left w:val="none" w:sz="0" w:space="0" w:color="auto"/>
        <w:bottom w:val="none" w:sz="0" w:space="0" w:color="auto"/>
        <w:right w:val="none" w:sz="0" w:space="0" w:color="auto"/>
      </w:divBdr>
    </w:div>
    <w:div w:id="2115904632">
      <w:bodyDiv w:val="1"/>
      <w:marLeft w:val="0"/>
      <w:marRight w:val="0"/>
      <w:marTop w:val="0"/>
      <w:marBottom w:val="0"/>
      <w:divBdr>
        <w:top w:val="none" w:sz="0" w:space="0" w:color="auto"/>
        <w:left w:val="none" w:sz="0" w:space="0" w:color="auto"/>
        <w:bottom w:val="none" w:sz="0" w:space="0" w:color="auto"/>
        <w:right w:val="none" w:sz="0" w:space="0" w:color="auto"/>
      </w:divBdr>
    </w:div>
    <w:div w:id="2122383677">
      <w:bodyDiv w:val="1"/>
      <w:marLeft w:val="0"/>
      <w:marRight w:val="0"/>
      <w:marTop w:val="0"/>
      <w:marBottom w:val="0"/>
      <w:divBdr>
        <w:top w:val="none" w:sz="0" w:space="0" w:color="auto"/>
        <w:left w:val="none" w:sz="0" w:space="0" w:color="auto"/>
        <w:bottom w:val="none" w:sz="0" w:space="0" w:color="auto"/>
        <w:right w:val="none" w:sz="0" w:space="0" w:color="auto"/>
      </w:divBdr>
    </w:div>
    <w:div w:id="2124836771">
      <w:bodyDiv w:val="1"/>
      <w:marLeft w:val="0"/>
      <w:marRight w:val="0"/>
      <w:marTop w:val="0"/>
      <w:marBottom w:val="0"/>
      <w:divBdr>
        <w:top w:val="none" w:sz="0" w:space="0" w:color="auto"/>
        <w:left w:val="none" w:sz="0" w:space="0" w:color="auto"/>
        <w:bottom w:val="none" w:sz="0" w:space="0" w:color="auto"/>
        <w:right w:val="none" w:sz="0" w:space="0" w:color="auto"/>
      </w:divBdr>
    </w:div>
    <w:div w:id="2127385010">
      <w:bodyDiv w:val="1"/>
      <w:marLeft w:val="0"/>
      <w:marRight w:val="0"/>
      <w:marTop w:val="0"/>
      <w:marBottom w:val="0"/>
      <w:divBdr>
        <w:top w:val="none" w:sz="0" w:space="0" w:color="auto"/>
        <w:left w:val="none" w:sz="0" w:space="0" w:color="auto"/>
        <w:bottom w:val="none" w:sz="0" w:space="0" w:color="auto"/>
        <w:right w:val="none" w:sz="0" w:space="0" w:color="auto"/>
      </w:divBdr>
    </w:div>
    <w:div w:id="2131896016">
      <w:bodyDiv w:val="1"/>
      <w:marLeft w:val="0"/>
      <w:marRight w:val="0"/>
      <w:marTop w:val="0"/>
      <w:marBottom w:val="0"/>
      <w:divBdr>
        <w:top w:val="none" w:sz="0" w:space="0" w:color="auto"/>
        <w:left w:val="none" w:sz="0" w:space="0" w:color="auto"/>
        <w:bottom w:val="none" w:sz="0" w:space="0" w:color="auto"/>
        <w:right w:val="none" w:sz="0" w:space="0" w:color="auto"/>
      </w:divBdr>
    </w:div>
    <w:div w:id="2134011588">
      <w:bodyDiv w:val="1"/>
      <w:marLeft w:val="0"/>
      <w:marRight w:val="0"/>
      <w:marTop w:val="0"/>
      <w:marBottom w:val="0"/>
      <w:divBdr>
        <w:top w:val="none" w:sz="0" w:space="0" w:color="auto"/>
        <w:left w:val="none" w:sz="0" w:space="0" w:color="auto"/>
        <w:bottom w:val="none" w:sz="0" w:space="0" w:color="auto"/>
        <w:right w:val="none" w:sz="0" w:space="0" w:color="auto"/>
      </w:divBdr>
    </w:div>
    <w:div w:id="2134059248">
      <w:bodyDiv w:val="1"/>
      <w:marLeft w:val="0"/>
      <w:marRight w:val="0"/>
      <w:marTop w:val="0"/>
      <w:marBottom w:val="0"/>
      <w:divBdr>
        <w:top w:val="none" w:sz="0" w:space="0" w:color="auto"/>
        <w:left w:val="none" w:sz="0" w:space="0" w:color="auto"/>
        <w:bottom w:val="none" w:sz="0" w:space="0" w:color="auto"/>
        <w:right w:val="none" w:sz="0" w:space="0" w:color="auto"/>
      </w:divBdr>
    </w:div>
    <w:div w:id="2135245956">
      <w:bodyDiv w:val="1"/>
      <w:marLeft w:val="0"/>
      <w:marRight w:val="0"/>
      <w:marTop w:val="0"/>
      <w:marBottom w:val="0"/>
      <w:divBdr>
        <w:top w:val="none" w:sz="0" w:space="0" w:color="auto"/>
        <w:left w:val="none" w:sz="0" w:space="0" w:color="auto"/>
        <w:bottom w:val="none" w:sz="0" w:space="0" w:color="auto"/>
        <w:right w:val="none" w:sz="0" w:space="0" w:color="auto"/>
      </w:divBdr>
    </w:div>
    <w:div w:id="2136482488">
      <w:bodyDiv w:val="1"/>
      <w:marLeft w:val="0"/>
      <w:marRight w:val="0"/>
      <w:marTop w:val="0"/>
      <w:marBottom w:val="0"/>
      <w:divBdr>
        <w:top w:val="none" w:sz="0" w:space="0" w:color="auto"/>
        <w:left w:val="none" w:sz="0" w:space="0" w:color="auto"/>
        <w:bottom w:val="none" w:sz="0" w:space="0" w:color="auto"/>
        <w:right w:val="none" w:sz="0" w:space="0" w:color="auto"/>
      </w:divBdr>
    </w:div>
    <w:div w:id="2138137427">
      <w:bodyDiv w:val="1"/>
      <w:marLeft w:val="0"/>
      <w:marRight w:val="0"/>
      <w:marTop w:val="0"/>
      <w:marBottom w:val="0"/>
      <w:divBdr>
        <w:top w:val="none" w:sz="0" w:space="0" w:color="auto"/>
        <w:left w:val="none" w:sz="0" w:space="0" w:color="auto"/>
        <w:bottom w:val="none" w:sz="0" w:space="0" w:color="auto"/>
        <w:right w:val="none" w:sz="0" w:space="0" w:color="auto"/>
      </w:divBdr>
    </w:div>
    <w:div w:id="2138137831">
      <w:bodyDiv w:val="1"/>
      <w:marLeft w:val="0"/>
      <w:marRight w:val="0"/>
      <w:marTop w:val="0"/>
      <w:marBottom w:val="0"/>
      <w:divBdr>
        <w:top w:val="none" w:sz="0" w:space="0" w:color="auto"/>
        <w:left w:val="none" w:sz="0" w:space="0" w:color="auto"/>
        <w:bottom w:val="none" w:sz="0" w:space="0" w:color="auto"/>
        <w:right w:val="none" w:sz="0" w:space="0" w:color="auto"/>
      </w:divBdr>
    </w:div>
    <w:div w:id="2140609635">
      <w:bodyDiv w:val="1"/>
      <w:marLeft w:val="0"/>
      <w:marRight w:val="0"/>
      <w:marTop w:val="0"/>
      <w:marBottom w:val="0"/>
      <w:divBdr>
        <w:top w:val="none" w:sz="0" w:space="0" w:color="auto"/>
        <w:left w:val="none" w:sz="0" w:space="0" w:color="auto"/>
        <w:bottom w:val="none" w:sz="0" w:space="0" w:color="auto"/>
        <w:right w:val="none" w:sz="0" w:space="0" w:color="auto"/>
      </w:divBdr>
    </w:div>
    <w:div w:id="2143503178">
      <w:bodyDiv w:val="1"/>
      <w:marLeft w:val="0"/>
      <w:marRight w:val="0"/>
      <w:marTop w:val="0"/>
      <w:marBottom w:val="0"/>
      <w:divBdr>
        <w:top w:val="none" w:sz="0" w:space="0" w:color="auto"/>
        <w:left w:val="none" w:sz="0" w:space="0" w:color="auto"/>
        <w:bottom w:val="none" w:sz="0" w:space="0" w:color="auto"/>
        <w:right w:val="none" w:sz="0" w:space="0" w:color="auto"/>
      </w:divBdr>
    </w:div>
    <w:div w:id="2143962705">
      <w:bodyDiv w:val="1"/>
      <w:marLeft w:val="0"/>
      <w:marRight w:val="0"/>
      <w:marTop w:val="0"/>
      <w:marBottom w:val="0"/>
      <w:divBdr>
        <w:top w:val="none" w:sz="0" w:space="0" w:color="auto"/>
        <w:left w:val="none" w:sz="0" w:space="0" w:color="auto"/>
        <w:bottom w:val="none" w:sz="0" w:space="0" w:color="auto"/>
        <w:right w:val="none" w:sz="0" w:space="0" w:color="auto"/>
      </w:divBdr>
    </w:div>
    <w:div w:id="2144806237">
      <w:bodyDiv w:val="1"/>
      <w:marLeft w:val="0"/>
      <w:marRight w:val="0"/>
      <w:marTop w:val="0"/>
      <w:marBottom w:val="0"/>
      <w:divBdr>
        <w:top w:val="none" w:sz="0" w:space="0" w:color="auto"/>
        <w:left w:val="none" w:sz="0" w:space="0" w:color="auto"/>
        <w:bottom w:val="none" w:sz="0" w:space="0" w:color="auto"/>
        <w:right w:val="none" w:sz="0" w:space="0" w:color="auto"/>
      </w:divBdr>
    </w:div>
    <w:div w:id="21454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png"/><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658E-475E-4E85-9025-03981AF8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20937</Words>
  <Characters>119347</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140004</CharactersWithSpaces>
  <SharedDoc>false</SharedDoc>
  <HLinks>
    <vt:vector size="432" baseType="variant">
      <vt:variant>
        <vt:i4>1376312</vt:i4>
      </vt:variant>
      <vt:variant>
        <vt:i4>428</vt:i4>
      </vt:variant>
      <vt:variant>
        <vt:i4>0</vt:i4>
      </vt:variant>
      <vt:variant>
        <vt:i4>5</vt:i4>
      </vt:variant>
      <vt:variant>
        <vt:lpwstr/>
      </vt:variant>
      <vt:variant>
        <vt:lpwstr>_Toc65148271</vt:lpwstr>
      </vt:variant>
      <vt:variant>
        <vt:i4>1310776</vt:i4>
      </vt:variant>
      <vt:variant>
        <vt:i4>422</vt:i4>
      </vt:variant>
      <vt:variant>
        <vt:i4>0</vt:i4>
      </vt:variant>
      <vt:variant>
        <vt:i4>5</vt:i4>
      </vt:variant>
      <vt:variant>
        <vt:lpwstr/>
      </vt:variant>
      <vt:variant>
        <vt:lpwstr>_Toc65148270</vt:lpwstr>
      </vt:variant>
      <vt:variant>
        <vt:i4>1900601</vt:i4>
      </vt:variant>
      <vt:variant>
        <vt:i4>416</vt:i4>
      </vt:variant>
      <vt:variant>
        <vt:i4>0</vt:i4>
      </vt:variant>
      <vt:variant>
        <vt:i4>5</vt:i4>
      </vt:variant>
      <vt:variant>
        <vt:lpwstr/>
      </vt:variant>
      <vt:variant>
        <vt:lpwstr>_Toc65148269</vt:lpwstr>
      </vt:variant>
      <vt:variant>
        <vt:i4>1835065</vt:i4>
      </vt:variant>
      <vt:variant>
        <vt:i4>410</vt:i4>
      </vt:variant>
      <vt:variant>
        <vt:i4>0</vt:i4>
      </vt:variant>
      <vt:variant>
        <vt:i4>5</vt:i4>
      </vt:variant>
      <vt:variant>
        <vt:lpwstr/>
      </vt:variant>
      <vt:variant>
        <vt:lpwstr>_Toc65148268</vt:lpwstr>
      </vt:variant>
      <vt:variant>
        <vt:i4>1245241</vt:i4>
      </vt:variant>
      <vt:variant>
        <vt:i4>404</vt:i4>
      </vt:variant>
      <vt:variant>
        <vt:i4>0</vt:i4>
      </vt:variant>
      <vt:variant>
        <vt:i4>5</vt:i4>
      </vt:variant>
      <vt:variant>
        <vt:lpwstr/>
      </vt:variant>
      <vt:variant>
        <vt:lpwstr>_Toc65148267</vt:lpwstr>
      </vt:variant>
      <vt:variant>
        <vt:i4>1179705</vt:i4>
      </vt:variant>
      <vt:variant>
        <vt:i4>398</vt:i4>
      </vt:variant>
      <vt:variant>
        <vt:i4>0</vt:i4>
      </vt:variant>
      <vt:variant>
        <vt:i4>5</vt:i4>
      </vt:variant>
      <vt:variant>
        <vt:lpwstr/>
      </vt:variant>
      <vt:variant>
        <vt:lpwstr>_Toc65148266</vt:lpwstr>
      </vt:variant>
      <vt:variant>
        <vt:i4>1114169</vt:i4>
      </vt:variant>
      <vt:variant>
        <vt:i4>392</vt:i4>
      </vt:variant>
      <vt:variant>
        <vt:i4>0</vt:i4>
      </vt:variant>
      <vt:variant>
        <vt:i4>5</vt:i4>
      </vt:variant>
      <vt:variant>
        <vt:lpwstr/>
      </vt:variant>
      <vt:variant>
        <vt:lpwstr>_Toc65148265</vt:lpwstr>
      </vt:variant>
      <vt:variant>
        <vt:i4>1048633</vt:i4>
      </vt:variant>
      <vt:variant>
        <vt:i4>386</vt:i4>
      </vt:variant>
      <vt:variant>
        <vt:i4>0</vt:i4>
      </vt:variant>
      <vt:variant>
        <vt:i4>5</vt:i4>
      </vt:variant>
      <vt:variant>
        <vt:lpwstr/>
      </vt:variant>
      <vt:variant>
        <vt:lpwstr>_Toc65148264</vt:lpwstr>
      </vt:variant>
      <vt:variant>
        <vt:i4>1441849</vt:i4>
      </vt:variant>
      <vt:variant>
        <vt:i4>380</vt:i4>
      </vt:variant>
      <vt:variant>
        <vt:i4>0</vt:i4>
      </vt:variant>
      <vt:variant>
        <vt:i4>5</vt:i4>
      </vt:variant>
      <vt:variant>
        <vt:lpwstr/>
      </vt:variant>
      <vt:variant>
        <vt:lpwstr>_Toc65148262</vt:lpwstr>
      </vt:variant>
      <vt:variant>
        <vt:i4>1376313</vt:i4>
      </vt:variant>
      <vt:variant>
        <vt:i4>374</vt:i4>
      </vt:variant>
      <vt:variant>
        <vt:i4>0</vt:i4>
      </vt:variant>
      <vt:variant>
        <vt:i4>5</vt:i4>
      </vt:variant>
      <vt:variant>
        <vt:lpwstr/>
      </vt:variant>
      <vt:variant>
        <vt:lpwstr>_Toc65148261</vt:lpwstr>
      </vt:variant>
      <vt:variant>
        <vt:i4>1900602</vt:i4>
      </vt:variant>
      <vt:variant>
        <vt:i4>368</vt:i4>
      </vt:variant>
      <vt:variant>
        <vt:i4>0</vt:i4>
      </vt:variant>
      <vt:variant>
        <vt:i4>5</vt:i4>
      </vt:variant>
      <vt:variant>
        <vt:lpwstr/>
      </vt:variant>
      <vt:variant>
        <vt:lpwstr>_Toc65148259</vt:lpwstr>
      </vt:variant>
      <vt:variant>
        <vt:i4>1245242</vt:i4>
      </vt:variant>
      <vt:variant>
        <vt:i4>362</vt:i4>
      </vt:variant>
      <vt:variant>
        <vt:i4>0</vt:i4>
      </vt:variant>
      <vt:variant>
        <vt:i4>5</vt:i4>
      </vt:variant>
      <vt:variant>
        <vt:lpwstr/>
      </vt:variant>
      <vt:variant>
        <vt:lpwstr>_Toc65148257</vt:lpwstr>
      </vt:variant>
      <vt:variant>
        <vt:i4>1179706</vt:i4>
      </vt:variant>
      <vt:variant>
        <vt:i4>356</vt:i4>
      </vt:variant>
      <vt:variant>
        <vt:i4>0</vt:i4>
      </vt:variant>
      <vt:variant>
        <vt:i4>5</vt:i4>
      </vt:variant>
      <vt:variant>
        <vt:lpwstr/>
      </vt:variant>
      <vt:variant>
        <vt:lpwstr>_Toc65148256</vt:lpwstr>
      </vt:variant>
      <vt:variant>
        <vt:i4>1114170</vt:i4>
      </vt:variant>
      <vt:variant>
        <vt:i4>350</vt:i4>
      </vt:variant>
      <vt:variant>
        <vt:i4>0</vt:i4>
      </vt:variant>
      <vt:variant>
        <vt:i4>5</vt:i4>
      </vt:variant>
      <vt:variant>
        <vt:lpwstr/>
      </vt:variant>
      <vt:variant>
        <vt:lpwstr>_Toc65148255</vt:lpwstr>
      </vt:variant>
      <vt:variant>
        <vt:i4>1048634</vt:i4>
      </vt:variant>
      <vt:variant>
        <vt:i4>344</vt:i4>
      </vt:variant>
      <vt:variant>
        <vt:i4>0</vt:i4>
      </vt:variant>
      <vt:variant>
        <vt:i4>5</vt:i4>
      </vt:variant>
      <vt:variant>
        <vt:lpwstr/>
      </vt:variant>
      <vt:variant>
        <vt:lpwstr>_Toc65148254</vt:lpwstr>
      </vt:variant>
      <vt:variant>
        <vt:i4>1507386</vt:i4>
      </vt:variant>
      <vt:variant>
        <vt:i4>338</vt:i4>
      </vt:variant>
      <vt:variant>
        <vt:i4>0</vt:i4>
      </vt:variant>
      <vt:variant>
        <vt:i4>5</vt:i4>
      </vt:variant>
      <vt:variant>
        <vt:lpwstr/>
      </vt:variant>
      <vt:variant>
        <vt:lpwstr>_Toc65148253</vt:lpwstr>
      </vt:variant>
      <vt:variant>
        <vt:i4>1441850</vt:i4>
      </vt:variant>
      <vt:variant>
        <vt:i4>332</vt:i4>
      </vt:variant>
      <vt:variant>
        <vt:i4>0</vt:i4>
      </vt:variant>
      <vt:variant>
        <vt:i4>5</vt:i4>
      </vt:variant>
      <vt:variant>
        <vt:lpwstr/>
      </vt:variant>
      <vt:variant>
        <vt:lpwstr>_Toc65148252</vt:lpwstr>
      </vt:variant>
      <vt:variant>
        <vt:i4>1376314</vt:i4>
      </vt:variant>
      <vt:variant>
        <vt:i4>326</vt:i4>
      </vt:variant>
      <vt:variant>
        <vt:i4>0</vt:i4>
      </vt:variant>
      <vt:variant>
        <vt:i4>5</vt:i4>
      </vt:variant>
      <vt:variant>
        <vt:lpwstr/>
      </vt:variant>
      <vt:variant>
        <vt:lpwstr>_Toc65148251</vt:lpwstr>
      </vt:variant>
      <vt:variant>
        <vt:i4>1310778</vt:i4>
      </vt:variant>
      <vt:variant>
        <vt:i4>320</vt:i4>
      </vt:variant>
      <vt:variant>
        <vt:i4>0</vt:i4>
      </vt:variant>
      <vt:variant>
        <vt:i4>5</vt:i4>
      </vt:variant>
      <vt:variant>
        <vt:lpwstr/>
      </vt:variant>
      <vt:variant>
        <vt:lpwstr>_Toc65148250</vt:lpwstr>
      </vt:variant>
      <vt:variant>
        <vt:i4>1900603</vt:i4>
      </vt:variant>
      <vt:variant>
        <vt:i4>314</vt:i4>
      </vt:variant>
      <vt:variant>
        <vt:i4>0</vt:i4>
      </vt:variant>
      <vt:variant>
        <vt:i4>5</vt:i4>
      </vt:variant>
      <vt:variant>
        <vt:lpwstr/>
      </vt:variant>
      <vt:variant>
        <vt:lpwstr>_Toc65148249</vt:lpwstr>
      </vt:variant>
      <vt:variant>
        <vt:i4>1835067</vt:i4>
      </vt:variant>
      <vt:variant>
        <vt:i4>308</vt:i4>
      </vt:variant>
      <vt:variant>
        <vt:i4>0</vt:i4>
      </vt:variant>
      <vt:variant>
        <vt:i4>5</vt:i4>
      </vt:variant>
      <vt:variant>
        <vt:lpwstr/>
      </vt:variant>
      <vt:variant>
        <vt:lpwstr>_Toc65148248</vt:lpwstr>
      </vt:variant>
      <vt:variant>
        <vt:i4>1245243</vt:i4>
      </vt:variant>
      <vt:variant>
        <vt:i4>302</vt:i4>
      </vt:variant>
      <vt:variant>
        <vt:i4>0</vt:i4>
      </vt:variant>
      <vt:variant>
        <vt:i4>5</vt:i4>
      </vt:variant>
      <vt:variant>
        <vt:lpwstr/>
      </vt:variant>
      <vt:variant>
        <vt:lpwstr>_Toc65148247</vt:lpwstr>
      </vt:variant>
      <vt:variant>
        <vt:i4>1179707</vt:i4>
      </vt:variant>
      <vt:variant>
        <vt:i4>296</vt:i4>
      </vt:variant>
      <vt:variant>
        <vt:i4>0</vt:i4>
      </vt:variant>
      <vt:variant>
        <vt:i4>5</vt:i4>
      </vt:variant>
      <vt:variant>
        <vt:lpwstr/>
      </vt:variant>
      <vt:variant>
        <vt:lpwstr>_Toc65148246</vt:lpwstr>
      </vt:variant>
      <vt:variant>
        <vt:i4>1048635</vt:i4>
      </vt:variant>
      <vt:variant>
        <vt:i4>290</vt:i4>
      </vt:variant>
      <vt:variant>
        <vt:i4>0</vt:i4>
      </vt:variant>
      <vt:variant>
        <vt:i4>5</vt:i4>
      </vt:variant>
      <vt:variant>
        <vt:lpwstr/>
      </vt:variant>
      <vt:variant>
        <vt:lpwstr>_Toc65148244</vt:lpwstr>
      </vt:variant>
      <vt:variant>
        <vt:i4>1507387</vt:i4>
      </vt:variant>
      <vt:variant>
        <vt:i4>284</vt:i4>
      </vt:variant>
      <vt:variant>
        <vt:i4>0</vt:i4>
      </vt:variant>
      <vt:variant>
        <vt:i4>5</vt:i4>
      </vt:variant>
      <vt:variant>
        <vt:lpwstr/>
      </vt:variant>
      <vt:variant>
        <vt:lpwstr>_Toc65148243</vt:lpwstr>
      </vt:variant>
      <vt:variant>
        <vt:i4>1441851</vt:i4>
      </vt:variant>
      <vt:variant>
        <vt:i4>278</vt:i4>
      </vt:variant>
      <vt:variant>
        <vt:i4>0</vt:i4>
      </vt:variant>
      <vt:variant>
        <vt:i4>5</vt:i4>
      </vt:variant>
      <vt:variant>
        <vt:lpwstr/>
      </vt:variant>
      <vt:variant>
        <vt:lpwstr>_Toc65148242</vt:lpwstr>
      </vt:variant>
      <vt:variant>
        <vt:i4>1376315</vt:i4>
      </vt:variant>
      <vt:variant>
        <vt:i4>272</vt:i4>
      </vt:variant>
      <vt:variant>
        <vt:i4>0</vt:i4>
      </vt:variant>
      <vt:variant>
        <vt:i4>5</vt:i4>
      </vt:variant>
      <vt:variant>
        <vt:lpwstr/>
      </vt:variant>
      <vt:variant>
        <vt:lpwstr>_Toc65148241</vt:lpwstr>
      </vt:variant>
      <vt:variant>
        <vt:i4>1310779</vt:i4>
      </vt:variant>
      <vt:variant>
        <vt:i4>266</vt:i4>
      </vt:variant>
      <vt:variant>
        <vt:i4>0</vt:i4>
      </vt:variant>
      <vt:variant>
        <vt:i4>5</vt:i4>
      </vt:variant>
      <vt:variant>
        <vt:lpwstr/>
      </vt:variant>
      <vt:variant>
        <vt:lpwstr>_Toc65148240</vt:lpwstr>
      </vt:variant>
      <vt:variant>
        <vt:i4>1900604</vt:i4>
      </vt:variant>
      <vt:variant>
        <vt:i4>260</vt:i4>
      </vt:variant>
      <vt:variant>
        <vt:i4>0</vt:i4>
      </vt:variant>
      <vt:variant>
        <vt:i4>5</vt:i4>
      </vt:variant>
      <vt:variant>
        <vt:lpwstr/>
      </vt:variant>
      <vt:variant>
        <vt:lpwstr>_Toc65148239</vt:lpwstr>
      </vt:variant>
      <vt:variant>
        <vt:i4>1835068</vt:i4>
      </vt:variant>
      <vt:variant>
        <vt:i4>254</vt:i4>
      </vt:variant>
      <vt:variant>
        <vt:i4>0</vt:i4>
      </vt:variant>
      <vt:variant>
        <vt:i4>5</vt:i4>
      </vt:variant>
      <vt:variant>
        <vt:lpwstr/>
      </vt:variant>
      <vt:variant>
        <vt:lpwstr>_Toc65148238</vt:lpwstr>
      </vt:variant>
      <vt:variant>
        <vt:i4>1245244</vt:i4>
      </vt:variant>
      <vt:variant>
        <vt:i4>248</vt:i4>
      </vt:variant>
      <vt:variant>
        <vt:i4>0</vt:i4>
      </vt:variant>
      <vt:variant>
        <vt:i4>5</vt:i4>
      </vt:variant>
      <vt:variant>
        <vt:lpwstr/>
      </vt:variant>
      <vt:variant>
        <vt:lpwstr>_Toc65148237</vt:lpwstr>
      </vt:variant>
      <vt:variant>
        <vt:i4>1179708</vt:i4>
      </vt:variant>
      <vt:variant>
        <vt:i4>242</vt:i4>
      </vt:variant>
      <vt:variant>
        <vt:i4>0</vt:i4>
      </vt:variant>
      <vt:variant>
        <vt:i4>5</vt:i4>
      </vt:variant>
      <vt:variant>
        <vt:lpwstr/>
      </vt:variant>
      <vt:variant>
        <vt:lpwstr>_Toc65148236</vt:lpwstr>
      </vt:variant>
      <vt:variant>
        <vt:i4>1114172</vt:i4>
      </vt:variant>
      <vt:variant>
        <vt:i4>236</vt:i4>
      </vt:variant>
      <vt:variant>
        <vt:i4>0</vt:i4>
      </vt:variant>
      <vt:variant>
        <vt:i4>5</vt:i4>
      </vt:variant>
      <vt:variant>
        <vt:lpwstr/>
      </vt:variant>
      <vt:variant>
        <vt:lpwstr>_Toc65148235</vt:lpwstr>
      </vt:variant>
      <vt:variant>
        <vt:i4>1048636</vt:i4>
      </vt:variant>
      <vt:variant>
        <vt:i4>230</vt:i4>
      </vt:variant>
      <vt:variant>
        <vt:i4>0</vt:i4>
      </vt:variant>
      <vt:variant>
        <vt:i4>5</vt:i4>
      </vt:variant>
      <vt:variant>
        <vt:lpwstr/>
      </vt:variant>
      <vt:variant>
        <vt:lpwstr>_Toc65148234</vt:lpwstr>
      </vt:variant>
      <vt:variant>
        <vt:i4>1507388</vt:i4>
      </vt:variant>
      <vt:variant>
        <vt:i4>224</vt:i4>
      </vt:variant>
      <vt:variant>
        <vt:i4>0</vt:i4>
      </vt:variant>
      <vt:variant>
        <vt:i4>5</vt:i4>
      </vt:variant>
      <vt:variant>
        <vt:lpwstr/>
      </vt:variant>
      <vt:variant>
        <vt:lpwstr>_Toc65148233</vt:lpwstr>
      </vt:variant>
      <vt:variant>
        <vt:i4>1441852</vt:i4>
      </vt:variant>
      <vt:variant>
        <vt:i4>218</vt:i4>
      </vt:variant>
      <vt:variant>
        <vt:i4>0</vt:i4>
      </vt:variant>
      <vt:variant>
        <vt:i4>5</vt:i4>
      </vt:variant>
      <vt:variant>
        <vt:lpwstr/>
      </vt:variant>
      <vt:variant>
        <vt:lpwstr>_Toc65148232</vt:lpwstr>
      </vt:variant>
      <vt:variant>
        <vt:i4>1376316</vt:i4>
      </vt:variant>
      <vt:variant>
        <vt:i4>212</vt:i4>
      </vt:variant>
      <vt:variant>
        <vt:i4>0</vt:i4>
      </vt:variant>
      <vt:variant>
        <vt:i4>5</vt:i4>
      </vt:variant>
      <vt:variant>
        <vt:lpwstr/>
      </vt:variant>
      <vt:variant>
        <vt:lpwstr>_Toc65148231</vt:lpwstr>
      </vt:variant>
      <vt:variant>
        <vt:i4>1310780</vt:i4>
      </vt:variant>
      <vt:variant>
        <vt:i4>206</vt:i4>
      </vt:variant>
      <vt:variant>
        <vt:i4>0</vt:i4>
      </vt:variant>
      <vt:variant>
        <vt:i4>5</vt:i4>
      </vt:variant>
      <vt:variant>
        <vt:lpwstr/>
      </vt:variant>
      <vt:variant>
        <vt:lpwstr>_Toc65148230</vt:lpwstr>
      </vt:variant>
      <vt:variant>
        <vt:i4>1900605</vt:i4>
      </vt:variant>
      <vt:variant>
        <vt:i4>200</vt:i4>
      </vt:variant>
      <vt:variant>
        <vt:i4>0</vt:i4>
      </vt:variant>
      <vt:variant>
        <vt:i4>5</vt:i4>
      </vt:variant>
      <vt:variant>
        <vt:lpwstr/>
      </vt:variant>
      <vt:variant>
        <vt:lpwstr>_Toc65148229</vt:lpwstr>
      </vt:variant>
      <vt:variant>
        <vt:i4>1835069</vt:i4>
      </vt:variant>
      <vt:variant>
        <vt:i4>194</vt:i4>
      </vt:variant>
      <vt:variant>
        <vt:i4>0</vt:i4>
      </vt:variant>
      <vt:variant>
        <vt:i4>5</vt:i4>
      </vt:variant>
      <vt:variant>
        <vt:lpwstr/>
      </vt:variant>
      <vt:variant>
        <vt:lpwstr>_Toc65148228</vt:lpwstr>
      </vt:variant>
      <vt:variant>
        <vt:i4>1245245</vt:i4>
      </vt:variant>
      <vt:variant>
        <vt:i4>188</vt:i4>
      </vt:variant>
      <vt:variant>
        <vt:i4>0</vt:i4>
      </vt:variant>
      <vt:variant>
        <vt:i4>5</vt:i4>
      </vt:variant>
      <vt:variant>
        <vt:lpwstr/>
      </vt:variant>
      <vt:variant>
        <vt:lpwstr>_Toc65148227</vt:lpwstr>
      </vt:variant>
      <vt:variant>
        <vt:i4>1179709</vt:i4>
      </vt:variant>
      <vt:variant>
        <vt:i4>182</vt:i4>
      </vt:variant>
      <vt:variant>
        <vt:i4>0</vt:i4>
      </vt:variant>
      <vt:variant>
        <vt:i4>5</vt:i4>
      </vt:variant>
      <vt:variant>
        <vt:lpwstr/>
      </vt:variant>
      <vt:variant>
        <vt:lpwstr>_Toc65148226</vt:lpwstr>
      </vt:variant>
      <vt:variant>
        <vt:i4>1114173</vt:i4>
      </vt:variant>
      <vt:variant>
        <vt:i4>176</vt:i4>
      </vt:variant>
      <vt:variant>
        <vt:i4>0</vt:i4>
      </vt:variant>
      <vt:variant>
        <vt:i4>5</vt:i4>
      </vt:variant>
      <vt:variant>
        <vt:lpwstr/>
      </vt:variant>
      <vt:variant>
        <vt:lpwstr>_Toc65148225</vt:lpwstr>
      </vt:variant>
      <vt:variant>
        <vt:i4>1048637</vt:i4>
      </vt:variant>
      <vt:variant>
        <vt:i4>170</vt:i4>
      </vt:variant>
      <vt:variant>
        <vt:i4>0</vt:i4>
      </vt:variant>
      <vt:variant>
        <vt:i4>5</vt:i4>
      </vt:variant>
      <vt:variant>
        <vt:lpwstr/>
      </vt:variant>
      <vt:variant>
        <vt:lpwstr>_Toc65148224</vt:lpwstr>
      </vt:variant>
      <vt:variant>
        <vt:i4>1507389</vt:i4>
      </vt:variant>
      <vt:variant>
        <vt:i4>164</vt:i4>
      </vt:variant>
      <vt:variant>
        <vt:i4>0</vt:i4>
      </vt:variant>
      <vt:variant>
        <vt:i4>5</vt:i4>
      </vt:variant>
      <vt:variant>
        <vt:lpwstr/>
      </vt:variant>
      <vt:variant>
        <vt:lpwstr>_Toc65148223</vt:lpwstr>
      </vt:variant>
      <vt:variant>
        <vt:i4>1441853</vt:i4>
      </vt:variant>
      <vt:variant>
        <vt:i4>158</vt:i4>
      </vt:variant>
      <vt:variant>
        <vt:i4>0</vt:i4>
      </vt:variant>
      <vt:variant>
        <vt:i4>5</vt:i4>
      </vt:variant>
      <vt:variant>
        <vt:lpwstr/>
      </vt:variant>
      <vt:variant>
        <vt:lpwstr>_Toc65148222</vt:lpwstr>
      </vt:variant>
      <vt:variant>
        <vt:i4>1376317</vt:i4>
      </vt:variant>
      <vt:variant>
        <vt:i4>152</vt:i4>
      </vt:variant>
      <vt:variant>
        <vt:i4>0</vt:i4>
      </vt:variant>
      <vt:variant>
        <vt:i4>5</vt:i4>
      </vt:variant>
      <vt:variant>
        <vt:lpwstr/>
      </vt:variant>
      <vt:variant>
        <vt:lpwstr>_Toc65148221</vt:lpwstr>
      </vt:variant>
      <vt:variant>
        <vt:i4>1310781</vt:i4>
      </vt:variant>
      <vt:variant>
        <vt:i4>146</vt:i4>
      </vt:variant>
      <vt:variant>
        <vt:i4>0</vt:i4>
      </vt:variant>
      <vt:variant>
        <vt:i4>5</vt:i4>
      </vt:variant>
      <vt:variant>
        <vt:lpwstr/>
      </vt:variant>
      <vt:variant>
        <vt:lpwstr>_Toc65148220</vt:lpwstr>
      </vt:variant>
      <vt:variant>
        <vt:i4>1900606</vt:i4>
      </vt:variant>
      <vt:variant>
        <vt:i4>140</vt:i4>
      </vt:variant>
      <vt:variant>
        <vt:i4>0</vt:i4>
      </vt:variant>
      <vt:variant>
        <vt:i4>5</vt:i4>
      </vt:variant>
      <vt:variant>
        <vt:lpwstr/>
      </vt:variant>
      <vt:variant>
        <vt:lpwstr>_Toc65148219</vt:lpwstr>
      </vt:variant>
      <vt:variant>
        <vt:i4>1835070</vt:i4>
      </vt:variant>
      <vt:variant>
        <vt:i4>134</vt:i4>
      </vt:variant>
      <vt:variant>
        <vt:i4>0</vt:i4>
      </vt:variant>
      <vt:variant>
        <vt:i4>5</vt:i4>
      </vt:variant>
      <vt:variant>
        <vt:lpwstr/>
      </vt:variant>
      <vt:variant>
        <vt:lpwstr>_Toc65148218</vt:lpwstr>
      </vt:variant>
      <vt:variant>
        <vt:i4>1245246</vt:i4>
      </vt:variant>
      <vt:variant>
        <vt:i4>128</vt:i4>
      </vt:variant>
      <vt:variant>
        <vt:i4>0</vt:i4>
      </vt:variant>
      <vt:variant>
        <vt:i4>5</vt:i4>
      </vt:variant>
      <vt:variant>
        <vt:lpwstr/>
      </vt:variant>
      <vt:variant>
        <vt:lpwstr>_Toc65148217</vt:lpwstr>
      </vt:variant>
      <vt:variant>
        <vt:i4>1179710</vt:i4>
      </vt:variant>
      <vt:variant>
        <vt:i4>122</vt:i4>
      </vt:variant>
      <vt:variant>
        <vt:i4>0</vt:i4>
      </vt:variant>
      <vt:variant>
        <vt:i4>5</vt:i4>
      </vt:variant>
      <vt:variant>
        <vt:lpwstr/>
      </vt:variant>
      <vt:variant>
        <vt:lpwstr>_Toc65148216</vt:lpwstr>
      </vt:variant>
      <vt:variant>
        <vt:i4>1114174</vt:i4>
      </vt:variant>
      <vt:variant>
        <vt:i4>116</vt:i4>
      </vt:variant>
      <vt:variant>
        <vt:i4>0</vt:i4>
      </vt:variant>
      <vt:variant>
        <vt:i4>5</vt:i4>
      </vt:variant>
      <vt:variant>
        <vt:lpwstr/>
      </vt:variant>
      <vt:variant>
        <vt:lpwstr>_Toc65148215</vt:lpwstr>
      </vt:variant>
      <vt:variant>
        <vt:i4>1048638</vt:i4>
      </vt:variant>
      <vt:variant>
        <vt:i4>110</vt:i4>
      </vt:variant>
      <vt:variant>
        <vt:i4>0</vt:i4>
      </vt:variant>
      <vt:variant>
        <vt:i4>5</vt:i4>
      </vt:variant>
      <vt:variant>
        <vt:lpwstr/>
      </vt:variant>
      <vt:variant>
        <vt:lpwstr>_Toc65148214</vt:lpwstr>
      </vt:variant>
      <vt:variant>
        <vt:i4>1507390</vt:i4>
      </vt:variant>
      <vt:variant>
        <vt:i4>104</vt:i4>
      </vt:variant>
      <vt:variant>
        <vt:i4>0</vt:i4>
      </vt:variant>
      <vt:variant>
        <vt:i4>5</vt:i4>
      </vt:variant>
      <vt:variant>
        <vt:lpwstr/>
      </vt:variant>
      <vt:variant>
        <vt:lpwstr>_Toc65148213</vt:lpwstr>
      </vt:variant>
      <vt:variant>
        <vt:i4>1441854</vt:i4>
      </vt:variant>
      <vt:variant>
        <vt:i4>98</vt:i4>
      </vt:variant>
      <vt:variant>
        <vt:i4>0</vt:i4>
      </vt:variant>
      <vt:variant>
        <vt:i4>5</vt:i4>
      </vt:variant>
      <vt:variant>
        <vt:lpwstr/>
      </vt:variant>
      <vt:variant>
        <vt:lpwstr>_Toc65148212</vt:lpwstr>
      </vt:variant>
      <vt:variant>
        <vt:i4>1376318</vt:i4>
      </vt:variant>
      <vt:variant>
        <vt:i4>92</vt:i4>
      </vt:variant>
      <vt:variant>
        <vt:i4>0</vt:i4>
      </vt:variant>
      <vt:variant>
        <vt:i4>5</vt:i4>
      </vt:variant>
      <vt:variant>
        <vt:lpwstr/>
      </vt:variant>
      <vt:variant>
        <vt:lpwstr>_Toc65148211</vt:lpwstr>
      </vt:variant>
      <vt:variant>
        <vt:i4>1310782</vt:i4>
      </vt:variant>
      <vt:variant>
        <vt:i4>86</vt:i4>
      </vt:variant>
      <vt:variant>
        <vt:i4>0</vt:i4>
      </vt:variant>
      <vt:variant>
        <vt:i4>5</vt:i4>
      </vt:variant>
      <vt:variant>
        <vt:lpwstr/>
      </vt:variant>
      <vt:variant>
        <vt:lpwstr>_Toc65148210</vt:lpwstr>
      </vt:variant>
      <vt:variant>
        <vt:i4>1900607</vt:i4>
      </vt:variant>
      <vt:variant>
        <vt:i4>80</vt:i4>
      </vt:variant>
      <vt:variant>
        <vt:i4>0</vt:i4>
      </vt:variant>
      <vt:variant>
        <vt:i4>5</vt:i4>
      </vt:variant>
      <vt:variant>
        <vt:lpwstr/>
      </vt:variant>
      <vt:variant>
        <vt:lpwstr>_Toc65148209</vt:lpwstr>
      </vt:variant>
      <vt:variant>
        <vt:i4>1835071</vt:i4>
      </vt:variant>
      <vt:variant>
        <vt:i4>74</vt:i4>
      </vt:variant>
      <vt:variant>
        <vt:i4>0</vt:i4>
      </vt:variant>
      <vt:variant>
        <vt:i4>5</vt:i4>
      </vt:variant>
      <vt:variant>
        <vt:lpwstr/>
      </vt:variant>
      <vt:variant>
        <vt:lpwstr>_Toc65148208</vt:lpwstr>
      </vt:variant>
      <vt:variant>
        <vt:i4>1245247</vt:i4>
      </vt:variant>
      <vt:variant>
        <vt:i4>68</vt:i4>
      </vt:variant>
      <vt:variant>
        <vt:i4>0</vt:i4>
      </vt:variant>
      <vt:variant>
        <vt:i4>5</vt:i4>
      </vt:variant>
      <vt:variant>
        <vt:lpwstr/>
      </vt:variant>
      <vt:variant>
        <vt:lpwstr>_Toc65148207</vt:lpwstr>
      </vt:variant>
      <vt:variant>
        <vt:i4>1179711</vt:i4>
      </vt:variant>
      <vt:variant>
        <vt:i4>62</vt:i4>
      </vt:variant>
      <vt:variant>
        <vt:i4>0</vt:i4>
      </vt:variant>
      <vt:variant>
        <vt:i4>5</vt:i4>
      </vt:variant>
      <vt:variant>
        <vt:lpwstr/>
      </vt:variant>
      <vt:variant>
        <vt:lpwstr>_Toc65148206</vt:lpwstr>
      </vt:variant>
      <vt:variant>
        <vt:i4>1114175</vt:i4>
      </vt:variant>
      <vt:variant>
        <vt:i4>56</vt:i4>
      </vt:variant>
      <vt:variant>
        <vt:i4>0</vt:i4>
      </vt:variant>
      <vt:variant>
        <vt:i4>5</vt:i4>
      </vt:variant>
      <vt:variant>
        <vt:lpwstr/>
      </vt:variant>
      <vt:variant>
        <vt:lpwstr>_Toc65148205</vt:lpwstr>
      </vt:variant>
      <vt:variant>
        <vt:i4>1048639</vt:i4>
      </vt:variant>
      <vt:variant>
        <vt:i4>50</vt:i4>
      </vt:variant>
      <vt:variant>
        <vt:i4>0</vt:i4>
      </vt:variant>
      <vt:variant>
        <vt:i4>5</vt:i4>
      </vt:variant>
      <vt:variant>
        <vt:lpwstr/>
      </vt:variant>
      <vt:variant>
        <vt:lpwstr>_Toc65148204</vt:lpwstr>
      </vt:variant>
      <vt:variant>
        <vt:i4>1966134</vt:i4>
      </vt:variant>
      <vt:variant>
        <vt:i4>44</vt:i4>
      </vt:variant>
      <vt:variant>
        <vt:i4>0</vt:i4>
      </vt:variant>
      <vt:variant>
        <vt:i4>5</vt:i4>
      </vt:variant>
      <vt:variant>
        <vt:lpwstr/>
      </vt:variant>
      <vt:variant>
        <vt:lpwstr>_Toc65148199</vt:lpwstr>
      </vt:variant>
      <vt:variant>
        <vt:i4>2031670</vt:i4>
      </vt:variant>
      <vt:variant>
        <vt:i4>38</vt:i4>
      </vt:variant>
      <vt:variant>
        <vt:i4>0</vt:i4>
      </vt:variant>
      <vt:variant>
        <vt:i4>5</vt:i4>
      </vt:variant>
      <vt:variant>
        <vt:lpwstr/>
      </vt:variant>
      <vt:variant>
        <vt:lpwstr>_Toc65148198</vt:lpwstr>
      </vt:variant>
      <vt:variant>
        <vt:i4>1048630</vt:i4>
      </vt:variant>
      <vt:variant>
        <vt:i4>32</vt:i4>
      </vt:variant>
      <vt:variant>
        <vt:i4>0</vt:i4>
      </vt:variant>
      <vt:variant>
        <vt:i4>5</vt:i4>
      </vt:variant>
      <vt:variant>
        <vt:lpwstr/>
      </vt:variant>
      <vt:variant>
        <vt:lpwstr>_Toc65148197</vt:lpwstr>
      </vt:variant>
      <vt:variant>
        <vt:i4>1114166</vt:i4>
      </vt:variant>
      <vt:variant>
        <vt:i4>26</vt:i4>
      </vt:variant>
      <vt:variant>
        <vt:i4>0</vt:i4>
      </vt:variant>
      <vt:variant>
        <vt:i4>5</vt:i4>
      </vt:variant>
      <vt:variant>
        <vt:lpwstr/>
      </vt:variant>
      <vt:variant>
        <vt:lpwstr>_Toc65148196</vt:lpwstr>
      </vt:variant>
      <vt:variant>
        <vt:i4>1179702</vt:i4>
      </vt:variant>
      <vt:variant>
        <vt:i4>20</vt:i4>
      </vt:variant>
      <vt:variant>
        <vt:i4>0</vt:i4>
      </vt:variant>
      <vt:variant>
        <vt:i4>5</vt:i4>
      </vt:variant>
      <vt:variant>
        <vt:lpwstr/>
      </vt:variant>
      <vt:variant>
        <vt:lpwstr>_Toc65148195</vt:lpwstr>
      </vt:variant>
      <vt:variant>
        <vt:i4>1245238</vt:i4>
      </vt:variant>
      <vt:variant>
        <vt:i4>14</vt:i4>
      </vt:variant>
      <vt:variant>
        <vt:i4>0</vt:i4>
      </vt:variant>
      <vt:variant>
        <vt:i4>5</vt:i4>
      </vt:variant>
      <vt:variant>
        <vt:lpwstr/>
      </vt:variant>
      <vt:variant>
        <vt:lpwstr>_Toc65148194</vt:lpwstr>
      </vt:variant>
      <vt:variant>
        <vt:i4>1310774</vt:i4>
      </vt:variant>
      <vt:variant>
        <vt:i4>8</vt:i4>
      </vt:variant>
      <vt:variant>
        <vt:i4>0</vt:i4>
      </vt:variant>
      <vt:variant>
        <vt:i4>5</vt:i4>
      </vt:variant>
      <vt:variant>
        <vt:lpwstr/>
      </vt:variant>
      <vt:variant>
        <vt:lpwstr>_Toc65148193</vt:lpwstr>
      </vt:variant>
      <vt:variant>
        <vt:i4>1376310</vt:i4>
      </vt:variant>
      <vt:variant>
        <vt:i4>2</vt:i4>
      </vt:variant>
      <vt:variant>
        <vt:i4>0</vt:i4>
      </vt:variant>
      <vt:variant>
        <vt:i4>5</vt:i4>
      </vt:variant>
      <vt:variant>
        <vt:lpwstr/>
      </vt:variant>
      <vt:variant>
        <vt:lpwstr>_Toc65148192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2022-04-21T15:47:00Z</dcterms:created>
  <dcterms:modified xsi:type="dcterms:W3CDTF">2022-09-02T15:16:00Z</dcterms:modified>
</cp:coreProperties>
</file>